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1DC" w:rsidRDefault="00B001DC" w:rsidP="00B001DC">
      <w:pPr>
        <w:shd w:val="clear" w:color="auto" w:fill="FFFFFF"/>
        <w:spacing w:line="480" w:lineRule="auto"/>
        <w:jc w:val="center"/>
        <w:rPr>
          <w:rFonts w:ascii="Arial Unicode MS" w:hAnsi="Arial Unicode MS" w:cs="Arial Unicode MS"/>
        </w:rPr>
      </w:pPr>
      <w:bookmarkStart w:id="0" w:name="[IMAGE-Fig1_Print.png]"/>
      <w:r>
        <w:rPr>
          <w:rFonts w:ascii="Arial Unicode MS" w:cs="Arial Unicode MS"/>
          <w:noProof/>
          <w:lang w:eastAsia="en-IN"/>
        </w:rPr>
        <w:drawing>
          <wp:inline distT="114300" distB="114300" distL="114300" distR="114300" wp14:anchorId="09CB59D7" wp14:editId="59425483">
            <wp:extent cx="5731200" cy="21844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r:embed="rId4"/>
                    <a:stretch>
                      <a:fillRect/>
                    </a:stretch>
                  </pic:blipFill>
                  <pic:spPr>
                    <a:xfrm>
                      <a:off x="0" y="0"/>
                      <a:ext cx="5731200" cy="2184400"/>
                    </a:xfrm>
                    <a:prstGeom prst="rect">
                      <a:avLst/>
                    </a:prstGeom>
                  </pic:spPr>
                </pic:pic>
              </a:graphicData>
            </a:graphic>
          </wp:inline>
        </w:drawing>
      </w:r>
      <w:bookmarkEnd w:id="0"/>
    </w:p>
    <w:p w:rsidR="00B001DC" w:rsidRDefault="00B001DC" w:rsidP="00B001DC">
      <w:pPr>
        <w:shd w:val="clear" w:color="auto" w:fill="FFFFFF"/>
        <w:spacing w:line="480" w:lineRule="auto"/>
        <w:jc w:val="both"/>
        <w:rPr>
          <w:rFonts w:ascii="Arial Unicode MS" w:hAnsi="Arial Unicode MS" w:cs="Arial Unicode MS"/>
        </w:rPr>
      </w:pPr>
      <w:r>
        <w:rPr>
          <w:rFonts w:ascii="Arial Unicode MS" w:eastAsia="Arial Unicode MS" w:hAnsi="Times New Roman" w:cs="Arial Unicode MS"/>
          <w:b/>
          <w:bCs/>
        </w:rPr>
        <w:t>Supplemental Fig.</w:t>
      </w:r>
      <w:r>
        <w:rPr>
          <w:rFonts w:ascii="Arial Unicode MS" w:eastAsia="Arial Unicode MS" w:hAnsi="Times New Roman" w:cs="Arial Unicode MS"/>
          <w:b/>
          <w:bCs/>
        </w:rPr>
        <w:t> </w:t>
      </w:r>
      <w:r>
        <w:rPr>
          <w:rFonts w:ascii="Arial Unicode MS" w:eastAsia="Arial Unicode MS" w:hAnsi="Times New Roman" w:cs="Arial Unicode MS"/>
          <w:b/>
          <w:bCs/>
        </w:rPr>
        <w:t>1</w:t>
      </w:r>
      <w:r>
        <w:rPr>
          <w:rFonts w:ascii="Arial Unicode MS" w:eastAsia="Arial Unicode MS" w:hAnsi="Times New Roman" w:cs="Arial Unicode MS"/>
        </w:rPr>
        <w:t>. A) Samples removed at each step of the pre-processing. B) Demographics of the final data set.</w:t>
      </w:r>
    </w:p>
    <w:p w:rsidR="00B001DC" w:rsidRDefault="00B001DC" w:rsidP="00B001DC">
      <w:pPr>
        <w:spacing w:line="540" w:lineRule="auto"/>
        <w:jc w:val="both"/>
        <w:rPr>
          <w:sz w:val="20"/>
          <w:szCs w:val="20"/>
          <w:highlight w:val="white"/>
        </w:rPr>
      </w:pPr>
      <w:bookmarkStart w:id="1" w:name="[IMAGE-Fig4_Print.png]"/>
      <w:r>
        <w:rPr>
          <w:rFonts w:ascii="Arial Unicode MS" w:cs="Arial Unicode MS"/>
          <w:noProof/>
          <w:sz w:val="20"/>
          <w:szCs w:val="20"/>
          <w:highlight w:val="white"/>
          <w:lang w:eastAsia="en-IN"/>
        </w:rPr>
        <w:lastRenderedPageBreak/>
        <w:drawing>
          <wp:inline distT="114300" distB="114300" distL="114300" distR="114300" wp14:anchorId="143DF82A" wp14:editId="28662472">
            <wp:extent cx="5036787" cy="540672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r:embed="rId5"/>
                    <a:srcRect l="9468" t="7530" r="6097"/>
                    <a:stretch>
                      <a:fillRect/>
                    </a:stretch>
                  </pic:blipFill>
                  <pic:spPr>
                    <a:xfrm>
                      <a:off x="0" y="0"/>
                      <a:ext cx="5036787" cy="5406720"/>
                    </a:xfrm>
                    <a:prstGeom prst="rect">
                      <a:avLst/>
                    </a:prstGeom>
                  </pic:spPr>
                </pic:pic>
              </a:graphicData>
            </a:graphic>
          </wp:inline>
        </w:drawing>
      </w:r>
      <w:bookmarkEnd w:id="1"/>
    </w:p>
    <w:p w:rsidR="00B001DC" w:rsidRDefault="00B001DC" w:rsidP="00B001DC">
      <w:pPr>
        <w:spacing w:before="240" w:after="240" w:line="480" w:lineRule="auto"/>
        <w:jc w:val="both"/>
        <w:rPr>
          <w:rFonts w:ascii="Arial Unicode MS" w:hAnsi="Arial Unicode MS" w:cs="Arial Unicode MS"/>
        </w:rPr>
      </w:pPr>
      <w:r>
        <w:rPr>
          <w:rFonts w:ascii="Arial Unicode MS" w:cs="Arial Unicode MS"/>
          <w:b/>
          <w:bCs/>
          <w:sz w:val="20"/>
          <w:szCs w:val="20"/>
          <w:highlight w:val="white"/>
        </w:rPr>
        <w:t>Supplemental Fig.</w:t>
      </w:r>
      <w:r>
        <w:rPr>
          <w:rFonts w:ascii="Arial Unicode MS" w:cs="Arial Unicode MS"/>
          <w:b/>
          <w:bCs/>
          <w:sz w:val="20"/>
          <w:szCs w:val="20"/>
          <w:highlight w:val="white"/>
        </w:rPr>
        <w:t> </w:t>
      </w:r>
      <w:r>
        <w:rPr>
          <w:rFonts w:ascii="Arial Unicode MS" w:cs="Arial Unicode MS"/>
          <w:b/>
          <w:bCs/>
          <w:sz w:val="20"/>
          <w:szCs w:val="20"/>
          <w:highlight w:val="white"/>
        </w:rPr>
        <w:t xml:space="preserve">2: Admixture and common variant allele frequencies by genetic ancestry in the </w:t>
      </w:r>
      <w:r>
        <w:rPr>
          <w:rFonts w:ascii="Arial Unicode MS" w:cs="Arial Unicode MS"/>
          <w:b/>
          <w:bCs/>
          <w:i/>
          <w:iCs/>
          <w:sz w:val="20"/>
          <w:szCs w:val="20"/>
        </w:rPr>
        <w:t>GRN</w:t>
      </w:r>
      <w:r>
        <w:rPr>
          <w:rFonts w:ascii="Arial Unicode MS" w:cs="Arial Unicode MS"/>
          <w:b/>
          <w:bCs/>
          <w:sz w:val="18"/>
          <w:szCs w:val="18"/>
          <w:highlight w:val="white"/>
        </w:rPr>
        <w:t xml:space="preserve"> </w:t>
      </w:r>
      <w:r>
        <w:rPr>
          <w:rFonts w:ascii="Arial Unicode MS" w:cs="Arial Unicode MS"/>
          <w:b/>
          <w:bCs/>
          <w:sz w:val="20"/>
          <w:szCs w:val="20"/>
          <w:highlight w:val="white"/>
        </w:rPr>
        <w:t xml:space="preserve">16kb </w:t>
      </w:r>
      <w:r>
        <w:rPr>
          <w:rFonts w:ascii="Arial Unicode MS" w:cs="Arial Unicode MS"/>
          <w:b/>
          <w:bCs/>
          <w:i/>
          <w:iCs/>
          <w:sz w:val="20"/>
          <w:szCs w:val="20"/>
          <w:highlight w:val="white"/>
        </w:rPr>
        <w:t>cis</w:t>
      </w:r>
      <w:r>
        <w:rPr>
          <w:rFonts w:ascii="Arial Unicode MS" w:cs="Arial Unicode MS"/>
          <w:b/>
          <w:bCs/>
          <w:sz w:val="20"/>
          <w:szCs w:val="20"/>
          <w:highlight w:val="white"/>
        </w:rPr>
        <w:t xml:space="preserve">-regulatory region. </w:t>
      </w:r>
      <w:r>
        <w:rPr>
          <w:rFonts w:ascii="Arial Unicode MS" w:cs="Arial Unicode MS"/>
          <w:b/>
          <w:bCs/>
          <w:sz w:val="20"/>
          <w:szCs w:val="20"/>
        </w:rPr>
        <w:t>A)</w:t>
      </w:r>
      <w:r>
        <w:rPr>
          <w:rFonts w:ascii="Arial Unicode MS" w:cs="Arial Unicode MS"/>
          <w:sz w:val="20"/>
          <w:szCs w:val="20"/>
        </w:rPr>
        <w:t xml:space="preserve"> Local ancestry was inferred in each genetic variant within </w:t>
      </w:r>
      <w:r>
        <w:rPr>
          <w:rFonts w:ascii="Arial Unicode MS" w:cs="Arial Unicode MS"/>
          <w:sz w:val="20"/>
          <w:szCs w:val="20"/>
          <w:highlight w:val="white"/>
        </w:rPr>
        <w:t xml:space="preserve">the </w:t>
      </w:r>
      <w:r>
        <w:rPr>
          <w:rFonts w:ascii="Arial Unicode MS" w:cs="Arial Unicode MS"/>
          <w:i/>
          <w:iCs/>
          <w:sz w:val="20"/>
          <w:szCs w:val="20"/>
        </w:rPr>
        <w:t>GRN</w:t>
      </w:r>
      <w:r>
        <w:rPr>
          <w:rFonts w:ascii="Arial Unicode MS" w:cs="Arial Unicode MS"/>
          <w:sz w:val="20"/>
          <w:szCs w:val="20"/>
          <w:highlight w:val="white"/>
        </w:rPr>
        <w:t xml:space="preserve"> 16kb </w:t>
      </w:r>
      <w:r>
        <w:rPr>
          <w:rFonts w:ascii="Arial Unicode MS" w:cs="Arial Unicode MS"/>
          <w:i/>
          <w:iCs/>
          <w:sz w:val="20"/>
          <w:szCs w:val="20"/>
          <w:highlight w:val="white"/>
        </w:rPr>
        <w:t>cis-</w:t>
      </w:r>
      <w:r>
        <w:rPr>
          <w:rFonts w:ascii="Arial Unicode MS" w:cs="Arial Unicode MS"/>
          <w:sz w:val="20"/>
          <w:szCs w:val="20"/>
          <w:highlight w:val="white"/>
        </w:rPr>
        <w:t>regulatory region</w:t>
      </w:r>
      <w:r>
        <w:rPr>
          <w:rFonts w:ascii="Arial Unicode MS" w:cs="Arial Unicode MS"/>
          <w:sz w:val="20"/>
          <w:szCs w:val="20"/>
        </w:rPr>
        <w:t xml:space="preserve">. The admixture composition of the region was calculated per individual as the proportion of alleles most similar to each reference population divided by the total number of alleles in the 16kb window. </w:t>
      </w:r>
      <w:r>
        <w:rPr>
          <w:rFonts w:ascii="Arial Unicode MS" w:cs="Arial Unicode MS"/>
          <w:b/>
          <w:bCs/>
          <w:sz w:val="20"/>
          <w:szCs w:val="20"/>
        </w:rPr>
        <w:t>B)</w:t>
      </w:r>
      <w:r>
        <w:rPr>
          <w:rFonts w:ascii="Arial Unicode MS" w:cs="Arial Unicode MS"/>
          <w:sz w:val="20"/>
          <w:szCs w:val="20"/>
        </w:rPr>
        <w:t xml:space="preserve"> Average admixture composition across individuals in the cases and control groups, determined as the average of the proportions depicted in A. </w:t>
      </w:r>
      <w:r>
        <w:rPr>
          <w:rFonts w:ascii="Arial Unicode MS" w:cs="Arial Unicode MS"/>
          <w:b/>
          <w:bCs/>
          <w:sz w:val="20"/>
          <w:szCs w:val="20"/>
          <w:highlight w:val="white"/>
        </w:rPr>
        <w:t>C)</w:t>
      </w:r>
      <w:r>
        <w:rPr>
          <w:rFonts w:ascii="Arial Unicode MS" w:cs="Arial Unicode MS"/>
          <w:sz w:val="20"/>
          <w:szCs w:val="20"/>
          <w:highlight w:val="white"/>
        </w:rPr>
        <w:t xml:space="preserve"> Allele frequencies are shown for all ancestry-specific common variants (MAF</w:t>
      </w:r>
      <w:r>
        <w:rPr>
          <w:rFonts w:ascii="Arial Unicode MS" w:cs="Arial Unicode MS"/>
          <w:sz w:val="20"/>
          <w:szCs w:val="20"/>
          <w:highlight w:val="white"/>
        </w:rPr>
        <w:t> </w:t>
      </w:r>
      <w:r>
        <w:rPr>
          <w:rFonts w:ascii="Arial Unicode MS" w:cs="Arial Unicode MS"/>
          <w:sz w:val="20"/>
          <w:szCs w:val="20"/>
          <w:highlight w:val="white"/>
        </w:rPr>
        <w:t>&gt;</w:t>
      </w:r>
      <w:r>
        <w:rPr>
          <w:rFonts w:ascii="Arial Unicode MS" w:cs="Arial Unicode MS"/>
          <w:sz w:val="20"/>
          <w:szCs w:val="20"/>
          <w:highlight w:val="white"/>
        </w:rPr>
        <w:t> </w:t>
      </w:r>
      <w:r>
        <w:rPr>
          <w:rFonts w:ascii="Arial Unicode MS" w:cs="Arial Unicode MS"/>
          <w:sz w:val="20"/>
          <w:szCs w:val="20"/>
          <w:highlight w:val="white"/>
        </w:rPr>
        <w:t xml:space="preserve">0.005 in a given ancestry group) in the </w:t>
      </w:r>
      <w:r>
        <w:rPr>
          <w:rFonts w:ascii="Arial Unicode MS" w:cs="Arial Unicode MS"/>
          <w:i/>
          <w:iCs/>
          <w:sz w:val="20"/>
          <w:szCs w:val="20"/>
        </w:rPr>
        <w:t>GRN</w:t>
      </w:r>
      <w:r>
        <w:rPr>
          <w:rFonts w:ascii="Arial Unicode MS" w:cs="Arial Unicode MS"/>
          <w:sz w:val="20"/>
          <w:szCs w:val="20"/>
          <w:highlight w:val="white"/>
        </w:rPr>
        <w:t xml:space="preserve"> 16kb </w:t>
      </w:r>
      <w:r>
        <w:rPr>
          <w:rFonts w:ascii="Arial Unicode MS" w:cs="Arial Unicode MS"/>
          <w:i/>
          <w:iCs/>
          <w:sz w:val="20"/>
          <w:szCs w:val="20"/>
          <w:highlight w:val="white"/>
        </w:rPr>
        <w:t>cis-</w:t>
      </w:r>
      <w:r>
        <w:rPr>
          <w:rFonts w:ascii="Arial Unicode MS" w:cs="Arial Unicode MS"/>
          <w:sz w:val="20"/>
          <w:szCs w:val="20"/>
          <w:highlight w:val="white"/>
        </w:rPr>
        <w:lastRenderedPageBreak/>
        <w:t>regulatory region, chr17:44,337,379</w:t>
      </w:r>
      <w:r>
        <w:rPr>
          <w:rFonts w:ascii="Arial Unicode MS" w:cs="Arial Unicode MS"/>
          <w:sz w:val="20"/>
          <w:szCs w:val="20"/>
          <w:highlight w:val="white"/>
        </w:rPr>
        <w:t> − </w:t>
      </w:r>
      <w:r>
        <w:rPr>
          <w:rFonts w:ascii="Arial Unicode MS" w:cs="Arial Unicode MS"/>
          <w:sz w:val="20"/>
          <w:szCs w:val="20"/>
          <w:highlight w:val="white"/>
        </w:rPr>
        <w:t xml:space="preserve">44,353,435 (GRCh38/hg38). This is a graphical representation of the data presented in Supplemental Information 9. Symbol colour and shape reflect genetic ancestry. </w:t>
      </w:r>
      <w:r>
        <w:rPr>
          <w:rFonts w:ascii="Arial Unicode MS" w:cs="Arial Unicode MS"/>
          <w:sz w:val="20"/>
          <w:szCs w:val="20"/>
        </w:rPr>
        <w:t>chr17</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chromosome 17,</w:t>
      </w:r>
      <w:r>
        <w:rPr>
          <w:rFonts w:ascii="Arial Unicode MS" w:cs="Arial Unicode MS"/>
          <w:sz w:val="20"/>
          <w:szCs w:val="20"/>
          <w:highlight w:val="white"/>
        </w:rPr>
        <w:t xml:space="preserve"> EAS</w:t>
      </w:r>
      <w:r>
        <w:rPr>
          <w:rFonts w:ascii="Arial Unicode MS" w:cs="Arial Unicode MS"/>
          <w:sz w:val="20"/>
          <w:szCs w:val="20"/>
          <w:highlight w:val="white"/>
        </w:rPr>
        <w:t> </w:t>
      </w:r>
      <w:r>
        <w:rPr>
          <w:rFonts w:ascii="Arial Unicode MS" w:cs="Arial Unicode MS"/>
          <w:sz w:val="20"/>
          <w:szCs w:val="20"/>
          <w:highlight w:val="white"/>
        </w:rPr>
        <w:t>=</w:t>
      </w:r>
      <w:r>
        <w:rPr>
          <w:rFonts w:ascii="Arial Unicode MS" w:cs="Arial Unicode MS"/>
          <w:sz w:val="20"/>
          <w:szCs w:val="20"/>
          <w:highlight w:val="white"/>
        </w:rPr>
        <w:t> </w:t>
      </w:r>
      <w:r>
        <w:rPr>
          <w:rFonts w:ascii="Arial Unicode MS" w:cs="Arial Unicode MS"/>
          <w:sz w:val="20"/>
          <w:szCs w:val="20"/>
          <w:highlight w:val="white"/>
        </w:rPr>
        <w:t>East Asian, SAS</w:t>
      </w:r>
      <w:r>
        <w:rPr>
          <w:rFonts w:ascii="Arial Unicode MS" w:cs="Arial Unicode MS"/>
          <w:sz w:val="20"/>
          <w:szCs w:val="20"/>
          <w:highlight w:val="white"/>
        </w:rPr>
        <w:t> </w:t>
      </w:r>
      <w:r>
        <w:rPr>
          <w:rFonts w:ascii="Arial Unicode MS" w:cs="Arial Unicode MS"/>
          <w:sz w:val="20"/>
          <w:szCs w:val="20"/>
          <w:highlight w:val="white"/>
        </w:rPr>
        <w:t>=</w:t>
      </w:r>
      <w:r>
        <w:rPr>
          <w:rFonts w:ascii="Arial Unicode MS" w:cs="Arial Unicode MS"/>
          <w:sz w:val="20"/>
          <w:szCs w:val="20"/>
          <w:highlight w:val="white"/>
        </w:rPr>
        <w:t> </w:t>
      </w:r>
      <w:r>
        <w:rPr>
          <w:rFonts w:ascii="Arial Unicode MS" w:cs="Arial Unicode MS"/>
          <w:sz w:val="20"/>
          <w:szCs w:val="20"/>
          <w:highlight w:val="white"/>
        </w:rPr>
        <w:t>South Asian, AMR</w:t>
      </w:r>
      <w:r>
        <w:rPr>
          <w:rFonts w:ascii="Arial Unicode MS" w:cs="Arial Unicode MS"/>
          <w:sz w:val="20"/>
          <w:szCs w:val="20"/>
          <w:highlight w:val="white"/>
        </w:rPr>
        <w:t> </w:t>
      </w:r>
      <w:r>
        <w:rPr>
          <w:rFonts w:ascii="Arial Unicode MS" w:cs="Arial Unicode MS"/>
          <w:sz w:val="20"/>
          <w:szCs w:val="20"/>
          <w:highlight w:val="white"/>
        </w:rPr>
        <w:t>=</w:t>
      </w:r>
      <w:r>
        <w:rPr>
          <w:rFonts w:ascii="Arial Unicode MS" w:cs="Arial Unicode MS"/>
          <w:sz w:val="20"/>
          <w:szCs w:val="20"/>
          <w:highlight w:val="white"/>
        </w:rPr>
        <w:t> </w:t>
      </w:r>
      <w:r>
        <w:rPr>
          <w:rFonts w:ascii="Arial Unicode MS" w:cs="Arial Unicode MS"/>
          <w:sz w:val="20"/>
          <w:szCs w:val="20"/>
          <w:highlight w:val="white"/>
        </w:rPr>
        <w:t>Admixed American, AFR</w:t>
      </w:r>
      <w:r>
        <w:rPr>
          <w:rFonts w:ascii="Arial Unicode MS" w:cs="Arial Unicode MS"/>
          <w:sz w:val="20"/>
          <w:szCs w:val="20"/>
          <w:highlight w:val="white"/>
        </w:rPr>
        <w:t> </w:t>
      </w:r>
      <w:r>
        <w:rPr>
          <w:rFonts w:ascii="Arial Unicode MS" w:cs="Arial Unicode MS"/>
          <w:sz w:val="20"/>
          <w:szCs w:val="20"/>
          <w:highlight w:val="white"/>
        </w:rPr>
        <w:t>=</w:t>
      </w:r>
      <w:r>
        <w:rPr>
          <w:rFonts w:ascii="Arial Unicode MS" w:cs="Arial Unicode MS"/>
          <w:sz w:val="20"/>
          <w:szCs w:val="20"/>
          <w:highlight w:val="white"/>
        </w:rPr>
        <w:t> </w:t>
      </w:r>
      <w:r>
        <w:rPr>
          <w:rFonts w:ascii="Arial Unicode MS" w:cs="Arial Unicode MS"/>
          <w:sz w:val="20"/>
          <w:szCs w:val="20"/>
          <w:highlight w:val="white"/>
        </w:rPr>
        <w:t>African, EUR</w:t>
      </w:r>
      <w:r>
        <w:rPr>
          <w:rFonts w:ascii="Arial Unicode MS" w:cs="Arial Unicode MS"/>
          <w:sz w:val="20"/>
          <w:szCs w:val="20"/>
          <w:highlight w:val="white"/>
        </w:rPr>
        <w:t> </w:t>
      </w:r>
      <w:r>
        <w:rPr>
          <w:rFonts w:ascii="Arial Unicode MS" w:cs="Arial Unicode MS"/>
          <w:sz w:val="20"/>
          <w:szCs w:val="20"/>
          <w:highlight w:val="white"/>
        </w:rPr>
        <w:t>=</w:t>
      </w:r>
      <w:r>
        <w:rPr>
          <w:rFonts w:ascii="Arial Unicode MS" w:cs="Arial Unicode MS"/>
          <w:sz w:val="20"/>
          <w:szCs w:val="20"/>
          <w:highlight w:val="white"/>
        </w:rPr>
        <w:t> </w:t>
      </w:r>
      <w:r>
        <w:rPr>
          <w:rFonts w:ascii="Arial Unicode MS" w:cs="Arial Unicode MS"/>
          <w:sz w:val="20"/>
          <w:szCs w:val="20"/>
          <w:highlight w:val="white"/>
        </w:rPr>
        <w:t>European.</w:t>
      </w:r>
    </w:p>
    <w:p w:rsidR="00722BC5" w:rsidRDefault="00722BC5" w:rsidP="00722BC5">
      <w:pPr>
        <w:shd w:val="clear" w:color="auto" w:fill="FFFFFF"/>
        <w:spacing w:line="480" w:lineRule="auto"/>
        <w:ind w:firstLine="720"/>
        <w:jc w:val="both"/>
      </w:pPr>
      <w:bookmarkStart w:id="2" w:name="[IMAGE-Fig7_Print.png]"/>
      <w:r>
        <w:rPr>
          <w:rFonts w:ascii="Arial Unicode MS" w:cs="Arial Unicode MS"/>
          <w:noProof/>
          <w:lang w:eastAsia="en-IN"/>
        </w:rPr>
        <w:drawing>
          <wp:inline distT="114300" distB="114300" distL="114300" distR="114300" wp14:anchorId="4A6FE261" wp14:editId="414C76B5">
            <wp:extent cx="3975100" cy="2971800"/>
            <wp:effectExtent l="0" t="0" r="0" b="0"/>
            <wp:docPr id="3" name="image2.png" descr="A graph of different points&#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2.png" descr="A graph of different points&#10;&#10;AI-generated content may be incorrect."/>
                    <pic:cNvPicPr/>
                  </pic:nvPicPr>
                  <pic:blipFill>
                    <a:blip r:embed="rId6"/>
                    <a:stretch>
                      <a:fillRect/>
                    </a:stretch>
                  </pic:blipFill>
                  <pic:spPr>
                    <a:xfrm>
                      <a:off x="0" y="0"/>
                      <a:ext cx="3975100" cy="2971800"/>
                    </a:xfrm>
                    <a:prstGeom prst="rect">
                      <a:avLst/>
                    </a:prstGeom>
                  </pic:spPr>
                </pic:pic>
              </a:graphicData>
            </a:graphic>
          </wp:inline>
        </w:drawing>
      </w:r>
      <w:bookmarkEnd w:id="2"/>
    </w:p>
    <w:p w:rsidR="00722BC5" w:rsidRDefault="00722BC5" w:rsidP="00722BC5">
      <w:pPr>
        <w:shd w:val="clear" w:color="auto" w:fill="FFFFFF"/>
        <w:spacing w:line="480" w:lineRule="auto"/>
        <w:jc w:val="both"/>
        <w:rPr>
          <w:rFonts w:ascii="Arial Unicode MS" w:hAnsi="Arial Unicode MS" w:cs="Arial Unicode MS"/>
          <w:sz w:val="20"/>
          <w:szCs w:val="20"/>
        </w:rPr>
      </w:pPr>
      <w:r>
        <w:rPr>
          <w:rFonts w:ascii="Arial Unicode MS" w:cs="Arial Unicode MS"/>
          <w:b/>
          <w:bCs/>
          <w:sz w:val="20"/>
          <w:szCs w:val="20"/>
        </w:rPr>
        <w:t>Supplemental Fig.</w:t>
      </w:r>
      <w:r>
        <w:rPr>
          <w:rFonts w:ascii="Arial Unicode MS" w:cs="Arial Unicode MS"/>
          <w:b/>
          <w:bCs/>
          <w:sz w:val="20"/>
          <w:szCs w:val="20"/>
        </w:rPr>
        <w:t> </w:t>
      </w:r>
      <w:r>
        <w:rPr>
          <w:rFonts w:ascii="Arial Unicode MS" w:cs="Arial Unicode MS"/>
          <w:b/>
          <w:bCs/>
          <w:sz w:val="20"/>
          <w:szCs w:val="20"/>
        </w:rPr>
        <w:t xml:space="preserve">3. No significant associations between genetic variants and AD were detected in the sensitivity analysis. </w:t>
      </w:r>
      <w:r>
        <w:rPr>
          <w:rFonts w:ascii="Arial Unicode MS" w:cs="Arial Unicode MS"/>
          <w:sz w:val="20"/>
          <w:szCs w:val="20"/>
        </w:rPr>
        <w:t>We tested ancestry-specific association of variants with MAF</w:t>
      </w:r>
      <w:r>
        <w:rPr>
          <w:rFonts w:ascii="Arial Unicode MS" w:cs="Arial Unicode MS"/>
          <w:sz w:val="20"/>
          <w:szCs w:val="20"/>
        </w:rPr>
        <w:t> </w:t>
      </w:r>
      <w:r>
        <w:rPr>
          <w:rFonts w:ascii="Arial Unicode MS" w:cs="Arial Unicode MS"/>
          <w:sz w:val="20"/>
          <w:szCs w:val="20"/>
        </w:rPr>
        <w:t>&gt;</w:t>
      </w:r>
      <w:r>
        <w:rPr>
          <w:rFonts w:ascii="Arial Unicode MS" w:cs="Arial Unicode MS"/>
          <w:sz w:val="20"/>
          <w:szCs w:val="20"/>
        </w:rPr>
        <w:t> </w:t>
      </w:r>
      <w:r>
        <w:rPr>
          <w:rFonts w:ascii="Arial Unicode MS" w:cs="Arial Unicode MS"/>
          <w:sz w:val="20"/>
          <w:szCs w:val="20"/>
        </w:rPr>
        <w:t>0.005 in a given ancestry and AD using Tractor.</w:t>
      </w:r>
      <w:r>
        <w:rPr>
          <w:rFonts w:ascii="Arial Unicode MS" w:cs="Arial Unicode MS"/>
          <w:b/>
          <w:bCs/>
          <w:sz w:val="20"/>
          <w:szCs w:val="20"/>
        </w:rPr>
        <w:t xml:space="preserve"> </w:t>
      </w:r>
      <w:r>
        <w:rPr>
          <w:rFonts w:ascii="Arial Unicode MS" w:cs="Arial Unicode MS"/>
          <w:sz w:val="20"/>
          <w:szCs w:val="20"/>
        </w:rPr>
        <w:t xml:space="preserve">We </w:t>
      </w:r>
      <w:proofErr w:type="spellStart"/>
      <w:r>
        <w:rPr>
          <w:rFonts w:ascii="Arial Unicode MS" w:cs="Arial Unicode MS"/>
          <w:sz w:val="20"/>
          <w:szCs w:val="20"/>
        </w:rPr>
        <w:t>analyzed</w:t>
      </w:r>
      <w:proofErr w:type="spellEnd"/>
      <w:r>
        <w:rPr>
          <w:rFonts w:ascii="Arial Unicode MS" w:cs="Arial Unicode MS"/>
          <w:sz w:val="20"/>
          <w:szCs w:val="20"/>
        </w:rPr>
        <w:t xml:space="preserve"> the </w:t>
      </w:r>
      <w:r>
        <w:rPr>
          <w:rFonts w:ascii="Arial Unicode MS" w:cs="Arial Unicode MS"/>
          <w:i/>
          <w:iCs/>
          <w:sz w:val="20"/>
          <w:szCs w:val="20"/>
        </w:rPr>
        <w:t xml:space="preserve">GRN </w:t>
      </w:r>
      <w:r>
        <w:rPr>
          <w:rFonts w:ascii="Arial Unicode MS" w:cs="Arial Unicode MS"/>
          <w:sz w:val="20"/>
          <w:szCs w:val="20"/>
        </w:rPr>
        <w:t>16kb regulatory region and an additional 10kb in the 3</w:t>
      </w:r>
      <w:r>
        <w:rPr>
          <w:rFonts w:ascii="Arial Unicode MS" w:cs="Arial Unicode MS"/>
          <w:sz w:val="20"/>
          <w:szCs w:val="20"/>
        </w:rPr>
        <w:t>’</w:t>
      </w:r>
      <w:r>
        <w:rPr>
          <w:rFonts w:ascii="Arial Unicode MS" w:cs="Arial Unicode MS"/>
          <w:sz w:val="20"/>
          <w:szCs w:val="20"/>
        </w:rPr>
        <w:t xml:space="preserve"> end (chr17:44,337,379</w:t>
      </w:r>
      <w:r>
        <w:rPr>
          <w:rFonts w:ascii="Arial Unicode MS" w:cs="Arial Unicode MS"/>
          <w:sz w:val="20"/>
          <w:szCs w:val="20"/>
        </w:rPr>
        <w:t> − </w:t>
      </w:r>
      <w:r>
        <w:rPr>
          <w:rFonts w:ascii="Arial Unicode MS" w:cs="Arial Unicode MS"/>
          <w:sz w:val="20"/>
          <w:szCs w:val="20"/>
        </w:rPr>
        <w:t>44,3</w:t>
      </w:r>
      <w:bookmarkStart w:id="3" w:name="_GoBack"/>
      <w:bookmarkEnd w:id="3"/>
      <w:r>
        <w:rPr>
          <w:rFonts w:ascii="Arial Unicode MS" w:cs="Arial Unicode MS"/>
          <w:sz w:val="20"/>
          <w:szCs w:val="20"/>
        </w:rPr>
        <w:t>63,435 GRCh38/hg38). The horizontal dashed line reflects the p adjusted significance threshold (3.45*10</w:t>
      </w:r>
      <w:r>
        <w:rPr>
          <w:rFonts w:ascii="Arial Unicode MS" w:cs="Arial Unicode MS"/>
          <w:sz w:val="26"/>
          <w:szCs w:val="26"/>
          <w:vertAlign w:val="superscript"/>
        </w:rPr>
        <w:t>− </w:t>
      </w:r>
      <w:r>
        <w:rPr>
          <w:rFonts w:ascii="Arial Unicode MS" w:cs="Arial Unicode MS"/>
          <w:sz w:val="26"/>
          <w:szCs w:val="26"/>
          <w:vertAlign w:val="superscript"/>
        </w:rPr>
        <w:t>4</w:t>
      </w:r>
      <w:r>
        <w:rPr>
          <w:rFonts w:ascii="Arial Unicode MS" w:cs="Arial Unicode MS"/>
          <w:sz w:val="20"/>
          <w:szCs w:val="20"/>
        </w:rPr>
        <w:t xml:space="preserve"> after Bonferroni correction) for the 145 SNPs tested. EAS</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East Asian, SAS</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South Asian, AMR</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Admixed American, AFR</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African, EUR</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European. Data points surrounded by a diamond shape highlight the rs5848 SNP.</w:t>
      </w:r>
    </w:p>
    <w:p w:rsidR="008B4128" w:rsidRDefault="008B4128"/>
    <w:sectPr w:rsidR="008B41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DC"/>
    <w:rsid w:val="00020667"/>
    <w:rsid w:val="00025F38"/>
    <w:rsid w:val="00034B9E"/>
    <w:rsid w:val="000B298F"/>
    <w:rsid w:val="000F0AE5"/>
    <w:rsid w:val="00127E87"/>
    <w:rsid w:val="001A182F"/>
    <w:rsid w:val="001D601F"/>
    <w:rsid w:val="001E4A7C"/>
    <w:rsid w:val="00215479"/>
    <w:rsid w:val="00223FE9"/>
    <w:rsid w:val="002C34EB"/>
    <w:rsid w:val="003C2105"/>
    <w:rsid w:val="003D6EFD"/>
    <w:rsid w:val="0044305E"/>
    <w:rsid w:val="004A0702"/>
    <w:rsid w:val="004F11AF"/>
    <w:rsid w:val="0050722A"/>
    <w:rsid w:val="00577D29"/>
    <w:rsid w:val="00596E30"/>
    <w:rsid w:val="005C6567"/>
    <w:rsid w:val="005C6AA7"/>
    <w:rsid w:val="005E7A99"/>
    <w:rsid w:val="006B3000"/>
    <w:rsid w:val="006D5D3D"/>
    <w:rsid w:val="006F6BF0"/>
    <w:rsid w:val="00722BC5"/>
    <w:rsid w:val="007C43B6"/>
    <w:rsid w:val="008808B2"/>
    <w:rsid w:val="008A32B2"/>
    <w:rsid w:val="008A6844"/>
    <w:rsid w:val="008B4128"/>
    <w:rsid w:val="0090300E"/>
    <w:rsid w:val="009646FF"/>
    <w:rsid w:val="00980586"/>
    <w:rsid w:val="009F130F"/>
    <w:rsid w:val="009F46AF"/>
    <w:rsid w:val="00A01D99"/>
    <w:rsid w:val="00A11988"/>
    <w:rsid w:val="00A35C93"/>
    <w:rsid w:val="00A50B1F"/>
    <w:rsid w:val="00A61FE0"/>
    <w:rsid w:val="00A76131"/>
    <w:rsid w:val="00AB7548"/>
    <w:rsid w:val="00B001DC"/>
    <w:rsid w:val="00B074A6"/>
    <w:rsid w:val="00B42CDC"/>
    <w:rsid w:val="00B66DEE"/>
    <w:rsid w:val="00BE67E4"/>
    <w:rsid w:val="00C04E68"/>
    <w:rsid w:val="00C4630C"/>
    <w:rsid w:val="00CE6495"/>
    <w:rsid w:val="00D0111F"/>
    <w:rsid w:val="00D479EF"/>
    <w:rsid w:val="00D62C3E"/>
    <w:rsid w:val="00D86340"/>
    <w:rsid w:val="00DF677F"/>
    <w:rsid w:val="00E31F4B"/>
    <w:rsid w:val="00E51211"/>
    <w:rsid w:val="00EA3641"/>
    <w:rsid w:val="00ED57C0"/>
    <w:rsid w:val="00F11243"/>
    <w:rsid w:val="00F458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E67A1-213B-4253-9DA6-4B4A9286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Vedasri Lakshmanan</dc:creator>
  <cp:keywords/>
  <dc:description/>
  <cp:lastModifiedBy>Vedasri Lakshmanan</cp:lastModifiedBy>
  <cp:revision>1</cp:revision>
  <dcterms:created xsi:type="dcterms:W3CDTF">2026-03-25T02:40:00Z</dcterms:created>
  <dcterms:modified xsi:type="dcterms:W3CDTF">2026-03-25T03:01:00Z</dcterms:modified>
</cp:coreProperties>
</file>