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7547F" w14:textId="77777777" w:rsidR="001E13BC" w:rsidRDefault="001E13BC" w:rsidP="0081322F">
      <w:pPr>
        <w:rPr>
          <w:rFonts w:ascii="Times New Roman" w:hAnsi="Times New Roman" w:cs="Times New Roman"/>
          <w:b/>
          <w:bCs/>
        </w:rPr>
      </w:pPr>
      <w:r w:rsidRPr="001E13BC">
        <w:rPr>
          <w:rFonts w:ascii="Times New Roman" w:hAnsi="Times New Roman" w:cs="Times New Roman"/>
          <w:b/>
          <w:bCs/>
        </w:rPr>
        <w:t xml:space="preserve">Supplementary Methods </w:t>
      </w:r>
    </w:p>
    <w:p w14:paraId="24654626" w14:textId="14FA3A32" w:rsidR="001E13BC" w:rsidRPr="0081322F" w:rsidRDefault="001E13BC" w:rsidP="0081322F">
      <w:pPr>
        <w:rPr>
          <w:rFonts w:ascii="Times New Roman" w:hAnsi="Times New Roman" w:cs="Times New Roman"/>
          <w:b/>
          <w:bCs/>
        </w:rPr>
      </w:pPr>
      <w:r w:rsidRPr="001E13BC">
        <w:rPr>
          <w:rFonts w:ascii="Times New Roman" w:hAnsi="Times New Roman" w:cs="Times New Roman"/>
          <w:b/>
          <w:bCs/>
        </w:rPr>
        <w:t>MD simulation parameters</w:t>
      </w:r>
    </w:p>
    <w:p w14:paraId="720013C7" w14:textId="77777777" w:rsidR="0037781D" w:rsidRDefault="0037781D" w:rsidP="008C5287">
      <w:pPr>
        <w:spacing w:line="360" w:lineRule="auto"/>
        <w:jc w:val="both"/>
        <w:rPr>
          <w:rFonts w:ascii="Times New Roman" w:hAnsi="Times New Roman" w:cs="Times New Roman"/>
        </w:rPr>
      </w:pPr>
    </w:p>
    <w:p w14:paraId="2DBB1D49" w14:textId="4AADA4C5" w:rsidR="008C5287" w:rsidRDefault="008C5287" w:rsidP="0081322F">
      <w:pPr>
        <w:spacing w:line="480" w:lineRule="auto"/>
        <w:jc w:val="both"/>
        <w:rPr>
          <w:rFonts w:ascii="Times New Roman" w:hAnsi="Times New Roman" w:cs="Times New Roman"/>
        </w:rPr>
      </w:pPr>
      <w:r w:rsidRPr="00C14978">
        <w:rPr>
          <w:rFonts w:ascii="Times New Roman" w:hAnsi="Times New Roman" w:cs="Times New Roman"/>
        </w:rPr>
        <w:t>Each pendrin structure was placed in a virtual cubic box, and water molecules were subsequently added as a solvent using the Simple Point Charge (SPC) water model to generate a simulated system. Then, sodium (Na+) and chloride (Cl-) ions were added to neutralize the system. To ensure a stable pre-simulation conformation, energy minimization was performed on them using the steepest descent method for 5000 steps. Next comes the equilibration step, in which each protein was conditioned to the simulation's target temperature and pressure. Two equilibration phases were conducted for each protein; the first phase was carried out under NVT conditions (constant number of particles, volume, and temperature) for 100 picoseconds (</w:t>
      </w:r>
      <w:proofErr w:type="spellStart"/>
      <w:r w:rsidRPr="00C14978">
        <w:rPr>
          <w:rFonts w:ascii="Times New Roman" w:hAnsi="Times New Roman" w:cs="Times New Roman"/>
        </w:rPr>
        <w:t>ps</w:t>
      </w:r>
      <w:proofErr w:type="spellEnd"/>
      <w:r w:rsidRPr="00C14978">
        <w:rPr>
          <w:rFonts w:ascii="Times New Roman" w:hAnsi="Times New Roman" w:cs="Times New Roman"/>
        </w:rPr>
        <w:t xml:space="preserve">) at a temperature of 300 K. The second phase was performed under NPT conditions (constant number of particles, pressure, and temperature) for 100 </w:t>
      </w:r>
      <w:proofErr w:type="spellStart"/>
      <w:r w:rsidRPr="00C14978">
        <w:rPr>
          <w:rFonts w:ascii="Times New Roman" w:hAnsi="Times New Roman" w:cs="Times New Roman"/>
        </w:rPr>
        <w:t>ps</w:t>
      </w:r>
      <w:proofErr w:type="spellEnd"/>
      <w:r w:rsidRPr="00C14978">
        <w:rPr>
          <w:rFonts w:ascii="Times New Roman" w:hAnsi="Times New Roman" w:cs="Times New Roman"/>
        </w:rPr>
        <w:t xml:space="preserve"> at a temperature of 300 K and a pressure of 1 bar. In all proteins prepared, molecular dynamics (MD) was generated at a temperature of 300 K during </w:t>
      </w:r>
      <w:r w:rsidR="00C70E8A" w:rsidRPr="00C14978">
        <w:rPr>
          <w:rFonts w:ascii="Times New Roman" w:hAnsi="Times New Roman" w:cs="Times New Roman"/>
        </w:rPr>
        <w:t>a simulation of 1</w:t>
      </w:r>
      <w:r w:rsidRPr="00C14978">
        <w:rPr>
          <w:rFonts w:ascii="Times New Roman" w:hAnsi="Times New Roman" w:cs="Times New Roman"/>
        </w:rPr>
        <w:t xml:space="preserve">00 nanoseconds (ns). </w:t>
      </w:r>
      <w:r w:rsidR="00DA774E" w:rsidRPr="00C14978">
        <w:rPr>
          <w:rFonts w:ascii="Times New Roman" w:hAnsi="Times New Roman" w:cs="Times New Roman"/>
        </w:rPr>
        <w:t>All preparation and production steps of the molecular dynamics simulations were performed on the High-Performance Computing cluster MARWAN (HPC-MARWAN) at the National Center for Scientific and Technical Research (CNRST), Rabat, Morocco (</w:t>
      </w:r>
      <w:hyperlink r:id="rId5" w:history="1">
        <w:r w:rsidR="00DA774E" w:rsidRPr="00C14978">
          <w:rPr>
            <w:rStyle w:val="Lienhypertexte"/>
            <w:rFonts w:ascii="Times New Roman" w:hAnsi="Times New Roman" w:cs="Times New Roman"/>
          </w:rPr>
          <w:t>https://hpc.marwan.ma/</w:t>
        </w:r>
      </w:hyperlink>
      <w:r w:rsidR="00DA774E" w:rsidRPr="00C14978">
        <w:rPr>
          <w:rFonts w:ascii="Times New Roman" w:hAnsi="Times New Roman" w:cs="Times New Roman"/>
        </w:rPr>
        <w:t xml:space="preserve"> ).</w:t>
      </w:r>
      <w:r w:rsidRPr="00C14978">
        <w:rPr>
          <w:rFonts w:ascii="Times New Roman" w:hAnsi="Times New Roman" w:cs="Times New Roman"/>
        </w:rPr>
        <w:t>We calculated the root mean square deviation (RMSD), root mean square fluctuation (RMSF), and radius of gyration (</w:t>
      </w:r>
      <w:proofErr w:type="spellStart"/>
      <w:r w:rsidRPr="00C14978">
        <w:rPr>
          <w:rFonts w:ascii="Times New Roman" w:hAnsi="Times New Roman" w:cs="Times New Roman"/>
        </w:rPr>
        <w:t>Rg</w:t>
      </w:r>
      <w:proofErr w:type="spellEnd"/>
      <w:r w:rsidRPr="00C14978">
        <w:rPr>
          <w:rFonts w:ascii="Times New Roman" w:hAnsi="Times New Roman" w:cs="Times New Roman"/>
        </w:rPr>
        <w:t xml:space="preserve">) using the commands </w:t>
      </w:r>
      <w:proofErr w:type="spellStart"/>
      <w:r w:rsidRPr="00C14978">
        <w:rPr>
          <w:rFonts w:ascii="Times New Roman" w:hAnsi="Times New Roman" w:cs="Times New Roman"/>
        </w:rPr>
        <w:t>gmx</w:t>
      </w:r>
      <w:proofErr w:type="spellEnd"/>
      <w:r w:rsidRPr="00C14978">
        <w:rPr>
          <w:rFonts w:ascii="Times New Roman" w:hAnsi="Times New Roman" w:cs="Times New Roman"/>
        </w:rPr>
        <w:t xml:space="preserve"> </w:t>
      </w:r>
      <w:proofErr w:type="spellStart"/>
      <w:r w:rsidRPr="00C14978">
        <w:rPr>
          <w:rFonts w:ascii="Times New Roman" w:hAnsi="Times New Roman" w:cs="Times New Roman"/>
        </w:rPr>
        <w:t>rmsd</w:t>
      </w:r>
      <w:proofErr w:type="spellEnd"/>
      <w:r w:rsidRPr="00C14978">
        <w:rPr>
          <w:rFonts w:ascii="Times New Roman" w:hAnsi="Times New Roman" w:cs="Times New Roman"/>
        </w:rPr>
        <w:t xml:space="preserve">, </w:t>
      </w:r>
      <w:proofErr w:type="spellStart"/>
      <w:r w:rsidRPr="00C14978">
        <w:rPr>
          <w:rFonts w:ascii="Times New Roman" w:hAnsi="Times New Roman" w:cs="Times New Roman"/>
        </w:rPr>
        <w:t>gmx</w:t>
      </w:r>
      <w:proofErr w:type="spellEnd"/>
      <w:r w:rsidRPr="00C14978">
        <w:rPr>
          <w:rFonts w:ascii="Times New Roman" w:hAnsi="Times New Roman" w:cs="Times New Roman"/>
        </w:rPr>
        <w:t xml:space="preserve"> </w:t>
      </w:r>
      <w:proofErr w:type="spellStart"/>
      <w:r w:rsidRPr="00C14978">
        <w:rPr>
          <w:rFonts w:ascii="Times New Roman" w:hAnsi="Times New Roman" w:cs="Times New Roman"/>
        </w:rPr>
        <w:t>rmsf</w:t>
      </w:r>
      <w:proofErr w:type="spellEnd"/>
      <w:r w:rsidRPr="00C14978">
        <w:rPr>
          <w:rFonts w:ascii="Times New Roman" w:hAnsi="Times New Roman" w:cs="Times New Roman"/>
        </w:rPr>
        <w:t xml:space="preserve">, and </w:t>
      </w:r>
      <w:proofErr w:type="spellStart"/>
      <w:r w:rsidRPr="00C14978">
        <w:rPr>
          <w:rFonts w:ascii="Times New Roman" w:hAnsi="Times New Roman" w:cs="Times New Roman"/>
        </w:rPr>
        <w:t>gmx</w:t>
      </w:r>
      <w:proofErr w:type="spellEnd"/>
      <w:r w:rsidRPr="00C14978">
        <w:rPr>
          <w:rFonts w:ascii="Times New Roman" w:hAnsi="Times New Roman" w:cs="Times New Roman"/>
        </w:rPr>
        <w:t xml:space="preserve"> gyrate, respectively. We then created graphs of these parameters using the </w:t>
      </w:r>
      <w:proofErr w:type="spellStart"/>
      <w:r w:rsidRPr="00C14978">
        <w:rPr>
          <w:rFonts w:ascii="Times New Roman" w:hAnsi="Times New Roman" w:cs="Times New Roman"/>
        </w:rPr>
        <w:t>QtGrace</w:t>
      </w:r>
      <w:proofErr w:type="spellEnd"/>
      <w:r w:rsidRPr="00C14978">
        <w:rPr>
          <w:rFonts w:ascii="Times New Roman" w:hAnsi="Times New Roman" w:cs="Times New Roman"/>
        </w:rPr>
        <w:t xml:space="preserve"> program.</w:t>
      </w:r>
    </w:p>
    <w:p w14:paraId="7D8842C9" w14:textId="77777777" w:rsidR="0081322F" w:rsidRDefault="0081322F" w:rsidP="0081322F">
      <w:pPr>
        <w:spacing w:line="480" w:lineRule="auto"/>
        <w:jc w:val="both"/>
        <w:rPr>
          <w:rFonts w:ascii="Times New Roman" w:hAnsi="Times New Roman" w:cs="Times New Roman"/>
        </w:rPr>
      </w:pPr>
    </w:p>
    <w:p w14:paraId="34FD5273" w14:textId="77777777" w:rsidR="00F70F21" w:rsidRDefault="00F70F21" w:rsidP="0081322F">
      <w:pPr>
        <w:spacing w:line="480" w:lineRule="auto"/>
        <w:jc w:val="both"/>
        <w:rPr>
          <w:rFonts w:ascii="Times New Roman" w:hAnsi="Times New Roman" w:cs="Times New Roman"/>
        </w:rPr>
      </w:pPr>
    </w:p>
    <w:p w14:paraId="38665BAD" w14:textId="77777777" w:rsidR="00F70F21" w:rsidRDefault="00F70F21" w:rsidP="0081322F">
      <w:pPr>
        <w:spacing w:line="480" w:lineRule="auto"/>
        <w:jc w:val="both"/>
        <w:rPr>
          <w:rFonts w:ascii="Times New Roman" w:hAnsi="Times New Roman" w:cs="Times New Roman"/>
        </w:rPr>
      </w:pPr>
    </w:p>
    <w:p w14:paraId="79A90189" w14:textId="77777777" w:rsidR="00F70F21" w:rsidRDefault="00F70F21" w:rsidP="0081322F">
      <w:pPr>
        <w:spacing w:line="480" w:lineRule="auto"/>
        <w:jc w:val="both"/>
        <w:rPr>
          <w:rFonts w:ascii="Times New Roman" w:hAnsi="Times New Roman" w:cs="Times New Roman"/>
        </w:rPr>
      </w:pPr>
    </w:p>
    <w:p w14:paraId="6BBAF27B" w14:textId="77777777" w:rsidR="00F70F21" w:rsidRDefault="00F70F21" w:rsidP="0081322F">
      <w:pPr>
        <w:spacing w:line="480" w:lineRule="auto"/>
        <w:jc w:val="both"/>
        <w:rPr>
          <w:rFonts w:ascii="Times New Roman" w:hAnsi="Times New Roman" w:cs="Times New Roman"/>
        </w:rPr>
      </w:pPr>
    </w:p>
    <w:p w14:paraId="33A8276F" w14:textId="77777777" w:rsidR="001E13BC" w:rsidRDefault="001E13BC" w:rsidP="0081322F">
      <w:pPr>
        <w:spacing w:line="480" w:lineRule="auto"/>
        <w:jc w:val="both"/>
        <w:rPr>
          <w:rFonts w:ascii="Times New Roman" w:hAnsi="Times New Roman" w:cs="Times New Roman"/>
        </w:rPr>
      </w:pPr>
    </w:p>
    <w:p w14:paraId="1EB2CE15" w14:textId="77777777" w:rsidR="001E13BC" w:rsidRDefault="001E13BC" w:rsidP="0081322F">
      <w:pPr>
        <w:spacing w:line="480" w:lineRule="auto"/>
        <w:jc w:val="both"/>
        <w:rPr>
          <w:rFonts w:ascii="Times New Roman" w:hAnsi="Times New Roman" w:cs="Times New Roman"/>
        </w:rPr>
      </w:pPr>
    </w:p>
    <w:p w14:paraId="75A93FBC" w14:textId="0D9B745C" w:rsidR="00F70F21" w:rsidRPr="001E13BC" w:rsidRDefault="00F70F21" w:rsidP="001E13BC">
      <w:pPr>
        <w:rPr>
          <w:rFonts w:ascii="Times New Roman" w:hAnsi="Times New Roman" w:cs="Times New Roman"/>
          <w:b/>
          <w:bCs/>
        </w:rPr>
      </w:pPr>
      <w:r w:rsidRPr="001E13BC">
        <w:rPr>
          <w:rFonts w:ascii="Times New Roman" w:hAnsi="Times New Roman" w:cs="Times New Roman"/>
          <w:b/>
          <w:bCs/>
        </w:rPr>
        <w:lastRenderedPageBreak/>
        <w:t>Supplementary Results</w:t>
      </w:r>
    </w:p>
    <w:p w14:paraId="78FF10B2" w14:textId="7272FCAE" w:rsidR="00F70F21" w:rsidRDefault="00F70F21" w:rsidP="00F70F21">
      <w:pPr>
        <w:rPr>
          <w:rFonts w:ascii="Times New Roman" w:hAnsi="Times New Roman" w:cs="Times New Roman"/>
          <w:b/>
          <w:bCs/>
        </w:rPr>
      </w:pPr>
    </w:p>
    <w:p w14:paraId="366BE9FC" w14:textId="07CDEA32" w:rsidR="00F70F21" w:rsidRDefault="00F70F21" w:rsidP="00F70F21">
      <w:pPr>
        <w:rPr>
          <w:rFonts w:ascii="Times New Roman" w:hAnsi="Times New Roman" w:cs="Times New Roman"/>
          <w:b/>
          <w:bCs/>
          <w:lang w:val="en-CA"/>
        </w:rPr>
      </w:pPr>
      <w:r>
        <w:rPr>
          <w:rFonts w:ascii="Times New Roman" w:hAnsi="Times New Roman" w:cs="Times New Roman"/>
          <w:b/>
          <w:bCs/>
          <w:lang w:val="en-CA"/>
        </w:rPr>
        <w:t>S</w:t>
      </w:r>
      <w:r w:rsidR="002C0E80">
        <w:rPr>
          <w:rFonts w:ascii="Times New Roman" w:hAnsi="Times New Roman" w:cs="Times New Roman"/>
          <w:b/>
          <w:bCs/>
          <w:lang w:val="en-CA"/>
        </w:rPr>
        <w:t>1</w:t>
      </w:r>
      <w:r>
        <w:rPr>
          <w:rFonts w:ascii="Times New Roman" w:hAnsi="Times New Roman" w:cs="Times New Roman"/>
          <w:b/>
          <w:bCs/>
          <w:lang w:val="en-CA"/>
        </w:rPr>
        <w:t xml:space="preserve">. </w:t>
      </w:r>
      <w:r w:rsidRPr="00F70F21">
        <w:rPr>
          <w:rFonts w:ascii="Times New Roman" w:hAnsi="Times New Roman" w:cs="Times New Roman"/>
          <w:b/>
          <w:bCs/>
          <w:lang w:val="en-CA"/>
        </w:rPr>
        <w:t>Conformation-specific effects on pendrin homodimer stability</w:t>
      </w:r>
    </w:p>
    <w:p w14:paraId="529F78AC" w14:textId="77777777" w:rsidR="00C15CDB" w:rsidRDefault="00C15CDB" w:rsidP="00F70F21">
      <w:pPr>
        <w:rPr>
          <w:rFonts w:ascii="Times New Roman" w:hAnsi="Times New Roman" w:cs="Times New Roman"/>
          <w:b/>
          <w:bCs/>
          <w:lang w:val="en-CA"/>
        </w:rPr>
      </w:pPr>
    </w:p>
    <w:p w14:paraId="1972B693" w14:textId="39A1AA73" w:rsidR="00F70F21" w:rsidRDefault="00F70F21" w:rsidP="00F70F21">
      <w:pPr>
        <w:spacing w:line="480" w:lineRule="auto"/>
        <w:jc w:val="both"/>
        <w:rPr>
          <w:rFonts w:asciiTheme="majorBidi" w:hAnsiTheme="majorBidi" w:cstheme="majorBidi"/>
          <w:sz w:val="20"/>
          <w:szCs w:val="20"/>
          <w:lang w:val="en-CA"/>
        </w:rPr>
      </w:pPr>
      <w:r w:rsidRPr="00A5146F">
        <w:rPr>
          <w:rFonts w:asciiTheme="majorBidi" w:hAnsiTheme="majorBidi" w:cstheme="majorBidi"/>
          <w:sz w:val="20"/>
          <w:szCs w:val="20"/>
          <w:lang w:val="en-CA"/>
        </w:rPr>
        <w:t xml:space="preserve">Analysis of RMSD plots revealed distinct effects on mutants in all three conformational states </w:t>
      </w:r>
      <w:r w:rsidRPr="00A5146F">
        <w:rPr>
          <w:rFonts w:asciiTheme="majorBidi" w:hAnsiTheme="majorBidi" w:cstheme="majorBidi"/>
          <w:b/>
          <w:bCs/>
          <w:sz w:val="20"/>
          <w:szCs w:val="20"/>
          <w:lang w:val="en-CA"/>
        </w:rPr>
        <w:t>(Fig. 4a-c).</w:t>
      </w:r>
      <w:r w:rsidRPr="00A5146F">
        <w:rPr>
          <w:rFonts w:asciiTheme="majorBidi" w:hAnsiTheme="majorBidi" w:cstheme="majorBidi"/>
          <w:sz w:val="20"/>
          <w:szCs w:val="20"/>
          <w:lang w:val="en-CA"/>
        </w:rPr>
        <w:t xml:space="preserve"> In the inward-facing state, the RMSD trajectory of the F555C mutant diverged clearly from the WT after 70 ns, reaching the highest RMSD values, indicating a pronounced destabilizing effect on the dimeric interface. In contrast, L582P consistently remained below the WT (0.30–0.43 nm), suggesting a more rigid and stabilized conformation in this state (</w:t>
      </w:r>
      <w:r w:rsidRPr="00A5146F">
        <w:rPr>
          <w:rFonts w:asciiTheme="majorBidi" w:hAnsiTheme="majorBidi" w:cstheme="majorBidi"/>
          <w:b/>
          <w:bCs/>
          <w:sz w:val="20"/>
          <w:szCs w:val="20"/>
          <w:lang w:val="en-CA"/>
        </w:rPr>
        <w:t>Fig. 4a</w:t>
      </w:r>
      <w:r w:rsidRPr="00A5146F">
        <w:rPr>
          <w:rFonts w:asciiTheme="majorBidi" w:hAnsiTheme="majorBidi" w:cstheme="majorBidi"/>
          <w:sz w:val="20"/>
          <w:szCs w:val="20"/>
          <w:lang w:val="en-CA"/>
        </w:rPr>
        <w:t>). In the outward-facing state, L582P showed a marked increase in RMSD trajectory compared with the WT across the entire simulation, indicating a sustained destabilizing effect on the outward conformation. In contrast, the RMSD profile of F555C showed an initial increase during the first 70 ns, after which its trajectory progressively converged toward the WT profile, consistent with an initial structural perturbation followed by partial stabilization (</w:t>
      </w:r>
      <w:r w:rsidRPr="00A5146F">
        <w:rPr>
          <w:rFonts w:asciiTheme="majorBidi" w:hAnsiTheme="majorBidi" w:cstheme="majorBidi"/>
          <w:b/>
          <w:bCs/>
          <w:sz w:val="20"/>
          <w:szCs w:val="20"/>
          <w:lang w:val="en-CA"/>
        </w:rPr>
        <w:t>Fig. 4b</w:t>
      </w:r>
      <w:r w:rsidRPr="00A5146F">
        <w:rPr>
          <w:rFonts w:asciiTheme="majorBidi" w:hAnsiTheme="majorBidi" w:cstheme="majorBidi"/>
          <w:sz w:val="20"/>
          <w:szCs w:val="20"/>
          <w:lang w:val="en-CA"/>
        </w:rPr>
        <w:t xml:space="preserve">). In the asymmetric state, S353A produced the most significant and persistent RMSD increase, indicating marked destabilization of this transitional conformation. F555C also exhibited persistently higher RMSD values than the WT, reflecting </w:t>
      </w:r>
      <w:r w:rsidR="00921FD1" w:rsidRPr="00921FD1">
        <w:rPr>
          <w:rFonts w:asciiTheme="majorBidi" w:hAnsiTheme="majorBidi" w:cstheme="majorBidi"/>
          <w:color w:val="000000" w:themeColor="text1"/>
          <w:sz w:val="20"/>
          <w:szCs w:val="20"/>
        </w:rPr>
        <w:t>destabilization effect in this state</w:t>
      </w:r>
      <w:r w:rsidRPr="00A5146F">
        <w:rPr>
          <w:rFonts w:asciiTheme="majorBidi" w:hAnsiTheme="majorBidi" w:cstheme="majorBidi"/>
          <w:sz w:val="20"/>
          <w:szCs w:val="20"/>
          <w:lang w:val="en-CA"/>
        </w:rPr>
        <w:t>. In contrast, L582P closely followed the WT trajectory, with minimal deviation, indicating preserved backbone stability in this state (</w:t>
      </w:r>
      <w:r w:rsidRPr="00A5146F">
        <w:rPr>
          <w:rFonts w:asciiTheme="majorBidi" w:hAnsiTheme="majorBidi" w:cstheme="majorBidi"/>
          <w:b/>
          <w:bCs/>
          <w:sz w:val="20"/>
          <w:szCs w:val="20"/>
          <w:lang w:val="en-CA"/>
        </w:rPr>
        <w:t>Fig. 4c</w:t>
      </w:r>
      <w:r w:rsidRPr="00A5146F">
        <w:rPr>
          <w:rFonts w:asciiTheme="majorBidi" w:hAnsiTheme="majorBidi" w:cstheme="majorBidi"/>
          <w:sz w:val="20"/>
          <w:szCs w:val="20"/>
          <w:lang w:val="en-CA"/>
        </w:rPr>
        <w:t>).</w:t>
      </w:r>
    </w:p>
    <w:p w14:paraId="60D2D62E" w14:textId="77777777" w:rsidR="00F70F21" w:rsidRDefault="00F70F21" w:rsidP="00F70F21">
      <w:pPr>
        <w:rPr>
          <w:rFonts w:ascii="Times New Roman" w:hAnsi="Times New Roman" w:cs="Times New Roman"/>
          <w:b/>
          <w:bCs/>
          <w:lang w:val="en-CA"/>
        </w:rPr>
      </w:pPr>
    </w:p>
    <w:p w14:paraId="6A828501" w14:textId="2BEB1ADE" w:rsidR="00F70F21" w:rsidRDefault="00F70F21" w:rsidP="00C15CDB">
      <w:pPr>
        <w:spacing w:line="278" w:lineRule="auto"/>
        <w:rPr>
          <w:rFonts w:ascii="Times New Roman" w:hAnsi="Times New Roman" w:cs="Times New Roman"/>
          <w:b/>
          <w:bCs/>
          <w:lang w:val="en-CA"/>
        </w:rPr>
      </w:pPr>
      <w:r w:rsidRPr="00A5146F">
        <w:rPr>
          <w:rFonts w:ascii="Times New Roman" w:hAnsi="Times New Roman" w:cs="Times New Roman"/>
          <w:b/>
          <w:bCs/>
          <w:lang w:val="en-CA"/>
        </w:rPr>
        <w:t>S</w:t>
      </w:r>
      <w:r w:rsidR="002C0E80">
        <w:rPr>
          <w:rFonts w:ascii="Times New Roman" w:hAnsi="Times New Roman" w:cs="Times New Roman"/>
          <w:b/>
          <w:bCs/>
          <w:lang w:val="en-CA"/>
        </w:rPr>
        <w:t>2</w:t>
      </w:r>
      <w:r w:rsidRPr="00A5146F">
        <w:rPr>
          <w:rFonts w:ascii="Times New Roman" w:hAnsi="Times New Roman" w:cs="Times New Roman"/>
          <w:b/>
          <w:bCs/>
          <w:lang w:val="en-CA"/>
        </w:rPr>
        <w:t xml:space="preserve">. </w:t>
      </w:r>
      <w:r w:rsidRPr="00F70F21">
        <w:rPr>
          <w:rFonts w:ascii="Times New Roman" w:hAnsi="Times New Roman" w:cs="Times New Roman"/>
          <w:b/>
          <w:bCs/>
          <w:lang w:val="en-CA"/>
        </w:rPr>
        <w:t>Asymmetric flexibility changes across pendrin protomers</w:t>
      </w:r>
    </w:p>
    <w:p w14:paraId="0BB8F01F" w14:textId="77777777" w:rsidR="00C15CDB" w:rsidRPr="00C15CDB" w:rsidRDefault="00C15CDB" w:rsidP="00C15CDB">
      <w:pPr>
        <w:spacing w:line="278" w:lineRule="auto"/>
        <w:rPr>
          <w:rFonts w:ascii="Times New Roman" w:hAnsi="Times New Roman" w:cs="Times New Roman"/>
          <w:b/>
          <w:bCs/>
          <w:lang w:val="en-CA"/>
        </w:rPr>
      </w:pPr>
    </w:p>
    <w:p w14:paraId="37BB9C1B" w14:textId="18DFD6DF" w:rsidR="00F70F21" w:rsidRDefault="00F70F21" w:rsidP="00F70F21">
      <w:pPr>
        <w:spacing w:line="480" w:lineRule="auto"/>
        <w:jc w:val="both"/>
        <w:rPr>
          <w:rFonts w:asciiTheme="majorBidi" w:hAnsiTheme="majorBidi" w:cstheme="majorBidi"/>
          <w:sz w:val="20"/>
          <w:szCs w:val="20"/>
          <w:lang w:val="en-CA"/>
        </w:rPr>
      </w:pPr>
      <w:r w:rsidRPr="00F70F21">
        <w:rPr>
          <w:rFonts w:asciiTheme="majorBidi" w:hAnsiTheme="majorBidi" w:cstheme="majorBidi"/>
          <w:sz w:val="20"/>
          <w:szCs w:val="20"/>
          <w:lang w:val="en-CA"/>
        </w:rPr>
        <w:t>RMSF profiles revealed asymmetric flexibility changes between the two protomers of the pendrin homodimer, with each variant displaying a distinct local mobility signature across the three conformational states (</w:t>
      </w:r>
      <w:r w:rsidRPr="00F70F21">
        <w:rPr>
          <w:rFonts w:asciiTheme="majorBidi" w:hAnsiTheme="majorBidi" w:cstheme="majorBidi"/>
          <w:b/>
          <w:bCs/>
          <w:sz w:val="20"/>
          <w:szCs w:val="20"/>
          <w:lang w:val="en-CA"/>
        </w:rPr>
        <w:t>Fig. 5a-c</w:t>
      </w:r>
      <w:r w:rsidRPr="00F70F21">
        <w:rPr>
          <w:rFonts w:asciiTheme="majorBidi" w:hAnsiTheme="majorBidi" w:cstheme="majorBidi"/>
          <w:sz w:val="20"/>
          <w:szCs w:val="20"/>
          <w:lang w:val="en-CA"/>
        </w:rPr>
        <w:t>). In the inward-facing state, this asymmetry was particularly evident.</w:t>
      </w:r>
      <w:r w:rsidRPr="00A5146F">
        <w:rPr>
          <w:rFonts w:asciiTheme="majorBidi" w:hAnsiTheme="majorBidi" w:cstheme="majorBidi"/>
          <w:sz w:val="20"/>
          <w:szCs w:val="20"/>
          <w:lang w:val="en-CA"/>
        </w:rPr>
        <w:t xml:space="preserve"> In protomer A, the L582P variant exhibited three major fluctuation peaks, the most prominent spanning residues 150–180, with two additional peaks at residues 280 (0.8 nm) and 320 (0.62 nm), reflecting localized increases in backbone mobility. In contrast, the F555C variant showed a localized increase in flexibility around its mutation site, which extended into a series of successive fluctuation peaks along the STAS domain. In protomer B, both F555C and L582P displayed globally higher RMSF values than the WT, indicating enhanced flexibility of this protomer (</w:t>
      </w:r>
      <w:r w:rsidRPr="00A5146F">
        <w:rPr>
          <w:rFonts w:asciiTheme="majorBidi" w:hAnsiTheme="majorBidi" w:cstheme="majorBidi"/>
          <w:b/>
          <w:bCs/>
          <w:sz w:val="20"/>
          <w:szCs w:val="20"/>
          <w:lang w:val="en-CA"/>
        </w:rPr>
        <w:t>Fig. 5a</w:t>
      </w:r>
      <w:r w:rsidRPr="00A5146F">
        <w:rPr>
          <w:rFonts w:asciiTheme="majorBidi" w:hAnsiTheme="majorBidi" w:cstheme="majorBidi"/>
          <w:sz w:val="20"/>
          <w:szCs w:val="20"/>
          <w:lang w:val="en-CA"/>
        </w:rPr>
        <w:t xml:space="preserve">). In the outward-facing conformation, protomer A remained largely comparable to the WT for both variants, except for a modest increase in mobility in F555C around residues 50–75. In protomer B, both variants increased flexibility along the entire chain, with a dominant peak between residues 50 and 60 for L582P, whereas F555C exhibited a marked fluctuation </w:t>
      </w:r>
      <w:r w:rsidRPr="00A5146F">
        <w:rPr>
          <w:rFonts w:asciiTheme="majorBidi" w:hAnsiTheme="majorBidi" w:cstheme="majorBidi"/>
          <w:sz w:val="20"/>
          <w:szCs w:val="20"/>
          <w:lang w:val="en-CA"/>
        </w:rPr>
        <w:lastRenderedPageBreak/>
        <w:t>peak within residues 150–175 (</w:t>
      </w:r>
      <w:r w:rsidRPr="00A5146F">
        <w:rPr>
          <w:rFonts w:asciiTheme="majorBidi" w:hAnsiTheme="majorBidi" w:cstheme="majorBidi"/>
          <w:b/>
          <w:bCs/>
          <w:sz w:val="20"/>
          <w:szCs w:val="20"/>
          <w:lang w:val="en-CA"/>
        </w:rPr>
        <w:t>Fig. 5b</w:t>
      </w:r>
      <w:r w:rsidRPr="00A5146F">
        <w:rPr>
          <w:rFonts w:asciiTheme="majorBidi" w:hAnsiTheme="majorBidi" w:cstheme="majorBidi"/>
          <w:sz w:val="20"/>
          <w:szCs w:val="20"/>
          <w:lang w:val="en-CA"/>
        </w:rPr>
        <w:t>). In the asymmetric state, protomer A closely followed the WT profile across all variants, whereas protomer B displayed clear variant-specific behaviors. L582P generated the highest N-terminal peak (residues 25–70) with broadly elevated fluctuations along the chain, indicating a globally more relaxed backbone. F555C exhibited a mild increase around the N-terminal region (residues 25-70) but remained largely superimposed on the WT across the rest of the chain, suggesting minimal flexibility changes in this conformation. In contrast, S353A produced a progressive increase in flexibility along protomer B, becoming particularly pronounced beyond residue 460 and extending into the STAS-proximal region, indicating enhanced conformational plasticity within this domain (</w:t>
      </w:r>
      <w:r w:rsidRPr="00A5146F">
        <w:rPr>
          <w:rFonts w:asciiTheme="majorBidi" w:hAnsiTheme="majorBidi" w:cstheme="majorBidi"/>
          <w:b/>
          <w:bCs/>
          <w:sz w:val="20"/>
          <w:szCs w:val="20"/>
          <w:lang w:val="en-CA"/>
        </w:rPr>
        <w:t>Fig. 5c</w:t>
      </w:r>
      <w:r w:rsidRPr="00A5146F">
        <w:rPr>
          <w:rFonts w:asciiTheme="majorBidi" w:hAnsiTheme="majorBidi" w:cstheme="majorBidi"/>
          <w:sz w:val="20"/>
          <w:szCs w:val="20"/>
          <w:lang w:val="en-CA"/>
        </w:rPr>
        <w:t>).</w:t>
      </w:r>
    </w:p>
    <w:p w14:paraId="5A7A2E1C" w14:textId="42190264" w:rsidR="00C15CDB" w:rsidRPr="0091581C" w:rsidRDefault="00F70F21" w:rsidP="00F70F21">
      <w:pPr>
        <w:spacing w:line="480" w:lineRule="auto"/>
        <w:jc w:val="both"/>
        <w:rPr>
          <w:rFonts w:asciiTheme="majorBidi" w:hAnsiTheme="majorBidi" w:cstheme="majorBidi"/>
          <w:b/>
          <w:bCs/>
          <w:sz w:val="20"/>
          <w:szCs w:val="20"/>
        </w:rPr>
      </w:pPr>
      <w:r w:rsidRPr="0091581C">
        <w:rPr>
          <w:rFonts w:asciiTheme="majorBidi" w:hAnsiTheme="majorBidi" w:cstheme="majorBidi"/>
          <w:b/>
          <w:bCs/>
          <w:sz w:val="20"/>
          <w:szCs w:val="20"/>
          <w:lang w:val="en-CA"/>
        </w:rPr>
        <w:t>S</w:t>
      </w:r>
      <w:r w:rsidR="002C0E80" w:rsidRPr="0091581C">
        <w:rPr>
          <w:rFonts w:asciiTheme="majorBidi" w:hAnsiTheme="majorBidi" w:cstheme="majorBidi"/>
          <w:b/>
          <w:bCs/>
          <w:sz w:val="20"/>
          <w:szCs w:val="20"/>
          <w:lang w:val="en-CA"/>
        </w:rPr>
        <w:t>3</w:t>
      </w:r>
      <w:r w:rsidRPr="0091581C">
        <w:rPr>
          <w:rFonts w:asciiTheme="majorBidi" w:hAnsiTheme="majorBidi" w:cstheme="majorBidi"/>
          <w:b/>
          <w:bCs/>
          <w:sz w:val="20"/>
          <w:szCs w:val="20"/>
          <w:lang w:val="en-CA"/>
        </w:rPr>
        <w:t xml:space="preserve">. </w:t>
      </w:r>
      <w:r w:rsidRPr="0091581C">
        <w:rPr>
          <w:rFonts w:asciiTheme="majorBidi" w:hAnsiTheme="majorBidi" w:cstheme="majorBidi"/>
          <w:b/>
          <w:bCs/>
          <w:sz w:val="20"/>
          <w:szCs w:val="20"/>
        </w:rPr>
        <w:t>Altered dimer compactness in mutant pendrin</w:t>
      </w:r>
    </w:p>
    <w:p w14:paraId="477515A2" w14:textId="77777777" w:rsidR="00F70F21" w:rsidRPr="00A5146F" w:rsidRDefault="00F70F21" w:rsidP="00F70F21">
      <w:pPr>
        <w:spacing w:line="480" w:lineRule="auto"/>
        <w:jc w:val="both"/>
        <w:rPr>
          <w:rFonts w:asciiTheme="majorBidi" w:hAnsiTheme="majorBidi" w:cstheme="majorBidi"/>
          <w:sz w:val="20"/>
          <w:szCs w:val="20"/>
          <w:lang w:val="en-CA"/>
        </w:rPr>
      </w:pPr>
      <w:r w:rsidRPr="00F70F21">
        <w:rPr>
          <w:rFonts w:asciiTheme="majorBidi" w:hAnsiTheme="majorBidi" w:cstheme="majorBidi"/>
          <w:sz w:val="20"/>
          <w:szCs w:val="20"/>
          <w:lang w:val="en-CA"/>
        </w:rPr>
        <w:t>The radius of gyration (</w:t>
      </w:r>
      <w:proofErr w:type="spellStart"/>
      <w:r w:rsidRPr="00F70F21">
        <w:rPr>
          <w:rFonts w:asciiTheme="majorBidi" w:hAnsiTheme="majorBidi" w:cstheme="majorBidi"/>
          <w:sz w:val="20"/>
          <w:szCs w:val="20"/>
          <w:lang w:val="en-CA"/>
        </w:rPr>
        <w:t>Rg</w:t>
      </w:r>
      <w:proofErr w:type="spellEnd"/>
      <w:r w:rsidRPr="00F70F21">
        <w:rPr>
          <w:rFonts w:asciiTheme="majorBidi" w:hAnsiTheme="majorBidi" w:cstheme="majorBidi"/>
          <w:sz w:val="20"/>
          <w:szCs w:val="20"/>
          <w:lang w:val="en-CA"/>
        </w:rPr>
        <w:t>) analysis</w:t>
      </w:r>
      <w:r w:rsidRPr="00F70F21">
        <w:rPr>
          <w:lang w:val="en-CA"/>
        </w:rPr>
        <w:t xml:space="preserve"> </w:t>
      </w:r>
      <w:r w:rsidRPr="00F70F21">
        <w:rPr>
          <w:rFonts w:asciiTheme="majorBidi" w:hAnsiTheme="majorBidi" w:cstheme="majorBidi"/>
          <w:sz w:val="20"/>
          <w:szCs w:val="20"/>
          <w:lang w:val="en-CA"/>
        </w:rPr>
        <w:t>revealed distinct effects of the variants on pendrin compactness across all three conformational states (</w:t>
      </w:r>
      <w:r w:rsidRPr="00F70F21">
        <w:rPr>
          <w:rFonts w:asciiTheme="majorBidi" w:hAnsiTheme="majorBidi" w:cstheme="majorBidi"/>
          <w:b/>
          <w:bCs/>
          <w:sz w:val="20"/>
          <w:szCs w:val="20"/>
          <w:lang w:val="en-CA"/>
        </w:rPr>
        <w:t>Figure 6a–c</w:t>
      </w:r>
      <w:r w:rsidRPr="00F70F21">
        <w:rPr>
          <w:rFonts w:asciiTheme="majorBidi" w:hAnsiTheme="majorBidi" w:cstheme="majorBidi"/>
          <w:sz w:val="20"/>
          <w:szCs w:val="20"/>
          <w:lang w:val="en-CA"/>
        </w:rPr>
        <w:t>).</w:t>
      </w:r>
    </w:p>
    <w:p w14:paraId="71CBB134" w14:textId="77777777" w:rsidR="00F70F21" w:rsidRPr="00A5146F" w:rsidRDefault="00F70F21" w:rsidP="00F70F21">
      <w:pPr>
        <w:spacing w:line="480" w:lineRule="auto"/>
        <w:jc w:val="both"/>
        <w:rPr>
          <w:rFonts w:asciiTheme="majorBidi" w:hAnsiTheme="majorBidi" w:cstheme="majorBidi"/>
          <w:sz w:val="20"/>
          <w:szCs w:val="20"/>
          <w:lang w:val="en-CA"/>
        </w:rPr>
      </w:pPr>
      <w:r w:rsidRPr="00A5146F">
        <w:rPr>
          <w:rFonts w:asciiTheme="majorBidi" w:hAnsiTheme="majorBidi" w:cstheme="majorBidi"/>
          <w:sz w:val="20"/>
          <w:szCs w:val="20"/>
          <w:lang w:val="en-CA"/>
        </w:rPr>
        <w:t xml:space="preserve">In the inward-facing state, the </w:t>
      </w:r>
      <w:proofErr w:type="spellStart"/>
      <w:r w:rsidRPr="00A5146F">
        <w:rPr>
          <w:rFonts w:asciiTheme="majorBidi" w:hAnsiTheme="majorBidi" w:cstheme="majorBidi"/>
          <w:sz w:val="20"/>
          <w:szCs w:val="20"/>
          <w:lang w:val="en-CA"/>
        </w:rPr>
        <w:t>Rg</w:t>
      </w:r>
      <w:proofErr w:type="spellEnd"/>
      <w:r w:rsidRPr="00A5146F">
        <w:rPr>
          <w:rFonts w:asciiTheme="majorBidi" w:hAnsiTheme="majorBidi" w:cstheme="majorBidi"/>
          <w:sz w:val="20"/>
          <w:szCs w:val="20"/>
          <w:lang w:val="en-CA"/>
        </w:rPr>
        <w:t xml:space="preserve"> trajectory of the F555C variant decreased progressively compared to the WT, consistent with increased dimer compactness. Conversely, the L582P variant maintained higher </w:t>
      </w:r>
      <w:proofErr w:type="spellStart"/>
      <w:r w:rsidRPr="00A5146F">
        <w:rPr>
          <w:rFonts w:asciiTheme="majorBidi" w:hAnsiTheme="majorBidi" w:cstheme="majorBidi"/>
          <w:sz w:val="20"/>
          <w:szCs w:val="20"/>
          <w:lang w:val="en-CA"/>
        </w:rPr>
        <w:t>Rg</w:t>
      </w:r>
      <w:proofErr w:type="spellEnd"/>
      <w:r w:rsidRPr="00A5146F">
        <w:rPr>
          <w:rFonts w:asciiTheme="majorBidi" w:hAnsiTheme="majorBidi" w:cstheme="majorBidi"/>
          <w:sz w:val="20"/>
          <w:szCs w:val="20"/>
          <w:lang w:val="en-CA"/>
        </w:rPr>
        <w:t xml:space="preserve"> values ranging between 3.75 and 3.80 nm throughout the simulation, indicative of a more expanded conformation (</w:t>
      </w:r>
      <w:r w:rsidRPr="00A5146F">
        <w:rPr>
          <w:rFonts w:asciiTheme="majorBidi" w:hAnsiTheme="majorBidi" w:cstheme="majorBidi"/>
          <w:b/>
          <w:bCs/>
          <w:sz w:val="20"/>
          <w:szCs w:val="20"/>
          <w:lang w:val="en-CA"/>
        </w:rPr>
        <w:t>Fig. 6a</w:t>
      </w:r>
      <w:r w:rsidRPr="00A5146F">
        <w:rPr>
          <w:rFonts w:asciiTheme="majorBidi" w:hAnsiTheme="majorBidi" w:cstheme="majorBidi"/>
          <w:sz w:val="20"/>
          <w:szCs w:val="20"/>
          <w:lang w:val="en-CA"/>
        </w:rPr>
        <w:t xml:space="preserve">). In the outward-facing state, the L582P trajectory superimposed closely onto the WT trajectory after 70 ns, indicating that this substitution did not affect the overall dimeric packing. In contrast, F555C exhibited slightly elevated </w:t>
      </w:r>
      <w:proofErr w:type="spellStart"/>
      <w:r w:rsidRPr="00A5146F">
        <w:rPr>
          <w:rFonts w:asciiTheme="majorBidi" w:hAnsiTheme="majorBidi" w:cstheme="majorBidi"/>
          <w:sz w:val="20"/>
          <w:szCs w:val="20"/>
          <w:lang w:val="en-CA"/>
        </w:rPr>
        <w:t>Rg</w:t>
      </w:r>
      <w:proofErr w:type="spellEnd"/>
      <w:r w:rsidRPr="00A5146F">
        <w:rPr>
          <w:rFonts w:asciiTheme="majorBidi" w:hAnsiTheme="majorBidi" w:cstheme="majorBidi"/>
          <w:sz w:val="20"/>
          <w:szCs w:val="20"/>
          <w:lang w:val="en-CA"/>
        </w:rPr>
        <w:t xml:space="preserve"> values in comparison to the WT after 60 ns, suggesting a reduction in global compactness (</w:t>
      </w:r>
      <w:r w:rsidRPr="00A5146F">
        <w:rPr>
          <w:rFonts w:asciiTheme="majorBidi" w:hAnsiTheme="majorBidi" w:cstheme="majorBidi"/>
          <w:b/>
          <w:bCs/>
          <w:sz w:val="20"/>
          <w:szCs w:val="20"/>
          <w:lang w:val="en-CA"/>
        </w:rPr>
        <w:t>Fig. 6b</w:t>
      </w:r>
      <w:r w:rsidRPr="00A5146F">
        <w:rPr>
          <w:rFonts w:asciiTheme="majorBidi" w:hAnsiTheme="majorBidi" w:cstheme="majorBidi"/>
          <w:sz w:val="20"/>
          <w:szCs w:val="20"/>
          <w:lang w:val="en-CA"/>
        </w:rPr>
        <w:t xml:space="preserve">). In the asymmetric state, both S353A and F555C showed consistent decreases in </w:t>
      </w:r>
      <w:proofErr w:type="spellStart"/>
      <w:r w:rsidRPr="00A5146F">
        <w:rPr>
          <w:rFonts w:asciiTheme="majorBidi" w:hAnsiTheme="majorBidi" w:cstheme="majorBidi"/>
          <w:sz w:val="20"/>
          <w:szCs w:val="20"/>
          <w:lang w:val="en-CA"/>
        </w:rPr>
        <w:t>Rg</w:t>
      </w:r>
      <w:proofErr w:type="spellEnd"/>
      <w:r w:rsidRPr="00A5146F">
        <w:rPr>
          <w:rFonts w:asciiTheme="majorBidi" w:hAnsiTheme="majorBidi" w:cstheme="majorBidi"/>
          <w:sz w:val="20"/>
          <w:szCs w:val="20"/>
          <w:lang w:val="en-CA"/>
        </w:rPr>
        <w:t xml:space="preserve">, which is indicative of a tighter and more compact dimeric assembly. By contrast, L582P exhibited higher </w:t>
      </w:r>
      <w:proofErr w:type="spellStart"/>
      <w:r w:rsidRPr="00A5146F">
        <w:rPr>
          <w:rFonts w:asciiTheme="majorBidi" w:hAnsiTheme="majorBidi" w:cstheme="majorBidi"/>
          <w:sz w:val="20"/>
          <w:szCs w:val="20"/>
          <w:lang w:val="en-CA"/>
        </w:rPr>
        <w:t>Rg</w:t>
      </w:r>
      <w:proofErr w:type="spellEnd"/>
      <w:r w:rsidRPr="00A5146F">
        <w:rPr>
          <w:rFonts w:asciiTheme="majorBidi" w:hAnsiTheme="majorBidi" w:cstheme="majorBidi"/>
          <w:sz w:val="20"/>
          <w:szCs w:val="20"/>
          <w:lang w:val="en-CA"/>
        </w:rPr>
        <w:t xml:space="preserve"> values throughout the simulation, which is consistent with a less compact conformation (</w:t>
      </w:r>
      <w:r w:rsidRPr="00A5146F">
        <w:rPr>
          <w:rFonts w:asciiTheme="majorBidi" w:hAnsiTheme="majorBidi" w:cstheme="majorBidi"/>
          <w:b/>
          <w:bCs/>
          <w:sz w:val="20"/>
          <w:szCs w:val="20"/>
          <w:lang w:val="en-CA"/>
        </w:rPr>
        <w:t>Fig. 6c</w:t>
      </w:r>
      <w:r w:rsidRPr="00A5146F">
        <w:rPr>
          <w:rFonts w:asciiTheme="majorBidi" w:hAnsiTheme="majorBidi" w:cstheme="majorBidi"/>
          <w:sz w:val="20"/>
          <w:szCs w:val="20"/>
          <w:lang w:val="en-CA"/>
        </w:rPr>
        <w:t>).</w:t>
      </w:r>
    </w:p>
    <w:p w14:paraId="2E5A116D" w14:textId="77777777" w:rsidR="00F70F21" w:rsidRPr="00A5146F" w:rsidRDefault="00F70F21" w:rsidP="00F70F21">
      <w:pPr>
        <w:rPr>
          <w:rFonts w:ascii="Times New Roman" w:hAnsi="Times New Roman" w:cs="Times New Roman"/>
          <w:sz w:val="24"/>
          <w:szCs w:val="24"/>
          <w:lang w:val="en-CA"/>
        </w:rPr>
      </w:pPr>
    </w:p>
    <w:p w14:paraId="041C1E95" w14:textId="77777777" w:rsidR="00421B41" w:rsidRPr="00F70F21" w:rsidRDefault="00421B41" w:rsidP="004315DD">
      <w:pPr>
        <w:rPr>
          <w:rFonts w:ascii="Times New Roman" w:hAnsi="Times New Roman" w:cs="Times New Roman"/>
          <w:sz w:val="24"/>
          <w:szCs w:val="24"/>
          <w:lang w:val="en-CA"/>
        </w:rPr>
      </w:pPr>
    </w:p>
    <w:sectPr w:rsidR="00421B41" w:rsidRPr="00F70F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31CDA"/>
    <w:multiLevelType w:val="hybridMultilevel"/>
    <w:tmpl w:val="878A35A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3C71917"/>
    <w:multiLevelType w:val="hybridMultilevel"/>
    <w:tmpl w:val="C54CB01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F7170F4"/>
    <w:multiLevelType w:val="multilevel"/>
    <w:tmpl w:val="09848C54"/>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705"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 w15:restartNumberingAfterBreak="0">
    <w:nsid w:val="4B3D1BF0"/>
    <w:multiLevelType w:val="hybridMultilevel"/>
    <w:tmpl w:val="A21A62E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53703D01"/>
    <w:multiLevelType w:val="hybridMultilevel"/>
    <w:tmpl w:val="24BED1B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115440191">
    <w:abstractNumId w:val="1"/>
  </w:num>
  <w:num w:numId="2" w16cid:durableId="513542704">
    <w:abstractNumId w:val="2"/>
  </w:num>
  <w:num w:numId="3" w16cid:durableId="2058241483">
    <w:abstractNumId w:val="0"/>
  </w:num>
  <w:num w:numId="4" w16cid:durableId="664744432">
    <w:abstractNumId w:val="4"/>
  </w:num>
  <w:num w:numId="5" w16cid:durableId="12725153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5DD"/>
    <w:rsid w:val="001E13BC"/>
    <w:rsid w:val="001E1F1E"/>
    <w:rsid w:val="0025443C"/>
    <w:rsid w:val="002C0E80"/>
    <w:rsid w:val="0037781D"/>
    <w:rsid w:val="00401AB4"/>
    <w:rsid w:val="00421B41"/>
    <w:rsid w:val="004315DD"/>
    <w:rsid w:val="004335B4"/>
    <w:rsid w:val="00466F94"/>
    <w:rsid w:val="006F7171"/>
    <w:rsid w:val="00803443"/>
    <w:rsid w:val="0081322F"/>
    <w:rsid w:val="008C5287"/>
    <w:rsid w:val="008E20F6"/>
    <w:rsid w:val="008E3B5C"/>
    <w:rsid w:val="0091581C"/>
    <w:rsid w:val="00921FD1"/>
    <w:rsid w:val="00A05F0E"/>
    <w:rsid w:val="00A83A85"/>
    <w:rsid w:val="00B5255B"/>
    <w:rsid w:val="00C14978"/>
    <w:rsid w:val="00C15CDB"/>
    <w:rsid w:val="00C456EC"/>
    <w:rsid w:val="00C56940"/>
    <w:rsid w:val="00C70E8A"/>
    <w:rsid w:val="00D71ED9"/>
    <w:rsid w:val="00DA774E"/>
    <w:rsid w:val="00E12BE0"/>
    <w:rsid w:val="00F70F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81047"/>
  <w15:chartTrackingRefBased/>
  <w15:docId w15:val="{F348D9CE-D6DC-418A-91A2-41DC90689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5DD"/>
    <w:pPr>
      <w:spacing w:line="259" w:lineRule="auto"/>
    </w:pPr>
    <w:rPr>
      <w:kern w:val="0"/>
      <w:sz w:val="22"/>
      <w:szCs w:val="22"/>
      <w:lang w:val="en-US"/>
      <w14:ligatures w14:val="none"/>
    </w:rPr>
  </w:style>
  <w:style w:type="paragraph" w:styleId="Titre1">
    <w:name w:val="heading 1"/>
    <w:basedOn w:val="Normal"/>
    <w:next w:val="Normal"/>
    <w:link w:val="Titre1Car"/>
    <w:uiPriority w:val="9"/>
    <w:qFormat/>
    <w:rsid w:val="004315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315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315D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315D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315D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315D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315D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315D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315D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315D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315D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315D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315D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315D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315D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315D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315D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315DD"/>
    <w:rPr>
      <w:rFonts w:eastAsiaTheme="majorEastAsia" w:cstheme="majorBidi"/>
      <w:color w:val="272727" w:themeColor="text1" w:themeTint="D8"/>
    </w:rPr>
  </w:style>
  <w:style w:type="paragraph" w:styleId="Titre">
    <w:name w:val="Title"/>
    <w:basedOn w:val="Normal"/>
    <w:next w:val="Normal"/>
    <w:link w:val="TitreCar"/>
    <w:uiPriority w:val="10"/>
    <w:qFormat/>
    <w:rsid w:val="004315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315D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315D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315D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315DD"/>
    <w:pPr>
      <w:spacing w:before="160"/>
      <w:jc w:val="center"/>
    </w:pPr>
    <w:rPr>
      <w:i/>
      <w:iCs/>
      <w:color w:val="404040" w:themeColor="text1" w:themeTint="BF"/>
    </w:rPr>
  </w:style>
  <w:style w:type="character" w:customStyle="1" w:styleId="CitationCar">
    <w:name w:val="Citation Car"/>
    <w:basedOn w:val="Policepardfaut"/>
    <w:link w:val="Citation"/>
    <w:uiPriority w:val="29"/>
    <w:rsid w:val="004315DD"/>
    <w:rPr>
      <w:i/>
      <w:iCs/>
      <w:color w:val="404040" w:themeColor="text1" w:themeTint="BF"/>
    </w:rPr>
  </w:style>
  <w:style w:type="paragraph" w:styleId="Paragraphedeliste">
    <w:name w:val="List Paragraph"/>
    <w:basedOn w:val="Normal"/>
    <w:uiPriority w:val="34"/>
    <w:qFormat/>
    <w:rsid w:val="004315DD"/>
    <w:pPr>
      <w:ind w:left="720"/>
      <w:contextualSpacing/>
    </w:pPr>
  </w:style>
  <w:style w:type="character" w:styleId="Accentuationintense">
    <w:name w:val="Intense Emphasis"/>
    <w:basedOn w:val="Policepardfaut"/>
    <w:uiPriority w:val="21"/>
    <w:qFormat/>
    <w:rsid w:val="004315DD"/>
    <w:rPr>
      <w:i/>
      <w:iCs/>
      <w:color w:val="0F4761" w:themeColor="accent1" w:themeShade="BF"/>
    </w:rPr>
  </w:style>
  <w:style w:type="paragraph" w:styleId="Citationintense">
    <w:name w:val="Intense Quote"/>
    <w:basedOn w:val="Normal"/>
    <w:next w:val="Normal"/>
    <w:link w:val="CitationintenseCar"/>
    <w:uiPriority w:val="30"/>
    <w:qFormat/>
    <w:rsid w:val="004315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315DD"/>
    <w:rPr>
      <w:i/>
      <w:iCs/>
      <w:color w:val="0F4761" w:themeColor="accent1" w:themeShade="BF"/>
    </w:rPr>
  </w:style>
  <w:style w:type="character" w:styleId="Rfrenceintense">
    <w:name w:val="Intense Reference"/>
    <w:basedOn w:val="Policepardfaut"/>
    <w:uiPriority w:val="32"/>
    <w:qFormat/>
    <w:rsid w:val="004315DD"/>
    <w:rPr>
      <w:b/>
      <w:bCs/>
      <w:smallCaps/>
      <w:color w:val="0F4761" w:themeColor="accent1" w:themeShade="BF"/>
      <w:spacing w:val="5"/>
    </w:rPr>
  </w:style>
  <w:style w:type="character" w:styleId="Lienhypertexte">
    <w:name w:val="Hyperlink"/>
    <w:basedOn w:val="Policepardfaut"/>
    <w:uiPriority w:val="99"/>
    <w:unhideWhenUsed/>
    <w:rsid w:val="004315DD"/>
    <w:rPr>
      <w:color w:val="467886" w:themeColor="hyperlink"/>
      <w:u w:val="single"/>
    </w:rPr>
  </w:style>
  <w:style w:type="character" w:styleId="Mentionnonrsolue">
    <w:name w:val="Unresolved Mention"/>
    <w:basedOn w:val="Policepardfaut"/>
    <w:uiPriority w:val="99"/>
    <w:semiHidden/>
    <w:unhideWhenUsed/>
    <w:rsid w:val="00DA77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pc.marwan.ma/"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981</Words>
  <Characters>5400</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dcterms:created xsi:type="dcterms:W3CDTF">2026-05-05T18:27:00Z</dcterms:created>
  <dcterms:modified xsi:type="dcterms:W3CDTF">2026-06-12T17:40:00Z</dcterms:modified>
</cp:coreProperties>
</file>