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D330A" w14:textId="6B24A7A6" w:rsidR="00A4249F" w:rsidRPr="00653150" w:rsidRDefault="00A4249F" w:rsidP="00A4249F">
      <w:pPr>
        <w:widowControl/>
        <w:spacing w:line="360" w:lineRule="auto"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t>Supplementary Material Table S</w:t>
      </w:r>
      <w:r w:rsidR="00BF2064"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t>1</w:t>
      </w:r>
      <w:r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Pr="006531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Assessment of quality of </w:t>
      </w:r>
      <w:bookmarkStart w:id="0" w:name="_Hlk98583703"/>
      <w:r w:rsidR="001002F7" w:rsidRPr="006531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the </w:t>
      </w:r>
      <w:bookmarkEnd w:id="0"/>
      <w:r w:rsidRPr="00653150">
        <w:rPr>
          <w:rFonts w:ascii="Times New Roman" w:hAnsi="Times New Roman"/>
          <w:bCs/>
          <w:color w:val="000000" w:themeColor="text1"/>
          <w:sz w:val="24"/>
          <w:szCs w:val="24"/>
        </w:rPr>
        <w:t>included</w:t>
      </w:r>
      <w:r w:rsidR="00BF2064" w:rsidRPr="006531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observational</w:t>
      </w:r>
      <w:r w:rsidRPr="00653150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studies (Newcastle-Ottawa Quality Assessment Scale).</w:t>
      </w:r>
    </w:p>
    <w:tbl>
      <w:tblPr>
        <w:tblW w:w="9356" w:type="dxa"/>
        <w:tblInd w:w="-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709"/>
      </w:tblGrid>
      <w:tr w:rsidR="00653150" w:rsidRPr="00653150" w14:paraId="5865F843" w14:textId="77777777" w:rsidTr="00081C6F">
        <w:trPr>
          <w:trHeight w:val="318"/>
        </w:trPr>
        <w:tc>
          <w:tcPr>
            <w:tcW w:w="354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2FBF719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First author (year)</w:t>
            </w:r>
          </w:p>
        </w:tc>
        <w:tc>
          <w:tcPr>
            <w:tcW w:w="566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7436C93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a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0A90BDD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b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38C332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CA551EC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d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449A61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e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BE37EAA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f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17F0A4F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g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1BB6EA3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h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E903974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DF919F6" w14:textId="77777777" w:rsidR="00294A6E" w:rsidRPr="00653150" w:rsidRDefault="00294A6E" w:rsidP="006A3E16">
            <w:pPr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bCs/>
                <w:color w:val="000000" w:themeColor="text1"/>
                <w:sz w:val="20"/>
                <w:szCs w:val="20"/>
              </w:rPr>
              <w:t>Total</w:t>
            </w:r>
          </w:p>
        </w:tc>
      </w:tr>
      <w:tr w:rsidR="00653150" w:rsidRPr="00653150" w14:paraId="6D872030" w14:textId="77777777" w:rsidTr="00081C6F">
        <w:trPr>
          <w:trHeight w:val="283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5AF212F5" w14:textId="77777777" w:rsidR="00294A6E" w:rsidRPr="00653150" w:rsidRDefault="00BF2064" w:rsidP="006A3E1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Louise Benning</w:t>
            </w:r>
            <w:r w:rsidR="00294A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et al</w:t>
            </w:r>
            <w:r w:rsidR="00CC2D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94A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(20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  <w:r w:rsidR="00294A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3CE1B12" w14:textId="77777777" w:rsidR="00294A6E" w:rsidRPr="00653150" w:rsidRDefault="00EF7861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F141C0" w14:textId="77777777" w:rsidR="00294A6E" w:rsidRPr="00653150" w:rsidRDefault="00EF7861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745624" w14:textId="77777777" w:rsidR="00294A6E" w:rsidRPr="00653150" w:rsidRDefault="00294A6E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19726E" w14:textId="77777777" w:rsidR="00294A6E" w:rsidRPr="00653150" w:rsidRDefault="00EF7861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47A726" w14:textId="77777777" w:rsidR="00294A6E" w:rsidRPr="00653150" w:rsidRDefault="00EF7861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E437B0" w14:textId="77777777" w:rsidR="00294A6E" w:rsidRPr="00653150" w:rsidRDefault="00294A6E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43967CE" w14:textId="77777777" w:rsidR="00294A6E" w:rsidRPr="00653150" w:rsidRDefault="00294A6E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500FE4" w14:textId="77777777" w:rsidR="00294A6E" w:rsidRPr="00653150" w:rsidRDefault="00294A6E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7E97AA" w14:textId="77777777" w:rsidR="00294A6E" w:rsidRPr="00653150" w:rsidRDefault="00294A6E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68D15B9" w14:textId="77777777" w:rsidR="00294A6E" w:rsidRPr="00653150" w:rsidRDefault="00EF7861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49E25806" w14:textId="77777777" w:rsidTr="00081C6F">
        <w:trPr>
          <w:trHeight w:val="283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</w:tcPr>
          <w:p w14:paraId="73EAC44D" w14:textId="77777777" w:rsidR="00294A6E" w:rsidRPr="00653150" w:rsidRDefault="00BF2064" w:rsidP="006A3E16">
            <w:pPr>
              <w:widowControl/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Joana Barros-Martins</w:t>
            </w:r>
            <w:r w:rsidR="00294A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et al</w:t>
            </w:r>
            <w:r w:rsidR="00CC2D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</w:t>
            </w:r>
            <w:r w:rsidR="00294A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(20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21</w:t>
            </w:r>
            <w:r w:rsidR="00294A6E"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079A959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6627A0D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F0F979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9F6BFF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FF1C0E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CE44032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B7F826C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BB5547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EC3824C" w14:textId="77777777" w:rsidR="00294A6E" w:rsidRPr="00653150" w:rsidRDefault="001D29E4" w:rsidP="006A3E16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D6A80F8" w14:textId="77777777" w:rsidR="00294A6E" w:rsidRPr="00653150" w:rsidRDefault="001D29E4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50FBFFBB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C549" w14:textId="77777777" w:rsidR="00BF2064" w:rsidRPr="00653150" w:rsidRDefault="00BF2064" w:rsidP="00272CF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Alexandre Vallée 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1383299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3F9F073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68A2F96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E507618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CF4013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CD9EC13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426035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07199CA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1258744" w14:textId="77777777" w:rsidR="00BF2064" w:rsidRPr="00653150" w:rsidRDefault="00BC1DA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37C30DFA" w14:textId="77777777" w:rsidR="00BF2064" w:rsidRPr="00653150" w:rsidRDefault="00585783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8</w:t>
            </w:r>
          </w:p>
        </w:tc>
      </w:tr>
      <w:tr w:rsidR="00653150" w:rsidRPr="00653150" w14:paraId="02FE6763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8E8B3D" w14:textId="77777777" w:rsidR="00BF2064" w:rsidRPr="00653150" w:rsidRDefault="00BF2064" w:rsidP="00272CF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Tina Schmidt 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6D8088FC" w14:textId="77777777" w:rsidR="00BF2064" w:rsidRPr="00653150" w:rsidRDefault="00A0528A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14260D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B04C053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5316E1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EA190B3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39107F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3AC082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FF83C67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1321AF3" w14:textId="77777777" w:rsidR="00BF2064" w:rsidRPr="00653150" w:rsidRDefault="000244DE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5A40CCD1" w14:textId="77777777" w:rsidR="00BF2064" w:rsidRPr="00653150" w:rsidRDefault="00D31FBF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6352AF4D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D1054C" w14:textId="77777777" w:rsidR="00BF2064" w:rsidRPr="00653150" w:rsidRDefault="00BF2064" w:rsidP="00272CF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David Hillus 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1C527A1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38E0EFF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E23FBB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1B39C6A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28439D1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AAE052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6C68A8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4F7B7B7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E4FDAA6" w14:textId="77777777" w:rsidR="00BF2064" w:rsidRPr="00653150" w:rsidRDefault="001E7C6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2883CCC0" w14:textId="77777777" w:rsidR="00BF2064" w:rsidRPr="00653150" w:rsidRDefault="001E7C65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406D50CA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BF6BC" w14:textId="77777777" w:rsidR="00BF2064" w:rsidRPr="00653150" w:rsidRDefault="00BF2064" w:rsidP="00272CF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Dorit Fabricius 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9D57B5E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DEA7C5E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7B21D55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71C1107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C640DE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2B339EB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0C1F231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B752B87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91398D6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FDB0575" w14:textId="77777777" w:rsidR="00BF2064" w:rsidRPr="00653150" w:rsidRDefault="00E15137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09611D08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135D1" w14:textId="77777777" w:rsidR="00BF2064" w:rsidRPr="00653150" w:rsidRDefault="00BF2064" w:rsidP="00272CF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Matthias Tenbusch 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B3A63FF" w14:textId="77777777" w:rsidR="00BF2064" w:rsidRPr="00653150" w:rsidRDefault="00A0528A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A1B1C01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D0E418F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F5D3B5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C7888A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4CE0267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E3F1563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5246D5A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83EF3B" w14:textId="77777777" w:rsidR="00BF2064" w:rsidRPr="00653150" w:rsidRDefault="00E15137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D7DACF5" w14:textId="77777777" w:rsidR="00BF2064" w:rsidRPr="00653150" w:rsidRDefault="00D31FBF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6944DB6B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A37047" w14:textId="77777777" w:rsidR="00BF2064" w:rsidRPr="00653150" w:rsidRDefault="00BF2064" w:rsidP="00272CF4">
            <w:pPr>
              <w:jc w:val="left"/>
              <w:textAlignment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Swantje I. Hammerschmidt </w:t>
            </w: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321752B9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3CD51A8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6C27AB1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DE997EA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575CE03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36D3968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0402F56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964C716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A3696D2" w14:textId="77777777" w:rsidR="00BF2064" w:rsidRPr="00653150" w:rsidRDefault="003378B5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0B44CBA3" w14:textId="77777777" w:rsidR="00BF2064" w:rsidRPr="00653150" w:rsidRDefault="003378B5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</w:tr>
      <w:tr w:rsidR="00653150" w:rsidRPr="00653150" w14:paraId="0FFA6918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28259" w14:textId="77777777" w:rsidR="00D35F8F" w:rsidRPr="00653150" w:rsidRDefault="00B17A25" w:rsidP="00272CF4">
            <w:pPr>
              <w:jc w:val="left"/>
              <w:textAlignment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Rudiger Groß, et al (2022)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226F4815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22D0680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5F312C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EE2233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4A2E7BA" w14:textId="77777777" w:rsidR="00D35F8F" w:rsidRPr="00653150" w:rsidRDefault="00834456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8A0A54F" w14:textId="77777777" w:rsidR="00D35F8F" w:rsidRPr="00653150" w:rsidRDefault="00834456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5F2A045" w14:textId="77777777" w:rsidR="00D35F8F" w:rsidRPr="00653150" w:rsidRDefault="00834456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7FB1F01" w14:textId="77777777" w:rsidR="00D35F8F" w:rsidRPr="00653150" w:rsidRDefault="00834456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7E13C16" w14:textId="77777777" w:rsidR="00D35F8F" w:rsidRPr="00653150" w:rsidRDefault="00834456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66CADFD9" w14:textId="77777777" w:rsidR="00D35F8F" w:rsidRPr="00653150" w:rsidRDefault="00C727F2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653150" w:rsidRPr="00653150" w14:paraId="169E3408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E685B" w14:textId="77777777" w:rsidR="00D35F8F" w:rsidRPr="00653150" w:rsidRDefault="00B17A25" w:rsidP="00272CF4">
            <w:pPr>
              <w:jc w:val="left"/>
              <w:textAlignment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Bruno Pozzetto, et al (2021)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C162C19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9A68809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4BD89A7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65690FB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1204A156" w14:textId="77777777" w:rsidR="00D35F8F" w:rsidRPr="00653150" w:rsidRDefault="0046563F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56AE23E7" w14:textId="77777777" w:rsidR="00D35F8F" w:rsidRPr="00653150" w:rsidRDefault="0046563F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71A42F94" w14:textId="77777777" w:rsidR="00D35F8F" w:rsidRPr="00653150" w:rsidRDefault="0046563F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C238BA" w14:textId="77777777" w:rsidR="00D35F8F" w:rsidRPr="00653150" w:rsidRDefault="0046563F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0070A11" w14:textId="77777777" w:rsidR="00D35F8F" w:rsidRPr="00653150" w:rsidRDefault="0046563F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191A077E" w14:textId="77777777" w:rsidR="00D35F8F" w:rsidRPr="00653150" w:rsidRDefault="00C727F2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653150" w:rsidRPr="00653150" w14:paraId="4B175CC2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3EE6C7" w14:textId="77777777" w:rsidR="00D35F8F" w:rsidRPr="00653150" w:rsidRDefault="00B17A25" w:rsidP="00272CF4">
            <w:pPr>
              <w:jc w:val="left"/>
              <w:textAlignment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Samantha J Westrop, et al (2022)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5E285242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BE89261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34447C5D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263CF8E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A1E5747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4906E65B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8C0074E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9E4F16F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F0F0EB6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14:paraId="4FB4185C" w14:textId="77777777" w:rsidR="00D35F8F" w:rsidRPr="00653150" w:rsidRDefault="00C727F2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8</w:t>
            </w:r>
          </w:p>
        </w:tc>
      </w:tr>
      <w:tr w:rsidR="00653150" w:rsidRPr="00653150" w14:paraId="2789E58D" w14:textId="77777777" w:rsidTr="00081C6F">
        <w:trPr>
          <w:trHeight w:val="264"/>
        </w:trPr>
        <w:tc>
          <w:tcPr>
            <w:tcW w:w="3545" w:type="dxa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5A4E686D" w14:textId="77777777" w:rsidR="00D35F8F" w:rsidRPr="00653150" w:rsidRDefault="00B17A25" w:rsidP="00272CF4">
            <w:pPr>
              <w:jc w:val="left"/>
              <w:textAlignment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Swantje I. Hammerschmidt, et al (2022)</w:t>
            </w:r>
          </w:p>
        </w:tc>
        <w:tc>
          <w:tcPr>
            <w:tcW w:w="566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0D08F14C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B1D9FF7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2A8E98C7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3B87E029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66AF64E0" w14:textId="77777777" w:rsidR="00D35F8F" w:rsidRPr="00653150" w:rsidRDefault="00322F78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1BDD95C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1B48A585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4D02A5F9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9A6264F" w14:textId="77777777" w:rsidR="00D35F8F" w:rsidRPr="00653150" w:rsidRDefault="00D63F02" w:rsidP="00272CF4">
            <w:pPr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nil"/>
            </w:tcBorders>
          </w:tcPr>
          <w:p w14:paraId="76189144" w14:textId="77777777" w:rsidR="00D35F8F" w:rsidRPr="00653150" w:rsidRDefault="00D63F02" w:rsidP="00DC3A2F">
            <w:pPr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 w:val="20"/>
                <w:szCs w:val="20"/>
              </w:rPr>
              <w:t>6</w:t>
            </w:r>
          </w:p>
        </w:tc>
      </w:tr>
    </w:tbl>
    <w:p w14:paraId="703811D6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Representativeness of the exposed cohort;</w:t>
      </w:r>
    </w:p>
    <w:p w14:paraId="321120C0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Selection of the non-exposed cohort;</w:t>
      </w:r>
    </w:p>
    <w:p w14:paraId="56222FB4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bookmarkStart w:id="1" w:name="OLE_LINK1"/>
      <w:bookmarkStart w:id="2" w:name="OLE_LINK2"/>
      <w:r w:rsidRPr="00653150">
        <w:rPr>
          <w:rFonts w:ascii="Times New Roman" w:hAnsi="Times New Roman"/>
          <w:color w:val="000000" w:themeColor="text1"/>
          <w:sz w:val="20"/>
          <w:szCs w:val="20"/>
        </w:rPr>
        <w:t>Ascertainment of exposure</w:t>
      </w:r>
      <w:bookmarkEnd w:id="1"/>
      <w:bookmarkEnd w:id="2"/>
      <w:r w:rsidRPr="00653150">
        <w:rPr>
          <w:rFonts w:ascii="Times New Roman" w:hAnsi="Times New Roman"/>
          <w:color w:val="000000" w:themeColor="text1"/>
          <w:sz w:val="20"/>
          <w:szCs w:val="20"/>
        </w:rPr>
        <w:t>;</w:t>
      </w:r>
      <w:r w:rsidR="00366B01" w:rsidRPr="00653150">
        <w:rPr>
          <w:rFonts w:ascii="Times New Roman" w:hAnsi="Times New Roman"/>
          <w:color w:val="000000" w:themeColor="text1"/>
          <w:sz w:val="20"/>
          <w:szCs w:val="20"/>
        </w:rPr>
        <w:t xml:space="preserve"> </w:t>
      </w:r>
    </w:p>
    <w:p w14:paraId="788CF0F1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Demonstration that outcome of interest was not present at start of study;</w:t>
      </w:r>
    </w:p>
    <w:p w14:paraId="5204449C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ind w:left="400" w:hangingChars="200" w:hanging="400"/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Comparability of cohorts on the basis of the design or analysis (adjusted for age);</w:t>
      </w:r>
    </w:p>
    <w:p w14:paraId="08C906A4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ind w:left="400" w:hangingChars="200" w:hanging="400"/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Comparability of cohorts on the basis of the design or analysis (adjusted for other);</w:t>
      </w:r>
    </w:p>
    <w:p w14:paraId="23107F9F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Assessment of outcome;</w:t>
      </w:r>
    </w:p>
    <w:p w14:paraId="4AFCB986" w14:textId="77777777" w:rsidR="00A4249F" w:rsidRPr="00653150" w:rsidRDefault="00A4249F" w:rsidP="00A4249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Was follow-up long enough for outcomes to occur;</w:t>
      </w:r>
    </w:p>
    <w:p w14:paraId="5C661D73" w14:textId="77777777" w:rsidR="00F25E5E" w:rsidRPr="00653150" w:rsidRDefault="00A4249F" w:rsidP="00081C6F">
      <w:pPr>
        <w:numPr>
          <w:ilvl w:val="0"/>
          <w:numId w:val="1"/>
        </w:numPr>
        <w:tabs>
          <w:tab w:val="left" w:pos="2676"/>
        </w:tabs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t>Adequacy of follow-up of cohor</w:t>
      </w:r>
      <w:r w:rsidR="001E71D6" w:rsidRPr="00653150">
        <w:rPr>
          <w:rFonts w:ascii="Times New Roman" w:hAnsi="Times New Roman"/>
          <w:color w:val="000000" w:themeColor="text1"/>
          <w:sz w:val="20"/>
          <w:szCs w:val="20"/>
        </w:rPr>
        <w:t>t</w:t>
      </w:r>
    </w:p>
    <w:p w14:paraId="5484A176" w14:textId="77777777" w:rsidR="00F25E5E" w:rsidRPr="00653150" w:rsidRDefault="00F25E5E" w:rsidP="00F25E5E">
      <w:pPr>
        <w:widowControl/>
        <w:jc w:val="left"/>
        <w:rPr>
          <w:rFonts w:ascii="Times New Roman" w:hAnsi="Times New Roman"/>
          <w:color w:val="000000" w:themeColor="text1"/>
          <w:sz w:val="20"/>
          <w:szCs w:val="20"/>
        </w:rPr>
        <w:sectPr w:rsidR="00F25E5E" w:rsidRPr="00653150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653150">
        <w:rPr>
          <w:rFonts w:ascii="Times New Roman" w:hAnsi="Times New Roman"/>
          <w:color w:val="000000" w:themeColor="text1"/>
          <w:sz w:val="20"/>
          <w:szCs w:val="20"/>
        </w:rPr>
        <w:br w:type="page"/>
      </w:r>
    </w:p>
    <w:p w14:paraId="7F332027" w14:textId="7D828731" w:rsidR="004D3B8A" w:rsidRPr="00653150" w:rsidRDefault="004D3B8A" w:rsidP="004D3B8A">
      <w:pPr>
        <w:rPr>
          <w:rFonts w:ascii="Times New Roman" w:hAnsi="Times New Roman"/>
          <w:color w:val="000000" w:themeColor="text1"/>
          <w:sz w:val="24"/>
        </w:rPr>
      </w:pPr>
      <w:r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 xml:space="preserve">Supplementary Material Table S2. </w:t>
      </w:r>
      <w:r w:rsidR="001002F7" w:rsidRPr="00653150">
        <w:rPr>
          <w:rFonts w:ascii="Times New Roman" w:hAnsi="Times New Roman"/>
          <w:color w:val="000000" w:themeColor="text1"/>
          <w:sz w:val="24"/>
        </w:rPr>
        <w:t>Collection methods of adverse events and the frequencies of specific adverse events in the included studies</w:t>
      </w:r>
    </w:p>
    <w:tbl>
      <w:tblPr>
        <w:tblStyle w:val="a8"/>
        <w:tblW w:w="16403" w:type="dxa"/>
        <w:jc w:val="center"/>
        <w:tblLayout w:type="fixed"/>
        <w:tblLook w:val="04A0" w:firstRow="1" w:lastRow="0" w:firstColumn="1" w:lastColumn="0" w:noHBand="0" w:noVBand="1"/>
      </w:tblPr>
      <w:tblGrid>
        <w:gridCol w:w="1184"/>
        <w:gridCol w:w="3441"/>
        <w:gridCol w:w="1276"/>
        <w:gridCol w:w="1045"/>
        <w:gridCol w:w="836"/>
        <w:gridCol w:w="963"/>
        <w:gridCol w:w="1067"/>
        <w:gridCol w:w="934"/>
        <w:gridCol w:w="934"/>
        <w:gridCol w:w="1119"/>
        <w:gridCol w:w="1336"/>
        <w:gridCol w:w="1134"/>
        <w:gridCol w:w="1134"/>
      </w:tblGrid>
      <w:tr w:rsidR="00653150" w:rsidRPr="00653150" w14:paraId="16AC9EE9" w14:textId="77777777" w:rsidTr="0011472E">
        <w:trPr>
          <w:trHeight w:val="256"/>
          <w:jc w:val="center"/>
        </w:trPr>
        <w:tc>
          <w:tcPr>
            <w:tcW w:w="1184" w:type="dxa"/>
            <w:vMerge w:val="restart"/>
            <w:vAlign w:val="center"/>
          </w:tcPr>
          <w:p w14:paraId="676574C6" w14:textId="77777777" w:rsidR="00BB0CA8" w:rsidRPr="00653150" w:rsidRDefault="00BB0CA8" w:rsidP="00E866B7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Cs w:val="21"/>
              </w:rPr>
              <w:t>First Author</w:t>
            </w:r>
          </w:p>
        </w:tc>
        <w:tc>
          <w:tcPr>
            <w:tcW w:w="3441" w:type="dxa"/>
            <w:vMerge w:val="restart"/>
            <w:vAlign w:val="center"/>
          </w:tcPr>
          <w:p w14:paraId="3A3DAC78" w14:textId="77777777" w:rsidR="00BB0CA8" w:rsidRPr="00653150" w:rsidRDefault="00BB0CA8" w:rsidP="009C70A6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Collection methods</w:t>
            </w:r>
          </w:p>
        </w:tc>
        <w:tc>
          <w:tcPr>
            <w:tcW w:w="1276" w:type="dxa"/>
            <w:vMerge w:val="restart"/>
            <w:vAlign w:val="center"/>
          </w:tcPr>
          <w:p w14:paraId="6B0E3795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Vaccination</w:t>
            </w:r>
          </w:p>
          <w:p w14:paraId="1B772D9E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Schedule</w:t>
            </w:r>
          </w:p>
        </w:tc>
        <w:tc>
          <w:tcPr>
            <w:tcW w:w="2844" w:type="dxa"/>
            <w:gridSpan w:val="3"/>
            <w:vAlign w:val="center"/>
          </w:tcPr>
          <w:p w14:paraId="461DBBD3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L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ocal events</w:t>
            </w:r>
          </w:p>
        </w:tc>
        <w:tc>
          <w:tcPr>
            <w:tcW w:w="7658" w:type="dxa"/>
            <w:gridSpan w:val="7"/>
            <w:vAlign w:val="center"/>
          </w:tcPr>
          <w:p w14:paraId="7DBB54AE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S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ystemic events</w:t>
            </w:r>
          </w:p>
        </w:tc>
      </w:tr>
      <w:tr w:rsidR="00653150" w:rsidRPr="00653150" w14:paraId="4CA6AF44" w14:textId="77777777" w:rsidTr="0011472E">
        <w:trPr>
          <w:trHeight w:val="256"/>
          <w:jc w:val="center"/>
        </w:trPr>
        <w:tc>
          <w:tcPr>
            <w:tcW w:w="1184" w:type="dxa"/>
            <w:vMerge/>
            <w:vAlign w:val="center"/>
          </w:tcPr>
          <w:p w14:paraId="77590252" w14:textId="77777777" w:rsidR="00BB0CA8" w:rsidRPr="00653150" w:rsidRDefault="00BB0CA8" w:rsidP="00E866B7">
            <w:pPr>
              <w:widowControl/>
              <w:jc w:val="left"/>
              <w:rPr>
                <w:rFonts w:ascii="Times New Roman" w:eastAsia="等线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  <w:vAlign w:val="center"/>
          </w:tcPr>
          <w:p w14:paraId="2CBAEE0A" w14:textId="77777777" w:rsidR="00BB0CA8" w:rsidRPr="00653150" w:rsidRDefault="00BB0CA8" w:rsidP="00E866B7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Merge/>
            <w:vAlign w:val="center"/>
          </w:tcPr>
          <w:p w14:paraId="1A4ABEFE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045" w:type="dxa"/>
            <w:vAlign w:val="center"/>
          </w:tcPr>
          <w:p w14:paraId="408DC315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P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ain</w:t>
            </w:r>
          </w:p>
        </w:tc>
        <w:tc>
          <w:tcPr>
            <w:tcW w:w="836" w:type="dxa"/>
            <w:vAlign w:val="center"/>
          </w:tcPr>
          <w:p w14:paraId="1981C7EF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Redness</w:t>
            </w:r>
          </w:p>
        </w:tc>
        <w:tc>
          <w:tcPr>
            <w:tcW w:w="963" w:type="dxa"/>
            <w:vAlign w:val="center"/>
          </w:tcPr>
          <w:p w14:paraId="22DFE45B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Swelling</w:t>
            </w:r>
          </w:p>
        </w:tc>
        <w:tc>
          <w:tcPr>
            <w:tcW w:w="1067" w:type="dxa"/>
            <w:vAlign w:val="center"/>
          </w:tcPr>
          <w:p w14:paraId="02484A4F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H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eadache</w:t>
            </w:r>
          </w:p>
        </w:tc>
        <w:tc>
          <w:tcPr>
            <w:tcW w:w="934" w:type="dxa"/>
            <w:vAlign w:val="center"/>
          </w:tcPr>
          <w:p w14:paraId="2A57649C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Myalgia</w:t>
            </w:r>
          </w:p>
        </w:tc>
        <w:tc>
          <w:tcPr>
            <w:tcW w:w="934" w:type="dxa"/>
            <w:vAlign w:val="center"/>
          </w:tcPr>
          <w:p w14:paraId="75BB7915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Fatigue</w:t>
            </w:r>
          </w:p>
        </w:tc>
        <w:tc>
          <w:tcPr>
            <w:tcW w:w="1119" w:type="dxa"/>
            <w:vAlign w:val="center"/>
          </w:tcPr>
          <w:p w14:paraId="34210541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Arthralgia</w:t>
            </w:r>
          </w:p>
        </w:tc>
        <w:tc>
          <w:tcPr>
            <w:tcW w:w="1336" w:type="dxa"/>
            <w:vAlign w:val="center"/>
          </w:tcPr>
          <w:p w14:paraId="71D3545E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Feverishness and chills</w:t>
            </w:r>
          </w:p>
        </w:tc>
        <w:tc>
          <w:tcPr>
            <w:tcW w:w="1134" w:type="dxa"/>
            <w:vAlign w:val="center"/>
          </w:tcPr>
          <w:p w14:paraId="53589E79" w14:textId="77777777" w:rsidR="00BB0CA8" w:rsidRPr="00653150" w:rsidRDefault="00BB0CA8" w:rsidP="00E866B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Nausea, vomiting</w:t>
            </w:r>
          </w:p>
        </w:tc>
        <w:tc>
          <w:tcPr>
            <w:tcW w:w="1134" w:type="dxa"/>
          </w:tcPr>
          <w:p w14:paraId="09C45968" w14:textId="77777777" w:rsidR="00BB0CA8" w:rsidRPr="00653150" w:rsidRDefault="00BB0CA8" w:rsidP="00FD539F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Diarrhoea</w:t>
            </w:r>
          </w:p>
        </w:tc>
      </w:tr>
      <w:tr w:rsidR="00653150" w:rsidRPr="00653150" w14:paraId="208C7373" w14:textId="77777777" w:rsidTr="0011472E">
        <w:trPr>
          <w:trHeight w:hRule="exact" w:val="438"/>
          <w:jc w:val="center"/>
        </w:trPr>
        <w:tc>
          <w:tcPr>
            <w:tcW w:w="1184" w:type="dxa"/>
            <w:vMerge w:val="restart"/>
            <w:vAlign w:val="center"/>
          </w:tcPr>
          <w:p w14:paraId="319E9E4B" w14:textId="1804FF6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Louise Benning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21]</w:t>
            </w:r>
          </w:p>
        </w:tc>
        <w:tc>
          <w:tcPr>
            <w:tcW w:w="3441" w:type="dxa"/>
            <w:vMerge w:val="restart"/>
          </w:tcPr>
          <w:p w14:paraId="2D2B6DE0" w14:textId="77777777" w:rsidR="00BB0CA8" w:rsidRPr="00653150" w:rsidRDefault="00BB0CA8" w:rsidP="00E02E10">
            <w:pPr>
              <w:widowControl/>
              <w:spacing w:line="20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Using a 12-item questionnaire inquiring side-effects after vaccination and the use of pain medication after vaccine reception.</w:t>
            </w:r>
          </w:p>
        </w:tc>
        <w:tc>
          <w:tcPr>
            <w:tcW w:w="1276" w:type="dxa"/>
          </w:tcPr>
          <w:p w14:paraId="762300EA" w14:textId="77777777" w:rsidR="00BB0CA8" w:rsidRPr="00653150" w:rsidRDefault="00CC221D" w:rsidP="00CC221D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1045" w:type="dxa"/>
          </w:tcPr>
          <w:p w14:paraId="37E70958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</w:tcPr>
          <w:p w14:paraId="355E4405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</w:tcPr>
          <w:p w14:paraId="7C643F7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</w:tcPr>
          <w:p w14:paraId="2CE4B026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</w:tcPr>
          <w:p w14:paraId="5C466085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</w:tcPr>
          <w:p w14:paraId="12F1A96F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</w:tcPr>
          <w:p w14:paraId="5BFDB601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</w:tcPr>
          <w:p w14:paraId="2F3C246C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</w:tcPr>
          <w:p w14:paraId="314E17D4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</w:tcPr>
          <w:p w14:paraId="1BF4FCA1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3C1A6CD6" w14:textId="77777777" w:rsidTr="0011472E">
        <w:trPr>
          <w:trHeight w:hRule="exact" w:val="288"/>
          <w:jc w:val="center"/>
        </w:trPr>
        <w:tc>
          <w:tcPr>
            <w:tcW w:w="1184" w:type="dxa"/>
            <w:vMerge/>
            <w:vAlign w:val="center"/>
          </w:tcPr>
          <w:p w14:paraId="4735B6C7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72B1CC61" w14:textId="77777777" w:rsidR="00BB0CA8" w:rsidRPr="00653150" w:rsidRDefault="00BB0CA8" w:rsidP="00E02E10"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29FA8825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B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NT/BNT</w:t>
            </w:r>
          </w:p>
        </w:tc>
        <w:tc>
          <w:tcPr>
            <w:tcW w:w="1045" w:type="dxa"/>
          </w:tcPr>
          <w:p w14:paraId="0B45C44B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</w:tcPr>
          <w:p w14:paraId="0E88245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</w:tcPr>
          <w:p w14:paraId="17E73F87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</w:tcPr>
          <w:p w14:paraId="1D7CE5A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</w:tcPr>
          <w:p w14:paraId="5B83EA33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</w:tcPr>
          <w:p w14:paraId="6EBC83E3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</w:tcPr>
          <w:p w14:paraId="511C81B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</w:tcPr>
          <w:p w14:paraId="4DAA2D9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</w:tcPr>
          <w:p w14:paraId="14A4C6D7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</w:tcPr>
          <w:p w14:paraId="106CE1A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0748C9FB" w14:textId="77777777" w:rsidTr="0011472E">
        <w:trPr>
          <w:trHeight w:hRule="exact" w:val="279"/>
          <w:jc w:val="center"/>
        </w:trPr>
        <w:tc>
          <w:tcPr>
            <w:tcW w:w="1184" w:type="dxa"/>
            <w:vMerge/>
            <w:vAlign w:val="center"/>
          </w:tcPr>
          <w:p w14:paraId="5CCE100D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684AB968" w14:textId="77777777" w:rsidR="00BB0CA8" w:rsidRPr="00653150" w:rsidRDefault="00BB0CA8" w:rsidP="00E02E10">
            <w:pPr>
              <w:widowControl/>
              <w:spacing w:line="20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</w:tcPr>
          <w:p w14:paraId="15B7C032" w14:textId="77777777" w:rsidR="00BB0CA8" w:rsidRPr="00653150" w:rsidRDefault="00CC221D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/BNT</w:t>
            </w:r>
          </w:p>
        </w:tc>
        <w:tc>
          <w:tcPr>
            <w:tcW w:w="1045" w:type="dxa"/>
          </w:tcPr>
          <w:p w14:paraId="455509D7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</w:tcPr>
          <w:p w14:paraId="6A67687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</w:tcPr>
          <w:p w14:paraId="1C1FF553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</w:tcPr>
          <w:p w14:paraId="1113454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</w:tcPr>
          <w:p w14:paraId="2B564DC7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</w:tcPr>
          <w:p w14:paraId="28F2849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</w:tcPr>
          <w:p w14:paraId="7AD65326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</w:tcPr>
          <w:p w14:paraId="0B40CA06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</w:tcPr>
          <w:p w14:paraId="4F930D56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</w:tcPr>
          <w:p w14:paraId="57738F2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7AD04547" w14:textId="77777777" w:rsidTr="0011472E">
        <w:trPr>
          <w:trHeight w:hRule="exact" w:val="567"/>
          <w:jc w:val="center"/>
        </w:trPr>
        <w:tc>
          <w:tcPr>
            <w:tcW w:w="1184" w:type="dxa"/>
            <w:vMerge w:val="restart"/>
            <w:vAlign w:val="center"/>
          </w:tcPr>
          <w:p w14:paraId="0E7955BD" w14:textId="2A2CD42D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Xinxue Liu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14]</w:t>
            </w:r>
          </w:p>
        </w:tc>
        <w:tc>
          <w:tcPr>
            <w:tcW w:w="3441" w:type="dxa"/>
            <w:vMerge w:val="restart"/>
          </w:tcPr>
          <w:p w14:paraId="5FDAE5EF" w14:textId="77777777" w:rsidR="00BB0CA8" w:rsidRPr="00653150" w:rsidRDefault="00BB0CA8" w:rsidP="00D1102C">
            <w:pPr>
              <w:widowControl/>
              <w:spacing w:line="19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During the baseline visit, participants were given an oral thermometer, tape measure, and diary card (electronic or paper) to record solicited, unsolicited, and medically attended </w:t>
            </w:r>
            <w:r w:rsidR="00D1102C"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AE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s with instructions. The study sites’ physicians reviewed the diary card regularly to record </w:t>
            </w:r>
            <w:r w:rsidR="00D1102C"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AE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s, </w:t>
            </w:r>
            <w:r w:rsidR="00D1102C"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AE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s of special interest, and </w:t>
            </w:r>
            <w:r w:rsidR="00D1102C"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SAE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s. Abnormal clinical findings from medical history or examination will be assessed.</w:t>
            </w:r>
          </w:p>
        </w:tc>
        <w:tc>
          <w:tcPr>
            <w:tcW w:w="1276" w:type="dxa"/>
            <w:vAlign w:val="center"/>
          </w:tcPr>
          <w:p w14:paraId="6BB3FD74" w14:textId="77777777" w:rsidR="00BB0CA8" w:rsidRPr="00653150" w:rsidRDefault="00CC221D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1045" w:type="dxa"/>
            <w:vAlign w:val="center"/>
          </w:tcPr>
          <w:p w14:paraId="730F401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2B1B141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  <w:vAlign w:val="center"/>
          </w:tcPr>
          <w:p w14:paraId="48DF8150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4170BFA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1D75C24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49AB4914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4B1F66F2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0EBD3439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0B892E2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28BD220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2BE51E06" w14:textId="77777777" w:rsidTr="0011472E">
        <w:trPr>
          <w:trHeight w:hRule="exact" w:val="595"/>
          <w:jc w:val="center"/>
        </w:trPr>
        <w:tc>
          <w:tcPr>
            <w:tcW w:w="1184" w:type="dxa"/>
            <w:vMerge/>
            <w:vAlign w:val="center"/>
          </w:tcPr>
          <w:p w14:paraId="22FEBEF6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21F0BB1C" w14:textId="77777777" w:rsidR="00BB0CA8" w:rsidRPr="00653150" w:rsidRDefault="00BB0CA8" w:rsidP="00E02E10">
            <w:pPr>
              <w:widowControl/>
              <w:spacing w:line="19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2B46EF8C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B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NT/BNT</w:t>
            </w:r>
          </w:p>
        </w:tc>
        <w:tc>
          <w:tcPr>
            <w:tcW w:w="1045" w:type="dxa"/>
            <w:vAlign w:val="center"/>
          </w:tcPr>
          <w:p w14:paraId="5B60A78C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26088FF6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  <w:vAlign w:val="center"/>
          </w:tcPr>
          <w:p w14:paraId="31878BA3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3804B9B1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28548E19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4EDC23E8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6E5A586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1AFED23F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3CD4788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3E21A5D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76E379B3" w14:textId="77777777" w:rsidTr="0011472E">
        <w:trPr>
          <w:trHeight w:hRule="exact" w:val="513"/>
          <w:jc w:val="center"/>
        </w:trPr>
        <w:tc>
          <w:tcPr>
            <w:tcW w:w="1184" w:type="dxa"/>
            <w:vMerge/>
            <w:vAlign w:val="center"/>
          </w:tcPr>
          <w:p w14:paraId="0FBDA6FF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79BC3DCE" w14:textId="77777777" w:rsidR="00BB0CA8" w:rsidRPr="00653150" w:rsidRDefault="00BB0CA8" w:rsidP="00E02E10">
            <w:pPr>
              <w:widowControl/>
              <w:spacing w:line="19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9BF861" w14:textId="77777777" w:rsidR="00BB0CA8" w:rsidRPr="00653150" w:rsidRDefault="00CC221D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/BNT</w:t>
            </w:r>
          </w:p>
        </w:tc>
        <w:tc>
          <w:tcPr>
            <w:tcW w:w="1045" w:type="dxa"/>
            <w:vAlign w:val="center"/>
          </w:tcPr>
          <w:p w14:paraId="0B94747D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59458B51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  <w:vAlign w:val="center"/>
          </w:tcPr>
          <w:p w14:paraId="5BFE8D32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4F7BB126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5747CD8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78A596C0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03953F9C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0FB600E4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544CEDA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26466D7F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4060C60F" w14:textId="77777777" w:rsidTr="0011472E">
        <w:trPr>
          <w:trHeight w:hRule="exact" w:val="588"/>
          <w:jc w:val="center"/>
        </w:trPr>
        <w:tc>
          <w:tcPr>
            <w:tcW w:w="1184" w:type="dxa"/>
            <w:vMerge/>
            <w:vAlign w:val="center"/>
          </w:tcPr>
          <w:p w14:paraId="0FC0BCB2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7013A518" w14:textId="77777777" w:rsidR="00BB0CA8" w:rsidRPr="00653150" w:rsidRDefault="00BB0CA8" w:rsidP="00E02E10">
            <w:pPr>
              <w:widowControl/>
              <w:spacing w:line="19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CB17EE8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BNT/</w:t>
            </w:r>
            <w:r w:rsidR="00CC221D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1045" w:type="dxa"/>
            <w:vAlign w:val="center"/>
          </w:tcPr>
          <w:p w14:paraId="005E676C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40B2453E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63" w:type="dxa"/>
            <w:vAlign w:val="center"/>
          </w:tcPr>
          <w:p w14:paraId="12173F68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20E83F84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08D9706A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18BA5499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3F4C2D00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68673469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5A52910F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2C93E263" w14:textId="7777777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77ADABD8" w14:textId="77777777" w:rsidTr="0011472E">
        <w:trPr>
          <w:trHeight w:val="732"/>
          <w:jc w:val="center"/>
        </w:trPr>
        <w:tc>
          <w:tcPr>
            <w:tcW w:w="1184" w:type="dxa"/>
            <w:vMerge w:val="restart"/>
            <w:vAlign w:val="center"/>
          </w:tcPr>
          <w:p w14:paraId="5B9AFBF9" w14:textId="2D970000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Tina Schmidt 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26]</w:t>
            </w:r>
          </w:p>
        </w:tc>
        <w:tc>
          <w:tcPr>
            <w:tcW w:w="3441" w:type="dxa"/>
            <w:vMerge w:val="restart"/>
          </w:tcPr>
          <w:p w14:paraId="63C16715" w14:textId="77777777" w:rsidR="00BB0CA8" w:rsidRPr="00653150" w:rsidRDefault="00BB0CA8" w:rsidP="00D1102C">
            <w:pPr>
              <w:widowControl/>
              <w:spacing w:line="19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Local and systemic adverse events within 7 days after vaccination were self-reported using a standardized questionnaire. </w:t>
            </w:r>
            <w:bookmarkStart w:id="3" w:name="_Hlk98443720"/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Reactogenicity </w:t>
            </w:r>
            <w:bookmarkEnd w:id="3"/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after the second dose was collected prospectively in all cases using a s</w:t>
            </w:r>
            <w:bookmarkStart w:id="4" w:name="_Hlk98443694"/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tandardized questionnaire</w:t>
            </w:r>
            <w:bookmarkEnd w:id="4"/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 xml:space="preserve">. Reactogenicity data after the first dose were collected retrospectively in the majority of cases, but all participants felt confident in recalling </w:t>
            </w:r>
            <w:r w:rsidR="00D1102C"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AE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s at the time of enrollment into the study.</w:t>
            </w:r>
          </w:p>
        </w:tc>
        <w:tc>
          <w:tcPr>
            <w:tcW w:w="1276" w:type="dxa"/>
            <w:vAlign w:val="center"/>
          </w:tcPr>
          <w:p w14:paraId="0D9C727D" w14:textId="77777777" w:rsidR="00BB0CA8" w:rsidRPr="00653150" w:rsidRDefault="00CC221D" w:rsidP="00E02E10">
            <w:pPr>
              <w:widowControl/>
              <w:spacing w:line="22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1045" w:type="dxa"/>
            <w:vAlign w:val="center"/>
          </w:tcPr>
          <w:p w14:paraId="45E0E16D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5F34FF64" w14:textId="23A73E45" w:rsidR="00BB0CA8" w:rsidRPr="00653150" w:rsidRDefault="0011472E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963" w:type="dxa"/>
            <w:vAlign w:val="center"/>
          </w:tcPr>
          <w:p w14:paraId="0F3695A5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3C178726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6DA89D16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789F3E7D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102D3806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31CB0656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54BEE802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3AD77B9B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322977E8" w14:textId="77777777" w:rsidTr="0011472E">
        <w:trPr>
          <w:trHeight w:val="701"/>
          <w:jc w:val="center"/>
        </w:trPr>
        <w:tc>
          <w:tcPr>
            <w:tcW w:w="1184" w:type="dxa"/>
            <w:vMerge/>
            <w:vAlign w:val="center"/>
          </w:tcPr>
          <w:p w14:paraId="5CA662B2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76252FC9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BA72C28" w14:textId="77777777" w:rsidR="00BB0CA8" w:rsidRPr="00653150" w:rsidRDefault="00BB0CA8" w:rsidP="00E02E10">
            <w:pPr>
              <w:widowControl/>
              <w:spacing w:line="22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B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NT/BNT</w:t>
            </w:r>
          </w:p>
        </w:tc>
        <w:tc>
          <w:tcPr>
            <w:tcW w:w="1045" w:type="dxa"/>
            <w:vAlign w:val="center"/>
          </w:tcPr>
          <w:p w14:paraId="2755B102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1D744F3A" w14:textId="7F032CD2" w:rsidR="00BB0CA8" w:rsidRPr="00653150" w:rsidRDefault="0011472E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963" w:type="dxa"/>
            <w:vAlign w:val="center"/>
          </w:tcPr>
          <w:p w14:paraId="12103213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125DB9C1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30ABD317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4ACDF91D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5ADAAC9E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121D167F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00F4CB99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4A336EAB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3FC1CF96" w14:textId="77777777" w:rsidTr="0011472E">
        <w:trPr>
          <w:trHeight w:val="567"/>
          <w:jc w:val="center"/>
        </w:trPr>
        <w:tc>
          <w:tcPr>
            <w:tcW w:w="1184" w:type="dxa"/>
            <w:vMerge/>
            <w:vAlign w:val="center"/>
          </w:tcPr>
          <w:p w14:paraId="7BE9BFCB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516FB7A5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5E51A2B" w14:textId="77777777" w:rsidR="00BB0CA8" w:rsidRPr="00653150" w:rsidRDefault="00CC221D" w:rsidP="00E02E10">
            <w:pPr>
              <w:widowControl/>
              <w:spacing w:line="220" w:lineRule="exact"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/BNT</w:t>
            </w:r>
          </w:p>
        </w:tc>
        <w:tc>
          <w:tcPr>
            <w:tcW w:w="1045" w:type="dxa"/>
            <w:vAlign w:val="center"/>
          </w:tcPr>
          <w:p w14:paraId="0129CCAD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836" w:type="dxa"/>
            <w:vAlign w:val="center"/>
          </w:tcPr>
          <w:p w14:paraId="3B9DAF49" w14:textId="7DB2B698" w:rsidR="00BB0CA8" w:rsidRPr="00653150" w:rsidRDefault="0011472E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963" w:type="dxa"/>
            <w:vAlign w:val="center"/>
          </w:tcPr>
          <w:p w14:paraId="2B5A6454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067" w:type="dxa"/>
            <w:vAlign w:val="center"/>
          </w:tcPr>
          <w:p w14:paraId="45C7C388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1BA50A28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934" w:type="dxa"/>
            <w:vAlign w:val="center"/>
          </w:tcPr>
          <w:p w14:paraId="25835A87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19" w:type="dxa"/>
            <w:vAlign w:val="center"/>
          </w:tcPr>
          <w:p w14:paraId="3B34B726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336" w:type="dxa"/>
            <w:vAlign w:val="center"/>
          </w:tcPr>
          <w:p w14:paraId="7062F8EE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1FF4B148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  <w:tc>
          <w:tcPr>
            <w:tcW w:w="1134" w:type="dxa"/>
            <w:vAlign w:val="center"/>
          </w:tcPr>
          <w:p w14:paraId="0941E383" w14:textId="77777777" w:rsidR="00BB0CA8" w:rsidRPr="00653150" w:rsidRDefault="00BB0CA8" w:rsidP="00E02E10">
            <w:pPr>
              <w:widowControl/>
              <w:spacing w:line="220" w:lineRule="exact"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N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R</w:t>
            </w:r>
          </w:p>
        </w:tc>
      </w:tr>
      <w:tr w:rsidR="00653150" w:rsidRPr="00653150" w14:paraId="1418F10E" w14:textId="77777777" w:rsidTr="0011472E">
        <w:trPr>
          <w:trHeight w:val="256"/>
          <w:jc w:val="center"/>
        </w:trPr>
        <w:tc>
          <w:tcPr>
            <w:tcW w:w="1184" w:type="dxa"/>
            <w:vMerge w:val="restart"/>
            <w:vAlign w:val="center"/>
          </w:tcPr>
          <w:p w14:paraId="094593C6" w14:textId="68E1D592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David Hillus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13]</w:t>
            </w:r>
          </w:p>
        </w:tc>
        <w:tc>
          <w:tcPr>
            <w:tcW w:w="3441" w:type="dxa"/>
            <w:vMerge w:val="restart"/>
          </w:tcPr>
          <w:p w14:paraId="4D42C415" w14:textId="77777777" w:rsidR="00BB0CA8" w:rsidRPr="00653150" w:rsidRDefault="00BB0CA8" w:rsidP="00D1102C">
            <w:pPr>
              <w:widowControl/>
              <w:spacing w:line="210" w:lineRule="exact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Participants were asked to fill in electronic questionnaires on reactogenicity,</w:t>
            </w:r>
            <w:r w:rsidR="00D1102C"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AEs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, medication, and medical visits on days 1, 3, 5, and 7 after the first and second vaccination.</w:t>
            </w:r>
          </w:p>
        </w:tc>
        <w:tc>
          <w:tcPr>
            <w:tcW w:w="1276" w:type="dxa"/>
            <w:vAlign w:val="center"/>
          </w:tcPr>
          <w:p w14:paraId="15693977" w14:textId="77777777" w:rsidR="00BB0CA8" w:rsidRPr="00653150" w:rsidRDefault="00CC221D" w:rsidP="00A07E36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="00A07E36" w:rsidRPr="00653150" w:rsidDel="00CC221D"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 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</w:p>
        </w:tc>
        <w:tc>
          <w:tcPr>
            <w:tcW w:w="1045" w:type="dxa"/>
          </w:tcPr>
          <w:p w14:paraId="00CE49EC" w14:textId="36FE7714" w:rsidR="00BB0CA8" w:rsidRPr="00653150" w:rsidRDefault="00BB0CA8" w:rsidP="00BB0CA8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53(37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68)</w:t>
            </w:r>
          </w:p>
        </w:tc>
        <w:tc>
          <w:tcPr>
            <w:tcW w:w="836" w:type="dxa"/>
          </w:tcPr>
          <w:p w14:paraId="04F6A559" w14:textId="3E4D9FB6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(0.1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14.2)</w:t>
            </w:r>
          </w:p>
        </w:tc>
        <w:tc>
          <w:tcPr>
            <w:tcW w:w="963" w:type="dxa"/>
          </w:tcPr>
          <w:p w14:paraId="05320D2C" w14:textId="400B73A8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(0.1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14.2)</w:t>
            </w:r>
          </w:p>
        </w:tc>
        <w:tc>
          <w:tcPr>
            <w:tcW w:w="1067" w:type="dxa"/>
          </w:tcPr>
          <w:p w14:paraId="6C2FF4AE" w14:textId="3D48DB07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2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2(11.7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38.1)</w:t>
            </w:r>
          </w:p>
        </w:tc>
        <w:tc>
          <w:tcPr>
            <w:tcW w:w="934" w:type="dxa"/>
          </w:tcPr>
          <w:p w14:paraId="06CAB1C6" w14:textId="147614C0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4(6.1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28.7)</w:t>
            </w:r>
          </w:p>
        </w:tc>
        <w:tc>
          <w:tcPr>
            <w:tcW w:w="934" w:type="dxa"/>
          </w:tcPr>
          <w:p w14:paraId="2912B300" w14:textId="71FABCC0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3(20.2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49.7)</w:t>
            </w:r>
          </w:p>
        </w:tc>
        <w:tc>
          <w:tcPr>
            <w:tcW w:w="1119" w:type="dxa"/>
          </w:tcPr>
          <w:p w14:paraId="4D69D812" w14:textId="64FACF56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9(9.8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35)</w:t>
            </w:r>
          </w:p>
        </w:tc>
        <w:tc>
          <w:tcPr>
            <w:tcW w:w="1336" w:type="dxa"/>
          </w:tcPr>
          <w:p w14:paraId="709318E8" w14:textId="45C3F62B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2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2(11.7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38.1)</w:t>
            </w:r>
          </w:p>
        </w:tc>
        <w:tc>
          <w:tcPr>
            <w:tcW w:w="1134" w:type="dxa"/>
          </w:tcPr>
          <w:p w14:paraId="562F6B79" w14:textId="6E92FA7E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.0(0.1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14.2)</w:t>
            </w:r>
          </w:p>
        </w:tc>
        <w:tc>
          <w:tcPr>
            <w:tcW w:w="1134" w:type="dxa"/>
          </w:tcPr>
          <w:p w14:paraId="743AF013" w14:textId="6E8F7895" w:rsidR="00BB0CA8" w:rsidRPr="00653150" w:rsidRDefault="0059242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18.1)</w:t>
            </w:r>
          </w:p>
        </w:tc>
      </w:tr>
      <w:tr w:rsidR="00653150" w:rsidRPr="00653150" w14:paraId="701B358C" w14:textId="77777777" w:rsidTr="0011472E">
        <w:trPr>
          <w:trHeight w:val="256"/>
          <w:jc w:val="center"/>
        </w:trPr>
        <w:tc>
          <w:tcPr>
            <w:tcW w:w="1184" w:type="dxa"/>
            <w:vMerge/>
          </w:tcPr>
          <w:p w14:paraId="1BE46C25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25159AEA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48E4C3D2" w14:textId="77777777" w:rsidR="00BB0CA8" w:rsidRPr="00653150" w:rsidRDefault="00BB0CA8" w:rsidP="00BB0CA8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B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NT/BNT</w:t>
            </w:r>
          </w:p>
        </w:tc>
        <w:tc>
          <w:tcPr>
            <w:tcW w:w="1045" w:type="dxa"/>
          </w:tcPr>
          <w:p w14:paraId="2B9B00C6" w14:textId="6CA2719F" w:rsidR="00BB0CA8" w:rsidRPr="00653150" w:rsidRDefault="00BB0CA8" w:rsidP="00D8779C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70(62.3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76.4)</w:t>
            </w:r>
          </w:p>
        </w:tc>
        <w:tc>
          <w:tcPr>
            <w:tcW w:w="836" w:type="dxa"/>
          </w:tcPr>
          <w:p w14:paraId="7479701D" w14:textId="2678EA2D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2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(0.5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5.4)</w:t>
            </w:r>
          </w:p>
        </w:tc>
        <w:tc>
          <w:tcPr>
            <w:tcW w:w="963" w:type="dxa"/>
          </w:tcPr>
          <w:p w14:paraId="71CEED9C" w14:textId="7168962E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8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(4.4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12.7)</w:t>
            </w:r>
          </w:p>
        </w:tc>
        <w:tc>
          <w:tcPr>
            <w:tcW w:w="1067" w:type="dxa"/>
          </w:tcPr>
          <w:p w14:paraId="2A7E7B39" w14:textId="61C9FB43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9(31.8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46.7)</w:t>
            </w:r>
          </w:p>
        </w:tc>
        <w:tc>
          <w:tcPr>
            <w:tcW w:w="934" w:type="dxa"/>
          </w:tcPr>
          <w:p w14:paraId="514A15CB" w14:textId="4BA17FB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4(27.1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41.6)</w:t>
            </w:r>
          </w:p>
        </w:tc>
        <w:tc>
          <w:tcPr>
            <w:tcW w:w="934" w:type="dxa"/>
          </w:tcPr>
          <w:p w14:paraId="2232EFA7" w14:textId="117969FE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8(40.2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55.5)</w:t>
            </w:r>
          </w:p>
        </w:tc>
        <w:tc>
          <w:tcPr>
            <w:tcW w:w="1119" w:type="dxa"/>
          </w:tcPr>
          <w:p w14:paraId="1720AA85" w14:textId="13B2F1CA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1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0(6.3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15.7)</w:t>
            </w:r>
          </w:p>
        </w:tc>
        <w:tc>
          <w:tcPr>
            <w:tcW w:w="1336" w:type="dxa"/>
          </w:tcPr>
          <w:p w14:paraId="5B3A636B" w14:textId="375015B7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2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0(14.1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26.3)</w:t>
            </w:r>
          </w:p>
        </w:tc>
        <w:tc>
          <w:tcPr>
            <w:tcW w:w="1134" w:type="dxa"/>
          </w:tcPr>
          <w:p w14:paraId="6A04D510" w14:textId="5FF9C0BD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(2.1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8.8)</w:t>
            </w:r>
          </w:p>
        </w:tc>
        <w:tc>
          <w:tcPr>
            <w:tcW w:w="1134" w:type="dxa"/>
          </w:tcPr>
          <w:p w14:paraId="566EB4CE" w14:textId="32E5A304" w:rsidR="00BB0CA8" w:rsidRPr="00653150" w:rsidRDefault="00BB0CA8" w:rsidP="00256137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(3.5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11.2)</w:t>
            </w:r>
          </w:p>
        </w:tc>
      </w:tr>
      <w:tr w:rsidR="00653150" w:rsidRPr="00653150" w14:paraId="34F3B848" w14:textId="77777777" w:rsidTr="0011472E">
        <w:trPr>
          <w:trHeight w:val="585"/>
          <w:jc w:val="center"/>
        </w:trPr>
        <w:tc>
          <w:tcPr>
            <w:tcW w:w="1184" w:type="dxa"/>
            <w:vMerge/>
          </w:tcPr>
          <w:p w14:paraId="5EE23F95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3441" w:type="dxa"/>
            <w:vMerge/>
          </w:tcPr>
          <w:p w14:paraId="28AE1D8F" w14:textId="77777777" w:rsidR="00BB0CA8" w:rsidRPr="00653150" w:rsidRDefault="00BB0CA8" w:rsidP="00BB0CA8">
            <w:pPr>
              <w:widowControl/>
              <w:jc w:val="left"/>
              <w:rPr>
                <w:rFonts w:ascii="Times New Roman" w:hAnsi="Times New Roman"/>
                <w:color w:val="000000" w:themeColor="text1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3AB0B60A" w14:textId="77777777" w:rsidR="00BB0CA8" w:rsidRPr="00653150" w:rsidRDefault="00CC221D" w:rsidP="00BB0CA8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ChAd</w:t>
            </w:r>
            <w:r w:rsidRPr="00653150" w:rsidDel="00CC221D">
              <w:rPr>
                <w:rFonts w:ascii="Times New Roman" w:hAnsi="Times New Roman" w:hint="eastAsia"/>
                <w:color w:val="000000" w:themeColor="text1"/>
                <w:szCs w:val="21"/>
              </w:rPr>
              <w:t xml:space="preserve"> </w:t>
            </w:r>
            <w:r w:rsidR="00BB0CA8" w:rsidRPr="00653150">
              <w:rPr>
                <w:rFonts w:ascii="Times New Roman" w:hAnsi="Times New Roman"/>
                <w:color w:val="000000" w:themeColor="text1"/>
                <w:szCs w:val="21"/>
              </w:rPr>
              <w:t>/BNT</w:t>
            </w:r>
          </w:p>
        </w:tc>
        <w:tc>
          <w:tcPr>
            <w:tcW w:w="1045" w:type="dxa"/>
          </w:tcPr>
          <w:p w14:paraId="2844753A" w14:textId="10F5AC32" w:rsidR="00BB0CA8" w:rsidRPr="00653150" w:rsidRDefault="00BB0CA8" w:rsidP="00BB0CA8">
            <w:pPr>
              <w:widowControl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79(70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85.6)</w:t>
            </w:r>
          </w:p>
        </w:tc>
        <w:tc>
          <w:tcPr>
            <w:tcW w:w="836" w:type="dxa"/>
          </w:tcPr>
          <w:p w14:paraId="6551F282" w14:textId="2C1CFEBC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7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(3.3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13.2)</w:t>
            </w:r>
          </w:p>
        </w:tc>
        <w:tc>
          <w:tcPr>
            <w:tcW w:w="963" w:type="dxa"/>
          </w:tcPr>
          <w:p w14:paraId="13D14729" w14:textId="54186466" w:rsidR="00BB0CA8" w:rsidRPr="00653150" w:rsidRDefault="00BB0CA8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7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(3.3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13.2)</w:t>
            </w:r>
          </w:p>
        </w:tc>
        <w:tc>
          <w:tcPr>
            <w:tcW w:w="1067" w:type="dxa"/>
          </w:tcPr>
          <w:p w14:paraId="5EA3B2E1" w14:textId="5AD8D312" w:rsidR="00BB0CA8" w:rsidRPr="00653150" w:rsidRDefault="0025613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5(26.2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44.2)</w:t>
            </w:r>
          </w:p>
        </w:tc>
        <w:tc>
          <w:tcPr>
            <w:tcW w:w="934" w:type="dxa"/>
          </w:tcPr>
          <w:p w14:paraId="49124A6A" w14:textId="46741702" w:rsidR="00BB0CA8" w:rsidRPr="00653150" w:rsidRDefault="0025613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2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0(13.6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28.9)</w:t>
            </w:r>
          </w:p>
        </w:tc>
        <w:tc>
          <w:tcPr>
            <w:tcW w:w="934" w:type="dxa"/>
          </w:tcPr>
          <w:p w14:paraId="5DBD94D4" w14:textId="7480852F" w:rsidR="00BB0CA8" w:rsidRPr="00653150" w:rsidRDefault="0025613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3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6(27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45.1)</w:t>
            </w:r>
          </w:p>
        </w:tc>
        <w:tc>
          <w:tcPr>
            <w:tcW w:w="1119" w:type="dxa"/>
          </w:tcPr>
          <w:p w14:paraId="4D037E6E" w14:textId="69019268" w:rsidR="00BB0CA8" w:rsidRPr="00653150" w:rsidRDefault="0025613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7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(3.3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13.2)</w:t>
            </w:r>
          </w:p>
        </w:tc>
        <w:tc>
          <w:tcPr>
            <w:tcW w:w="1336" w:type="dxa"/>
          </w:tcPr>
          <w:p w14:paraId="1A160DA4" w14:textId="4681899C" w:rsidR="00BB0CA8" w:rsidRPr="00653150" w:rsidRDefault="0025613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18(12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26.8)</w:t>
            </w:r>
          </w:p>
        </w:tc>
        <w:tc>
          <w:tcPr>
            <w:tcW w:w="1134" w:type="dxa"/>
          </w:tcPr>
          <w:p w14:paraId="5B161196" w14:textId="06A1F61F" w:rsidR="00BB0CA8" w:rsidRPr="00653150" w:rsidRDefault="00256137" w:rsidP="00BB0CA8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6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(2.7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12)</w:t>
            </w:r>
          </w:p>
        </w:tc>
        <w:tc>
          <w:tcPr>
            <w:tcW w:w="1134" w:type="dxa"/>
          </w:tcPr>
          <w:p w14:paraId="78AD8C7E" w14:textId="7D1400DE" w:rsidR="00BB0CA8" w:rsidRPr="00653150" w:rsidRDefault="00256137" w:rsidP="00256137">
            <w:pPr>
              <w:widowControl/>
              <w:jc w:val="center"/>
              <w:rPr>
                <w:rFonts w:ascii="Times New Roman" w:hAnsi="Times New Roman"/>
                <w:color w:val="000000" w:themeColor="text1"/>
                <w:szCs w:val="21"/>
              </w:rPr>
            </w:pP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4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(1</w:t>
            </w:r>
            <w:r w:rsidRPr="00653150">
              <w:rPr>
                <w:rFonts w:ascii="Times New Roman" w:hAnsi="Times New Roman" w:hint="eastAsia"/>
                <w:color w:val="000000" w:themeColor="text1"/>
                <w:szCs w:val="21"/>
              </w:rPr>
              <w:t>.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5</w:t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  <w:r w:rsidRPr="00653150">
              <w:rPr>
                <w:rFonts w:ascii="Times New Roman" w:hAnsi="Times New Roman"/>
                <w:color w:val="000000" w:themeColor="text1"/>
                <w:szCs w:val="21"/>
              </w:rPr>
              <w:t>9.5)</w:t>
            </w:r>
          </w:p>
        </w:tc>
      </w:tr>
    </w:tbl>
    <w:p w14:paraId="04F17B66" w14:textId="77777777" w:rsidR="004D3B8A" w:rsidRPr="00653150" w:rsidRDefault="00EF25F8" w:rsidP="00EF25F8">
      <w:pPr>
        <w:widowControl/>
        <w:rPr>
          <w:rFonts w:ascii="Times New Roman" w:hAnsi="Times New Roman"/>
          <w:b/>
          <w:bCs/>
          <w:color w:val="000000" w:themeColor="text1"/>
          <w:sz w:val="18"/>
          <w:szCs w:val="18"/>
        </w:rPr>
      </w:pPr>
      <w:r w:rsidRPr="00653150">
        <w:rPr>
          <w:rFonts w:ascii="Times New Roman" w:hAnsi="Times New Roman"/>
          <w:color w:val="000000" w:themeColor="text1"/>
          <w:sz w:val="18"/>
          <w:szCs w:val="18"/>
        </w:rPr>
        <w:t xml:space="preserve">NR indicates the study did not report definite number, frequency, or statistics test results. </w:t>
      </w:r>
    </w:p>
    <w:p w14:paraId="3F17B858" w14:textId="77777777" w:rsidR="00592427" w:rsidRPr="00653150" w:rsidRDefault="00D1102C">
      <w:pPr>
        <w:widowControl/>
        <w:jc w:val="left"/>
        <w:rPr>
          <w:rFonts w:ascii="Times New Roman" w:hAnsi="Times New Roman"/>
          <w:b/>
          <w:bCs/>
          <w:color w:val="000000" w:themeColor="text1"/>
          <w:sz w:val="24"/>
          <w:szCs w:val="24"/>
        </w:rPr>
      </w:pPr>
      <w:r w:rsidRPr="00653150">
        <w:rPr>
          <w:rFonts w:ascii="Times New Roman" w:eastAsia="等线" w:hAnsi="Times New Roman"/>
          <w:color w:val="000000" w:themeColor="text1"/>
          <w:sz w:val="18"/>
          <w:szCs w:val="18"/>
        </w:rPr>
        <w:t xml:space="preserve">Abbreviations: </w:t>
      </w:r>
      <w:r w:rsidRPr="00653150">
        <w:rPr>
          <w:rFonts w:ascii="Times New Roman" w:hAnsi="Times New Roman" w:hint="eastAsia"/>
          <w:color w:val="000000" w:themeColor="text1"/>
          <w:szCs w:val="21"/>
        </w:rPr>
        <w:t xml:space="preserve">AE, </w:t>
      </w:r>
      <w:r w:rsidRPr="00653150">
        <w:rPr>
          <w:rFonts w:ascii="Times New Roman" w:hAnsi="Times New Roman"/>
          <w:color w:val="000000" w:themeColor="text1"/>
          <w:szCs w:val="21"/>
        </w:rPr>
        <w:t>adverse events</w:t>
      </w:r>
      <w:r w:rsidRPr="00653150">
        <w:rPr>
          <w:rFonts w:ascii="Times New Roman" w:hAnsi="Times New Roman" w:hint="eastAsia"/>
          <w:color w:val="000000" w:themeColor="text1"/>
          <w:szCs w:val="21"/>
        </w:rPr>
        <w:t xml:space="preserve">;SAE, </w:t>
      </w:r>
      <w:r w:rsidRPr="00653150">
        <w:rPr>
          <w:rFonts w:ascii="Times New Roman" w:hAnsi="Times New Roman"/>
          <w:color w:val="000000" w:themeColor="text1"/>
          <w:szCs w:val="21"/>
        </w:rPr>
        <w:t>serious adverse events</w:t>
      </w:r>
    </w:p>
    <w:p w14:paraId="248E5DF6" w14:textId="4994F0EA" w:rsidR="00F25E5E" w:rsidRPr="00653150" w:rsidRDefault="00522EC6" w:rsidP="00F25E5E">
      <w:pPr>
        <w:rPr>
          <w:rFonts w:ascii="Times New Roman" w:hAnsi="Times New Roman"/>
          <w:color w:val="000000" w:themeColor="text1"/>
          <w:sz w:val="24"/>
        </w:rPr>
      </w:pPr>
      <w:r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lastRenderedPageBreak/>
        <w:t>Supplementary Material Table S</w:t>
      </w:r>
      <w:r w:rsidR="004D3B8A"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t>3</w:t>
      </w:r>
      <w:r w:rsidRPr="00653150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. </w:t>
      </w:r>
      <w:r w:rsidR="001002F7" w:rsidRPr="00653150">
        <w:rPr>
          <w:rFonts w:ascii="Times New Roman" w:hAnsi="Times New Roman"/>
          <w:color w:val="000000" w:themeColor="text1"/>
          <w:sz w:val="24"/>
        </w:rPr>
        <w:t>Testing methods of anti-SARS-CoV-2 IgG, Neutralizing Antibodies, and cellular immunity in the included studies</w:t>
      </w:r>
    </w:p>
    <w:tbl>
      <w:tblPr>
        <w:tblW w:w="574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1"/>
        <w:gridCol w:w="3746"/>
        <w:gridCol w:w="3619"/>
        <w:gridCol w:w="4312"/>
        <w:gridCol w:w="3014"/>
      </w:tblGrid>
      <w:tr w:rsidR="00653150" w:rsidRPr="00653150" w14:paraId="74FDE462" w14:textId="77777777" w:rsidTr="007748F4">
        <w:trPr>
          <w:trHeight w:val="384"/>
          <w:jc w:val="center"/>
        </w:trPr>
        <w:tc>
          <w:tcPr>
            <w:tcW w:w="486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767EF" w14:textId="77777777" w:rsidR="003E5F5F" w:rsidRPr="00653150" w:rsidRDefault="003E5F5F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First Author</w:t>
            </w:r>
          </w:p>
        </w:tc>
        <w:tc>
          <w:tcPr>
            <w:tcW w:w="115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B1AECD5" w14:textId="77777777" w:rsidR="003E5F5F" w:rsidRPr="00653150" w:rsidRDefault="003E5F5F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RBD Ab</w:t>
            </w:r>
          </w:p>
        </w:tc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C52EA" w14:textId="77777777" w:rsidR="003E5F5F" w:rsidRPr="00653150" w:rsidRDefault="003E5F5F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Spike protein Ab</w:t>
            </w:r>
          </w:p>
        </w:tc>
        <w:tc>
          <w:tcPr>
            <w:tcW w:w="1325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05A2F0" w14:textId="77777777" w:rsidR="003E5F5F" w:rsidRPr="00653150" w:rsidRDefault="003E5F5F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Neutralizing Ab</w:t>
            </w:r>
          </w:p>
        </w:tc>
        <w:tc>
          <w:tcPr>
            <w:tcW w:w="926" w:type="pct"/>
            <w:tcBorders>
              <w:bottom w:val="single" w:sz="4" w:space="0" w:color="auto"/>
            </w:tcBorders>
            <w:vAlign w:val="center"/>
          </w:tcPr>
          <w:p w14:paraId="0448B96B" w14:textId="77777777" w:rsidR="003E5F5F" w:rsidRPr="00653150" w:rsidRDefault="003E5F5F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 cell response and others</w:t>
            </w:r>
          </w:p>
        </w:tc>
      </w:tr>
      <w:tr w:rsidR="00653150" w:rsidRPr="00653150" w14:paraId="158FE6BD" w14:textId="77777777" w:rsidTr="00B24B58">
        <w:trPr>
          <w:trHeight w:hRule="exact" w:val="2282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F6B60" w14:textId="3ACB25EB" w:rsidR="003E5F5F" w:rsidRPr="00653150" w:rsidRDefault="003E5F5F" w:rsidP="006A3E16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Louise Benning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21]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3731BD" w14:textId="77777777" w:rsidR="003E5F5F" w:rsidRPr="00653150" w:rsidRDefault="006473BD" w:rsidP="00C73D7D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Style w:val="fontstyle01"/>
                <w:rFonts w:ascii="Times New Roman" w:hAnsi="Times New Roman"/>
                <w:color w:val="000000" w:themeColor="text1"/>
              </w:rPr>
              <w:t xml:space="preserve">A multiplex bead-based assay for the Luminex platform (LabScreen COVID Plus) was performed (One Lambda Inc., West Hill, CA, USA). The assay detects participant’s antibody response to 5 different SARS-CoV-2 proteins, namely, the full spike protein, 3 individual domains of the spike protein (S1, S2, and </w:t>
            </w:r>
            <w:r w:rsidR="00C73D7D" w:rsidRPr="00653150">
              <w:rPr>
                <w:rStyle w:val="fontstyle01"/>
                <w:rFonts w:ascii="Times New Roman" w:hAnsi="Times New Roman" w:hint="eastAsia"/>
                <w:color w:val="000000" w:themeColor="text1"/>
              </w:rPr>
              <w:t>RBD</w:t>
            </w:r>
            <w:r w:rsidRPr="00653150">
              <w:rPr>
                <w:rStyle w:val="fontstyle01"/>
                <w:rFonts w:ascii="Times New Roman" w:hAnsi="Times New Roman"/>
                <w:color w:val="000000" w:themeColor="text1"/>
              </w:rPr>
              <w:t>), and the nucleocapsid.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C2721" w14:textId="77777777" w:rsidR="003E5F5F" w:rsidRPr="00653150" w:rsidRDefault="006473BD" w:rsidP="006A3E16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Style w:val="fontstyle01"/>
                <w:rFonts w:ascii="Times New Roman" w:hAnsi="Times New Roman"/>
                <w:color w:val="000000" w:themeColor="text1"/>
              </w:rPr>
              <w:t>A multiplex bead-based assay for the Luminex platform (LabScreen COVID Plus) was performed (One Lambda Inc., West Hill, CA, USA). The assay detects participant’s antibody response to 5 different SARS-CoV-2 proteins, namely, the full spike protein, 3 individual domains of the spike protein (S1, S2, and receptor binding domain), and the nucleocapsid.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60669" w14:textId="77777777" w:rsidR="003E5F5F" w:rsidRPr="00653150" w:rsidRDefault="006473BD" w:rsidP="006473B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Style w:val="fontstyle01"/>
                <w:rFonts w:ascii="Times New Roman" w:hAnsi="Times New Roman"/>
                <w:color w:val="000000" w:themeColor="text1"/>
              </w:rPr>
              <w:t xml:space="preserve">A plate-based SARS-CoV-2 </w:t>
            </w:r>
            <w:r w:rsidR="00C73D7D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sVNT</w:t>
            </w:r>
            <w:r w:rsidRPr="00653150">
              <w:rPr>
                <w:rStyle w:val="fontstyle01"/>
                <w:rFonts w:ascii="Times New Roman" w:hAnsi="Times New Roman"/>
                <w:color w:val="000000" w:themeColor="text1"/>
              </w:rPr>
              <w:t xml:space="preserve"> (Medac, Wedel, Germany) was used to identify the binding-inhibition potency of serum samples. The test is based on antibody-mediated blockade of the interaction between the ACE2 receptor protein and the RBD of the SARS-CoV-2 spike protein and mimics the virus–host interaction</w:t>
            </w:r>
            <w:r w:rsidR="00C73D7D" w:rsidRPr="00653150">
              <w:rPr>
                <w:rStyle w:val="fontstyle01"/>
                <w:rFonts w:ascii="Times New Roman" w:hAnsi="Times New Roman" w:hint="eastAsia"/>
                <w:color w:val="000000" w:themeColor="text1"/>
              </w:rPr>
              <w:t xml:space="preserve"> </w:t>
            </w:r>
            <w:r w:rsidRPr="00653150">
              <w:rPr>
                <w:rStyle w:val="fontstyle01"/>
                <w:rFonts w:ascii="Times New Roman" w:hAnsi="Times New Roman"/>
                <w:color w:val="000000" w:themeColor="text1"/>
              </w:rPr>
              <w:t>by direct protein–protein interaction.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0D9C9" w14:textId="4DD8D30D" w:rsidR="003E5F5F" w:rsidRPr="00653150" w:rsidRDefault="003E5F5F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softHyphen/>
            </w:r>
            <w:r w:rsidR="0011472E"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</w:tr>
      <w:tr w:rsidR="00653150" w:rsidRPr="00653150" w14:paraId="0056162A" w14:textId="77777777" w:rsidTr="001901A6">
        <w:trPr>
          <w:trHeight w:hRule="exact" w:val="2272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397A8" w14:textId="6D5305C4" w:rsidR="003E5F5F" w:rsidRPr="00653150" w:rsidRDefault="003E5F5F" w:rsidP="00F25E5E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Joana Barros-Martins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12]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2DEE4F" w14:textId="0A01EB67" w:rsidR="003E5F5F" w:rsidRPr="00653150" w:rsidRDefault="0011472E" w:rsidP="00F25E5E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C2437" w14:textId="77777777" w:rsidR="003E5F5F" w:rsidRPr="00653150" w:rsidRDefault="00D81D29" w:rsidP="00D81D29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To determine SARS-CoV-2 IgG serology by quantitative ELISA (anti-SARS-CoV-2 S1 spike protein domain IgG SARS-CoV-2 QuantiVac, Euroimmun) according to the manufacturer’s instructions (dilution 1:400 or 1:600)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A631D0" w14:textId="77777777" w:rsidR="003E5F5F" w:rsidRPr="00653150" w:rsidRDefault="00D81D29" w:rsidP="00C73D7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To determine neutralizing antibodies against the Wuhan spike, the B.1.1.7-spike (Alpha), the P.1-spike (B.1.1.28.1; Gamma) and the B.1.351-spike (Beta) variants of SARS-CoV-2-S in plasma. </w:t>
            </w:r>
            <w:r w:rsidR="008D6BBB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In this assay, the soluble receptor for SARS-CoV-2—ACE2—is bound to 96-well-plates to which different purified tagged RBDs of the spike protein of SARS-CoV-2 can bind once added to the assay.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1DE9E" w14:textId="77777777" w:rsidR="003E5F5F" w:rsidRPr="00653150" w:rsidRDefault="004064EA" w:rsidP="004064EA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 cell re-stimulation: cells were diluted with equal volumes of peptide pools containing S-protein or mixture of M-, N- and E-proteins. Flow cytometric analysis of spike-specific B cells. Quantification of IFN-γ and TNF-α release by the LEGENDplex kit (BioLegend) according to the manufacturer’s instructions.</w:t>
            </w:r>
          </w:p>
        </w:tc>
      </w:tr>
      <w:tr w:rsidR="00653150" w:rsidRPr="00653150" w14:paraId="763796E6" w14:textId="77777777" w:rsidTr="00F427FA">
        <w:trPr>
          <w:trHeight w:hRule="exact" w:val="2683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CF6AB" w14:textId="2F30D994" w:rsidR="003E5F5F" w:rsidRPr="00653150" w:rsidRDefault="003E5F5F" w:rsidP="00F25E5E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Xinxue Liu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14]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FB471" w14:textId="0653578F" w:rsidR="003E5F5F" w:rsidRPr="00653150" w:rsidRDefault="0011472E" w:rsidP="00F25E5E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A55B6" w14:textId="77777777" w:rsidR="003E5F5F" w:rsidRPr="00653150" w:rsidRDefault="007748F4" w:rsidP="001901A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Serum samples were analysed at Nexelis (Laval, Canada) to determine SARS-CoV-2 anti-spike IgG </w:t>
            </w:r>
            <w:r w:rsidR="001901A6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concentrations by ELISA (reported as ELISA laboratory units [ELU]/mL)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713B1" w14:textId="77777777" w:rsidR="003E5F5F" w:rsidRPr="00653150" w:rsidRDefault="001901A6" w:rsidP="00601F3C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The NT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  <w:vertAlign w:val="subscript"/>
              </w:rPr>
              <w:t>50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for SARS-CoV-2 </w:t>
            </w:r>
            <w:r w:rsidR="00601F3C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pVNT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was tested using a vesicular stomatitis virus backbone adapted to bear the SARS-CoV-2 spike protein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B2858" w14:textId="77777777" w:rsidR="003E5F5F" w:rsidRPr="00653150" w:rsidRDefault="001901A6" w:rsidP="00C73D7D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IFNγ-secreting T cells specific to whole spike protein epitopes designed based on the Wuhan-Hu-1 sequence (YP_009724390·1) were detected using a modified T-SPOT-Discovery test. T-cell frequencies were reported as SFC per 250 000 PBMCs with a lower limit of detection of one in 250 000 PBMCs.</w:t>
            </w:r>
          </w:p>
        </w:tc>
      </w:tr>
      <w:tr w:rsidR="00653150" w:rsidRPr="00653150" w14:paraId="51082EB3" w14:textId="77777777" w:rsidTr="00A62C34">
        <w:trPr>
          <w:trHeight w:hRule="exact" w:val="1009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4FB14" w14:textId="210D8743" w:rsidR="003E5F5F" w:rsidRPr="00653150" w:rsidRDefault="003E5F5F" w:rsidP="006A3E16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Alexandre Vallée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28]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0FC1E" w14:textId="3F6B1808" w:rsidR="003E5F5F" w:rsidRPr="00653150" w:rsidRDefault="0011472E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4DA2C" w14:textId="77777777" w:rsidR="003E5F5F" w:rsidRPr="00653150" w:rsidRDefault="00A62C34" w:rsidP="00A62C34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SARS-CoV-2 IgG II Quant assays were performed on the Abbott Alinity i platform in accordance with the manufacturer’s package insert. 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2AA92" w14:textId="2F882F27" w:rsidR="003E5F5F" w:rsidRPr="00653150" w:rsidRDefault="0011472E" w:rsidP="006A3E16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65BB0" w14:textId="02F61237" w:rsidR="003E5F5F" w:rsidRPr="00653150" w:rsidRDefault="0011472E" w:rsidP="006A3E16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</w:tr>
      <w:tr w:rsidR="00653150" w:rsidRPr="00653150" w14:paraId="63F19DED" w14:textId="77777777" w:rsidTr="0001365A">
        <w:trPr>
          <w:trHeight w:hRule="exact" w:val="713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F478F8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lastRenderedPageBreak/>
              <w:t>First Author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1AA2B" w14:textId="77777777" w:rsidR="00B24B58" w:rsidRPr="00653150" w:rsidRDefault="00B24B58" w:rsidP="00B24B58">
            <w:pPr>
              <w:spacing w:line="200" w:lineRule="exac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RBD Ab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A18ED" w14:textId="77777777" w:rsidR="00B24B58" w:rsidRPr="00653150" w:rsidRDefault="00B24B58" w:rsidP="00B24B58">
            <w:pPr>
              <w:spacing w:line="200" w:lineRule="exact"/>
              <w:rPr>
                <w:rFonts w:ascii="Times New Roman" w:hAnsi="Times New Roman"/>
                <w:color w:val="000000" w:themeColor="text1"/>
                <w:sz w:val="18"/>
                <w:szCs w:val="18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Spike protein Ab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B05C1" w14:textId="77777777" w:rsidR="00B24B58" w:rsidRPr="00653150" w:rsidRDefault="00B24B58" w:rsidP="00B24B58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Neutralizing Ab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885CC" w14:textId="77777777" w:rsidR="00B24B58" w:rsidRPr="00653150" w:rsidRDefault="00B24B58" w:rsidP="00B24B58">
            <w:pPr>
              <w:autoSpaceDE w:val="0"/>
              <w:autoSpaceDN w:val="0"/>
              <w:adjustRightInd w:val="0"/>
              <w:snapToGri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 cell response and others</w:t>
            </w:r>
          </w:p>
        </w:tc>
      </w:tr>
      <w:tr w:rsidR="00653150" w:rsidRPr="00653150" w14:paraId="1AA70BE7" w14:textId="77777777" w:rsidTr="00B24B58">
        <w:trPr>
          <w:trHeight w:hRule="exact" w:val="2132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47D7D" w14:textId="0CF86372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David Hillus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13]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F0FEF" w14:textId="77777777" w:rsidR="00B24B58" w:rsidRPr="00653150" w:rsidRDefault="00B24B58" w:rsidP="006A3E16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To assessed the presence of SARS-CoV-2-specific RBD antibodies using a microarray-based immunoassay (SeraSpot Anti-SARS-CoV-2 IgG, Seramun Diagnostica, Heidesee, Germany).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631066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To assessed the presence of SARS-CoV-2-specific full spike and S1 subunit antibodies using a microarray-based immunoassay (SeraSpot Anti-SARS-CoV-2 IgG, Seramun Diagnostica, Heidesee, Germany).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90B53" w14:textId="77777777" w:rsidR="00B24B58" w:rsidRPr="00653150" w:rsidRDefault="00B24B58" w:rsidP="006A3E16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To investigated the functional neutralization capacity using an RBD-ACE2 binding inhibition assay (sVNT; cPass, medac, Wedel, Germany); Using a SARSCoV-2 </w:t>
            </w:r>
            <w:r w:rsidR="006A3E16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pVNT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to test the neutralising capacity of the vaccine regimes by determining serum 50% inhibitory dilutions (ID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  <w:vertAlign w:val="subscript"/>
              </w:rPr>
              <w:t>50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).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422C6" w14:textId="77777777" w:rsidR="00B24B58" w:rsidRPr="00653150" w:rsidRDefault="00B24B58" w:rsidP="00C73D7D">
            <w:pPr>
              <w:autoSpaceDE w:val="0"/>
              <w:autoSpaceDN w:val="0"/>
              <w:adjustRightInd w:val="0"/>
              <w:snapToGri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SARS-CoV-2 spike-specific T-cell responses were measured by IFN-γrelease assay (IGRA; Euroimmun Medizinische Labordiagnostika) of S1 peptide-stimulated T-cells in whole blood.</w:t>
            </w:r>
          </w:p>
        </w:tc>
      </w:tr>
      <w:tr w:rsidR="00653150" w:rsidRPr="00653150" w14:paraId="364F5739" w14:textId="77777777" w:rsidTr="00B24B58">
        <w:trPr>
          <w:trHeight w:hRule="exact" w:val="1693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06E11" w14:textId="29DBB3CD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Dorit Fabricius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15]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B5126" w14:textId="252AD9CA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509E0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The EUROIMMUN anti-SARS-CoV-2 ELISA assays (EUROIMMUN, Lübeck, Germany) were used for the detection of IgG and IgA against the S1 domain of the SARS-COV-2 spike (S) protein.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8C5F2" w14:textId="77777777" w:rsidR="00B24B58" w:rsidRPr="00653150" w:rsidRDefault="00B24B58" w:rsidP="00B24B58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The principle of the blocking ELISA mimics the virus neutralization process, and qualitatively detects anti-SARS-CoV-2 antibodies, which suppress the interaction between RBD fragments of the viral spike (S) protein and ACE2 protein bound to the surface of a microtiter plate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9A39" w14:textId="77777777" w:rsidR="00B24B58" w:rsidRPr="00653150" w:rsidRDefault="00B24B58" w:rsidP="00C73D7D">
            <w:pPr>
              <w:autoSpaceDE w:val="0"/>
              <w:autoSpaceDN w:val="0"/>
              <w:adjustRightInd w:val="0"/>
              <w:snapToGri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The SARS-CoV-2 IFN-γrelease assay (IGRA, EUROIMMUN, Lübeck, Germany) was used to detect T-cell-mediated immune response to the SARS-CoV-2 spike antigen in EDTA blood.</w:t>
            </w:r>
          </w:p>
        </w:tc>
      </w:tr>
      <w:tr w:rsidR="00653150" w:rsidRPr="00653150" w14:paraId="4A5AFD4F" w14:textId="77777777" w:rsidTr="00B24B58">
        <w:trPr>
          <w:trHeight w:hRule="exact" w:val="1270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1E95F" w14:textId="551B19A5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Matthias Tenbusch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27]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295D0" w14:textId="45F64F92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6A1E28" w14:textId="7B94882E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3DD51" w14:textId="77777777" w:rsidR="00B24B58" w:rsidRPr="00653150" w:rsidRDefault="00B24B58" w:rsidP="00C73D7D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A </w:t>
            </w:r>
            <w:r w:rsidR="00CB26C0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sVNT</w:t>
            </w:r>
            <w:r w:rsidR="00CB26C0" w:rsidRPr="00653150" w:rsidDel="00CB26C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(NAb assay; Yhlo, Shenzen, China) based on the competition of serum antibodies with recombinant </w:t>
            </w:r>
            <w:r w:rsidR="00C73D7D" w:rsidRPr="00653150">
              <w:rPr>
                <w:rFonts w:ascii="Times New Roman" w:eastAsia="等线" w:hAnsi="Times New Roman"/>
                <w:color w:val="000000" w:themeColor="text1"/>
                <w:sz w:val="18"/>
                <w:szCs w:val="18"/>
              </w:rPr>
              <w:t>ACE2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for binding to the SARS-CoV-2 spike protein </w:t>
            </w:r>
            <w:r w:rsidR="00C73D7D" w:rsidRPr="00653150">
              <w:rPr>
                <w:rFonts w:ascii="Times New Roman" w:eastAsia="等线" w:hAnsi="Times New Roman" w:hint="eastAsia"/>
                <w:color w:val="000000" w:themeColor="text1"/>
                <w:sz w:val="20"/>
                <w:szCs w:val="20"/>
              </w:rPr>
              <w:t>RBD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E3EC5" w14:textId="303D75C3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</w:tr>
      <w:tr w:rsidR="00653150" w:rsidRPr="00653150" w14:paraId="6804E19C" w14:textId="77777777" w:rsidTr="00A96A0B">
        <w:trPr>
          <w:trHeight w:hRule="exact" w:val="3267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48F33" w14:textId="7DB469D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Swantje I. Hammerschmidt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23]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E666A6" w14:textId="67867E31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E750" w14:textId="2FD3DA61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2CF63" w14:textId="77777777" w:rsidR="00B24B58" w:rsidRPr="00653150" w:rsidRDefault="00B24B58" w:rsidP="00B24B58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pVNT: rhabdoviral pseudotyped particles were produced in 293T cells transfected to express the spike protein of the Delta variant;</w:t>
            </w:r>
          </w:p>
          <w:p w14:paraId="001AF551" w14:textId="77777777" w:rsidR="00B24B58" w:rsidRPr="00653150" w:rsidRDefault="00B24B58" w:rsidP="00CB26C0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sVNT for SARS-CoV-2 variants: in this ELISA-based test, the soluble receptor for SARS-CoV-2, ACE2, is bound to 96-well-plates to which a RBD of the Delta Spike-protein with a C-terminal His-Tag binds once added to the plates.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1CA91" w14:textId="36EF8EB1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</w:tr>
      <w:tr w:rsidR="00653150" w:rsidRPr="00653150" w14:paraId="368987F9" w14:textId="77777777" w:rsidTr="00B24B58">
        <w:trPr>
          <w:trHeight w:hRule="exact" w:val="576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00A18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lastRenderedPageBreak/>
              <w:t>First Author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00E2F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RBD Ab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4D2E9D" w14:textId="77777777" w:rsidR="00B24B58" w:rsidRPr="00653150" w:rsidRDefault="00B24B58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Spike protein Ab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021B85" w14:textId="77777777" w:rsidR="00B24B58" w:rsidRPr="00653150" w:rsidRDefault="00B24B58" w:rsidP="00B24B58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Neutralizing Ab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9907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 cell response and others</w:t>
            </w:r>
          </w:p>
        </w:tc>
      </w:tr>
      <w:tr w:rsidR="00653150" w:rsidRPr="00653150" w14:paraId="61B47B8F" w14:textId="77777777" w:rsidTr="000B59DC">
        <w:trPr>
          <w:trHeight w:hRule="exact" w:val="2413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21A9F" w14:textId="1AE0DE48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Tina Schmidt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26]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342451" w14:textId="77777777" w:rsidR="00B24B58" w:rsidRPr="00653150" w:rsidRDefault="00B24B58" w:rsidP="00CB26C0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SARS-CoV-2-specific IgG antibodies towards the </w:t>
            </w:r>
            <w:r w:rsidR="00CB26C0" w:rsidRPr="00653150">
              <w:rPr>
                <w:rFonts w:ascii="Times New Roman" w:eastAsia="等线" w:hAnsi="Times New Roman" w:hint="eastAsia"/>
                <w:color w:val="000000" w:themeColor="text1"/>
                <w:sz w:val="20"/>
                <w:szCs w:val="20"/>
              </w:rPr>
              <w:t>RBD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of SARS-CoV-2 spike protein were quantified using</w:t>
            </w:r>
            <w:r w:rsidR="00A218B6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ELISA according to the manufacturer’s instructions (SARS-CoV-2-QuantiVac, Euroimmun).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624079" w14:textId="5C6CA5EE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01DFA" w14:textId="77777777" w:rsidR="00B24B58" w:rsidRPr="00653150" w:rsidRDefault="00B24B58" w:rsidP="00CB26C0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A neutralization assay based on antibody-mediated inhibition of soluble ACE2 binding to the plate-bound S1 </w:t>
            </w:r>
            <w:r w:rsidR="00CB26C0" w:rsidRPr="00653150">
              <w:rPr>
                <w:rFonts w:ascii="Times New Roman" w:eastAsia="等线" w:hAnsi="Times New Roman" w:hint="eastAsia"/>
                <w:color w:val="000000" w:themeColor="text1"/>
                <w:sz w:val="20"/>
                <w:szCs w:val="20"/>
              </w:rPr>
              <w:t>RBD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was used at a single serum dilution according to the manufacturer’s instructions (SARS-CoV-2-NeutraLISA, Euroimmun).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AC641" w14:textId="77777777" w:rsidR="00B24B58" w:rsidRPr="00653150" w:rsidRDefault="00B24B58" w:rsidP="00CB26C0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SARS-CoV-2-specific T cells were determined from heparinized whole blood after 6-h stimulation with overlapping peptides spanning the SARS-CoV-2 spike protein (N-terminal </w:t>
            </w:r>
            <w:r w:rsidR="00CB26C0" w:rsidRPr="00653150">
              <w:rPr>
                <w:rFonts w:ascii="Times New Roman" w:eastAsia="等线" w:hAnsi="Times New Roman" w:hint="eastAsia"/>
                <w:color w:val="000000" w:themeColor="text1"/>
                <w:sz w:val="20"/>
                <w:szCs w:val="20"/>
              </w:rPr>
              <w:t>RBD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and C-terminal portion including the transmembrane domain, JPT). Immunostaining was performed using anti-CD4, anti-CD8, anti-CD69, anti-IFN-γ, anti-IL-2, and anti-TNF-α.</w:t>
            </w:r>
          </w:p>
        </w:tc>
      </w:tr>
      <w:tr w:rsidR="00653150" w:rsidRPr="00653150" w14:paraId="31735331" w14:textId="77777777" w:rsidTr="008969CB">
        <w:trPr>
          <w:trHeight w:hRule="exact" w:val="1144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515E2" w14:textId="38103A78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Rudiger </w:t>
            </w:r>
            <w:r w:rsidR="006B5730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Gross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22]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55F62" w14:textId="366F4FD2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91C1B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IgG and IgA levels in serum were determined by antiSARS-CoV-2 assay (Euroimmun), an ELISA which detects antibodies against the SARS-CoV-2 S1 spike domain.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F7E1B1" w14:textId="77777777" w:rsidR="00B24B58" w:rsidRPr="00653150" w:rsidRDefault="00B24B58" w:rsidP="00B24B58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Prevention of SARS-CoV-2 spike RBD interaction with ACE2 by sera was evaluated by SARS-CoV-2 </w:t>
            </w:r>
            <w:r w:rsidR="001E330E"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sVNT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 Kit (GenScript) according to the manufacturer’s instructions.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A31C0" w14:textId="77777777" w:rsidR="00B24B58" w:rsidRPr="00653150" w:rsidRDefault="00B24B58" w:rsidP="001E330E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Determination of CD4+ and CD8+ SARS-CoV-2 spikespecific T cell responses by ICS</w:t>
            </w:r>
          </w:p>
        </w:tc>
      </w:tr>
      <w:tr w:rsidR="00653150" w:rsidRPr="00653150" w14:paraId="1BA8B1DD" w14:textId="77777777" w:rsidTr="007748F4">
        <w:trPr>
          <w:trHeight w:hRule="exact" w:val="1266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B3A5F" w14:textId="27F58E77" w:rsidR="00B24B58" w:rsidRPr="00653150" w:rsidDel="00594D77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Bruno Pozzetto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25]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117F" w14:textId="77777777" w:rsidR="00B24B58" w:rsidRPr="00653150" w:rsidDel="00594D77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RBD-specific IgG were measured using bioMérieux Vidas SARS-CoV-2 IgG diagnosis kits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AB1DD0" w14:textId="77777777" w:rsidR="00B24B58" w:rsidRPr="00653150" w:rsidDel="00594D77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S1-specific IgG were measured using Siemens Atellica IM SARS-CoV-2 IgG (sCOVG); IgA binding to the SARS-CoV-2 spike protein were measured by ELISAs.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A384E3" w14:textId="77777777" w:rsidR="00B24B58" w:rsidRPr="00653150" w:rsidDel="00594D77" w:rsidRDefault="00B24B58" w:rsidP="001E330E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A (PRNT was used for the detection and titration of neutralizing antibodies.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DC784" w14:textId="77777777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Monitoring of T cell responses using whole-blood IFNγ release</w:t>
            </w:r>
          </w:p>
          <w:p w14:paraId="0A4BDEA2" w14:textId="77777777" w:rsidR="00B24B58" w:rsidRPr="00653150" w:rsidDel="00594D77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assay; monitoring of T cell responses and SARS-CoV-2 RBD-specific B cells response by flow cytometry.</w:t>
            </w:r>
          </w:p>
        </w:tc>
      </w:tr>
      <w:tr w:rsidR="00653150" w:rsidRPr="00653150" w14:paraId="1E2A9498" w14:textId="77777777" w:rsidTr="000B59DC">
        <w:trPr>
          <w:trHeight w:hRule="exact" w:val="992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BC29ED" w14:textId="0733AF25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Samantha J Westrop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29]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A13D3F" w14:textId="6275D440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B74CB0" w14:textId="77777777" w:rsidR="00B24B58" w:rsidRPr="00653150" w:rsidRDefault="00B24B58" w:rsidP="001E330E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IgG antibody levels against the SARS-CoV-2 spike protein (S</w:t>
            </w:r>
            <w:r w:rsidR="00116E58" w:rsidRPr="00653150">
              <w:rPr>
                <w:rFonts w:ascii="Times New Roman" w:eastAsia="等线" w:hAnsi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 w:rsidR="001E330E" w:rsidRPr="00653150">
              <w:rPr>
                <w:rFonts w:ascii="Times New Roman" w:eastAsia="等线" w:hAnsi="Times New Roman" w:hint="eastAsia"/>
                <w:color w:val="000000" w:themeColor="text1"/>
                <w:sz w:val="20"/>
                <w:szCs w:val="20"/>
              </w:rPr>
              <w:t>Ab</w:t>
            </w: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>) was determined using the Roche Elecsys S.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05DB9F" w14:textId="5A48587A" w:rsidR="00B24B58" w:rsidRPr="00653150" w:rsidRDefault="0011472E" w:rsidP="00B24B58">
            <w:pPr>
              <w:autoSpaceDE w:val="0"/>
              <w:autoSpaceDN w:val="0"/>
              <w:adjustRightInd w:val="0"/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C73AE1" w14:textId="374C7D3D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</w:tr>
      <w:tr w:rsidR="00653150" w:rsidRPr="00653150" w14:paraId="069602AF" w14:textId="77777777" w:rsidTr="000B59DC">
        <w:trPr>
          <w:trHeight w:hRule="exact" w:val="1276"/>
          <w:jc w:val="center"/>
        </w:trPr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3504D" w14:textId="698C66EA" w:rsidR="00B24B58" w:rsidRPr="00653150" w:rsidRDefault="00B24B58" w:rsidP="00B24B58">
            <w:pPr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Swantje I. Hammerschmidt</w:t>
            </w:r>
            <w:r w:rsidR="00FA08ED" w:rsidRPr="00653150">
              <w:rPr>
                <w:rFonts w:ascii="Times New Roman" w:hAnsi="Times New Roman" w:hint="eastAsia"/>
                <w:color w:val="000000" w:themeColor="text1"/>
                <w:szCs w:val="21"/>
                <w:vertAlign w:val="superscript"/>
              </w:rPr>
              <w:t>[</w:t>
            </w:r>
            <w:r w:rsidR="00FA08ED" w:rsidRPr="00653150">
              <w:rPr>
                <w:rFonts w:ascii="Times New Roman" w:hAnsi="Times New Roman"/>
                <w:color w:val="000000" w:themeColor="text1"/>
                <w:szCs w:val="21"/>
                <w:vertAlign w:val="superscript"/>
              </w:rPr>
              <w:t>24]</w:t>
            </w:r>
          </w:p>
        </w:tc>
        <w:tc>
          <w:tcPr>
            <w:tcW w:w="1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7C85F2" w14:textId="546942CD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1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B64EF" w14:textId="092D8F96" w:rsidR="00B24B58" w:rsidRPr="00653150" w:rsidRDefault="0011472E" w:rsidP="0011472E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  <w:tc>
          <w:tcPr>
            <w:tcW w:w="13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CC24BA" w14:textId="77777777" w:rsidR="00B24B58" w:rsidRPr="00653150" w:rsidRDefault="00B24B58" w:rsidP="00F543C9">
            <w:pPr>
              <w:autoSpaceDE w:val="0"/>
              <w:autoSpaceDN w:val="0"/>
              <w:adjustRightInd w:val="0"/>
              <w:spacing w:line="200" w:lineRule="exact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  <w:t xml:space="preserve">a sVNT. The sVNT is an ELISA-based assay that quantitatively determines the ability of serum antibodies to inhibit a tagged spike RBD to bind to coated ACE2 that serves as a cellular receptor for SARS-CoV-2. </w:t>
            </w:r>
          </w:p>
        </w:tc>
        <w:tc>
          <w:tcPr>
            <w:tcW w:w="9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9CFCE" w14:textId="3F532EDC" w:rsidR="00B24B58" w:rsidRPr="00653150" w:rsidRDefault="0011472E" w:rsidP="00B24B58">
            <w:pPr>
              <w:spacing w:line="200" w:lineRule="exact"/>
              <w:jc w:val="center"/>
              <w:rPr>
                <w:rFonts w:ascii="Times New Roman" w:eastAsia="等线" w:hAnsi="Times New Roman"/>
                <w:color w:val="000000" w:themeColor="text1"/>
                <w:sz w:val="20"/>
                <w:szCs w:val="20"/>
              </w:rPr>
            </w:pPr>
            <w:r w:rsidRPr="00653150">
              <w:rPr>
                <w:rFonts w:ascii="Times New Roman" w:hAnsi="Times New Roman"/>
                <w:color w:val="000000" w:themeColor="text1"/>
                <w:kern w:val="0"/>
                <w:sz w:val="22"/>
              </w:rPr>
              <w:t>–</w:t>
            </w:r>
          </w:p>
        </w:tc>
      </w:tr>
    </w:tbl>
    <w:p w14:paraId="43F195D1" w14:textId="787E7326" w:rsidR="006A3E16" w:rsidRPr="00653150" w:rsidRDefault="00A218B6" w:rsidP="001666AD">
      <w:pPr>
        <w:widowControl/>
        <w:rPr>
          <w:rFonts w:ascii="Times New Roman" w:hAnsi="Times New Roman"/>
          <w:color w:val="000000" w:themeColor="text1"/>
          <w:sz w:val="20"/>
          <w:szCs w:val="20"/>
        </w:rPr>
      </w:pPr>
      <w:r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Abbreviations: Ab, antibody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</w:t>
      </w:r>
      <w:r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RBD, receptor-binding domain; ACE2, angiotensin-converting enzyme 2; </w:t>
      </w:r>
      <w:r w:rsidRPr="00653150">
        <w:rPr>
          <w:rFonts w:ascii="Times New Roman" w:hAnsi="Times New Roman"/>
          <w:color w:val="000000" w:themeColor="text1"/>
          <w:sz w:val="20"/>
          <w:szCs w:val="20"/>
        </w:rPr>
        <w:t>CMIA, chemiluminescent microparticle immunoassay; IFN-γ, interferon-γ; ELISA, enzyme-linked immunosorbent assay</w:t>
      </w:r>
      <w:r w:rsidR="00116E58" w:rsidRPr="00653150">
        <w:rPr>
          <w:rFonts w:ascii="Times New Roman" w:hAnsi="Times New Roman" w:hint="eastAsia"/>
          <w:color w:val="000000" w:themeColor="text1"/>
          <w:sz w:val="20"/>
          <w:szCs w:val="20"/>
        </w:rPr>
        <w:t>;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sVNT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, 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surrogate virus neutralization test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PRNT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, 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plaque reduction neutralization test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ICS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, </w:t>
      </w:r>
      <w:r w:rsidR="00116E58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intracellular cytokine staining</w:t>
      </w:r>
      <w:r w:rsidR="00116E58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SFC</w:t>
      </w:r>
      <w:r w:rsidR="00494482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, 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spot forming cells</w:t>
      </w:r>
      <w:r w:rsidR="00494482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pVNT</w:t>
      </w:r>
      <w:r w:rsidR="00494482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 xml:space="preserve">, 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Pseudotyped virus neutralization assay</w:t>
      </w:r>
      <w:r w:rsidR="00494482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ID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  <w:vertAlign w:val="subscript"/>
        </w:rPr>
        <w:t>50</w:t>
      </w:r>
      <w:r w:rsidR="00494482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,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50% inhibitory dilutions</w:t>
      </w:r>
      <w:r w:rsidR="00494482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;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NT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  <w:vertAlign w:val="subscript"/>
        </w:rPr>
        <w:t>50</w:t>
      </w:r>
      <w:r w:rsidR="003F41B7" w:rsidRPr="00653150">
        <w:rPr>
          <w:rFonts w:ascii="Times New Roman" w:eastAsia="等线" w:hAnsi="Times New Roman" w:hint="eastAsia"/>
          <w:color w:val="000000" w:themeColor="text1"/>
          <w:sz w:val="20"/>
          <w:szCs w:val="20"/>
        </w:rPr>
        <w:t>,</w:t>
      </w:r>
      <w:r w:rsidR="003F41B7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 xml:space="preserve"> </w:t>
      </w:r>
      <w:r w:rsidR="00494482" w:rsidRPr="00653150">
        <w:rPr>
          <w:rFonts w:ascii="Times New Roman" w:eastAsia="等线" w:hAnsi="Times New Roman"/>
          <w:color w:val="000000" w:themeColor="text1"/>
          <w:sz w:val="20"/>
          <w:szCs w:val="20"/>
        </w:rPr>
        <w:t>50% neutralising antibody titre</w:t>
      </w:r>
    </w:p>
    <w:sectPr w:rsidR="006A3E16" w:rsidRPr="00653150" w:rsidSect="00486045">
      <w:pgSz w:w="16838" w:h="11906" w:orient="landscape"/>
      <w:pgMar w:top="1134" w:right="1440" w:bottom="1134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5554B2" w14:textId="77777777" w:rsidR="006A1BAB" w:rsidRDefault="006A1BAB" w:rsidP="00A4249F">
      <w:r>
        <w:separator/>
      </w:r>
    </w:p>
  </w:endnote>
  <w:endnote w:type="continuationSeparator" w:id="0">
    <w:p w14:paraId="6426EDC7" w14:textId="77777777" w:rsidR="006A1BAB" w:rsidRDefault="006A1BAB" w:rsidP="00A4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URWPalladioL-Roma">
    <w:altName w:val="Cambria"/>
    <w:panose1 w:val="00000000000000000000"/>
    <w:charset w:val="00"/>
    <w:family w:val="roman"/>
    <w:notTrueType/>
    <w:pitch w:val="default"/>
  </w:font>
  <w:font w:name="STIXGeneral-Regular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0A9FA" w14:textId="77777777" w:rsidR="006A1BAB" w:rsidRDefault="006A1BAB" w:rsidP="00A4249F">
      <w:r>
        <w:separator/>
      </w:r>
    </w:p>
  </w:footnote>
  <w:footnote w:type="continuationSeparator" w:id="0">
    <w:p w14:paraId="5FAF8BD4" w14:textId="77777777" w:rsidR="006A1BAB" w:rsidRDefault="006A1BAB" w:rsidP="00A42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1724B"/>
    <w:multiLevelType w:val="multilevel"/>
    <w:tmpl w:val="124C4BD8"/>
    <w:lvl w:ilvl="0">
      <w:start w:val="1"/>
      <w:numFmt w:val="lowerLetter"/>
      <w:suff w:val="space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num w:numId="1" w16cid:durableId="16899424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52197"/>
    <w:rsid w:val="0000568F"/>
    <w:rsid w:val="00012D04"/>
    <w:rsid w:val="0001365A"/>
    <w:rsid w:val="000244DE"/>
    <w:rsid w:val="00030703"/>
    <w:rsid w:val="00055369"/>
    <w:rsid w:val="00081C6F"/>
    <w:rsid w:val="000A1C3A"/>
    <w:rsid w:val="000B59DC"/>
    <w:rsid w:val="000C22FF"/>
    <w:rsid w:val="000C59F6"/>
    <w:rsid w:val="000D3F26"/>
    <w:rsid w:val="000E352A"/>
    <w:rsid w:val="000F05A9"/>
    <w:rsid w:val="001002F7"/>
    <w:rsid w:val="00105B73"/>
    <w:rsid w:val="0011472E"/>
    <w:rsid w:val="00116E58"/>
    <w:rsid w:val="00125ADE"/>
    <w:rsid w:val="0016286D"/>
    <w:rsid w:val="00162F05"/>
    <w:rsid w:val="001666AD"/>
    <w:rsid w:val="001762B5"/>
    <w:rsid w:val="001901A6"/>
    <w:rsid w:val="001C44D4"/>
    <w:rsid w:val="001D29E4"/>
    <w:rsid w:val="001E330E"/>
    <w:rsid w:val="001E71D6"/>
    <w:rsid w:val="001E7C65"/>
    <w:rsid w:val="002079B2"/>
    <w:rsid w:val="002144CA"/>
    <w:rsid w:val="00224C49"/>
    <w:rsid w:val="0022565F"/>
    <w:rsid w:val="0023595E"/>
    <w:rsid w:val="00242D28"/>
    <w:rsid w:val="00256137"/>
    <w:rsid w:val="00262630"/>
    <w:rsid w:val="00272CF4"/>
    <w:rsid w:val="0028660B"/>
    <w:rsid w:val="0029359C"/>
    <w:rsid w:val="00294A6E"/>
    <w:rsid w:val="002A2B4C"/>
    <w:rsid w:val="002B6D9F"/>
    <w:rsid w:val="002C3CCA"/>
    <w:rsid w:val="002D33F0"/>
    <w:rsid w:val="00301B9D"/>
    <w:rsid w:val="00322F78"/>
    <w:rsid w:val="003378B5"/>
    <w:rsid w:val="00351CA4"/>
    <w:rsid w:val="00357E7E"/>
    <w:rsid w:val="00361516"/>
    <w:rsid w:val="00364AB9"/>
    <w:rsid w:val="00366B01"/>
    <w:rsid w:val="003A10AD"/>
    <w:rsid w:val="003B3F6A"/>
    <w:rsid w:val="003E5F5F"/>
    <w:rsid w:val="003E76AB"/>
    <w:rsid w:val="003F41B7"/>
    <w:rsid w:val="004064EA"/>
    <w:rsid w:val="00430FE0"/>
    <w:rsid w:val="004313FC"/>
    <w:rsid w:val="00454E82"/>
    <w:rsid w:val="0046563F"/>
    <w:rsid w:val="004758E3"/>
    <w:rsid w:val="00477C5B"/>
    <w:rsid w:val="004842A2"/>
    <w:rsid w:val="00484E09"/>
    <w:rsid w:val="00486045"/>
    <w:rsid w:val="0048606B"/>
    <w:rsid w:val="00494482"/>
    <w:rsid w:val="004C209D"/>
    <w:rsid w:val="004D3B8A"/>
    <w:rsid w:val="00512B7D"/>
    <w:rsid w:val="00522EC6"/>
    <w:rsid w:val="00533FD6"/>
    <w:rsid w:val="00541331"/>
    <w:rsid w:val="00541F6E"/>
    <w:rsid w:val="00551B4B"/>
    <w:rsid w:val="00577680"/>
    <w:rsid w:val="005831D1"/>
    <w:rsid w:val="00585783"/>
    <w:rsid w:val="00591981"/>
    <w:rsid w:val="00592427"/>
    <w:rsid w:val="00594D41"/>
    <w:rsid w:val="005B4C23"/>
    <w:rsid w:val="005D5B6A"/>
    <w:rsid w:val="00601F3C"/>
    <w:rsid w:val="00631370"/>
    <w:rsid w:val="006473BD"/>
    <w:rsid w:val="00653150"/>
    <w:rsid w:val="00670541"/>
    <w:rsid w:val="006A1BAB"/>
    <w:rsid w:val="006A3AE1"/>
    <w:rsid w:val="006A3E16"/>
    <w:rsid w:val="006B5730"/>
    <w:rsid w:val="006B7429"/>
    <w:rsid w:val="006C6D28"/>
    <w:rsid w:val="00701443"/>
    <w:rsid w:val="00735A20"/>
    <w:rsid w:val="007748F4"/>
    <w:rsid w:val="00794094"/>
    <w:rsid w:val="0079514F"/>
    <w:rsid w:val="007D7178"/>
    <w:rsid w:val="007E1DC3"/>
    <w:rsid w:val="007E4682"/>
    <w:rsid w:val="007F7743"/>
    <w:rsid w:val="00813059"/>
    <w:rsid w:val="00815C88"/>
    <w:rsid w:val="00834456"/>
    <w:rsid w:val="00862B03"/>
    <w:rsid w:val="00866414"/>
    <w:rsid w:val="0086671F"/>
    <w:rsid w:val="00866F71"/>
    <w:rsid w:val="00877723"/>
    <w:rsid w:val="008827FE"/>
    <w:rsid w:val="008969CB"/>
    <w:rsid w:val="008A5987"/>
    <w:rsid w:val="008A65D4"/>
    <w:rsid w:val="008C439D"/>
    <w:rsid w:val="008D07F3"/>
    <w:rsid w:val="008D168A"/>
    <w:rsid w:val="008D6BBB"/>
    <w:rsid w:val="008E7670"/>
    <w:rsid w:val="008F0C53"/>
    <w:rsid w:val="008F3E26"/>
    <w:rsid w:val="0090647D"/>
    <w:rsid w:val="009552DF"/>
    <w:rsid w:val="009628F3"/>
    <w:rsid w:val="009B7813"/>
    <w:rsid w:val="009C70A6"/>
    <w:rsid w:val="009E261D"/>
    <w:rsid w:val="00A0528A"/>
    <w:rsid w:val="00A07E36"/>
    <w:rsid w:val="00A218B6"/>
    <w:rsid w:val="00A23F8F"/>
    <w:rsid w:val="00A253C0"/>
    <w:rsid w:val="00A364E3"/>
    <w:rsid w:val="00A4249F"/>
    <w:rsid w:val="00A42DE0"/>
    <w:rsid w:val="00A62C34"/>
    <w:rsid w:val="00A847E1"/>
    <w:rsid w:val="00A96A0B"/>
    <w:rsid w:val="00AB012B"/>
    <w:rsid w:val="00AB54C2"/>
    <w:rsid w:val="00AB6C87"/>
    <w:rsid w:val="00AD4AA0"/>
    <w:rsid w:val="00B10524"/>
    <w:rsid w:val="00B11719"/>
    <w:rsid w:val="00B17773"/>
    <w:rsid w:val="00B17A25"/>
    <w:rsid w:val="00B24B58"/>
    <w:rsid w:val="00B27C9B"/>
    <w:rsid w:val="00B34516"/>
    <w:rsid w:val="00B34AE9"/>
    <w:rsid w:val="00B43315"/>
    <w:rsid w:val="00B50733"/>
    <w:rsid w:val="00B52197"/>
    <w:rsid w:val="00B6120C"/>
    <w:rsid w:val="00B62C9A"/>
    <w:rsid w:val="00B6555C"/>
    <w:rsid w:val="00B6614D"/>
    <w:rsid w:val="00B67397"/>
    <w:rsid w:val="00B70852"/>
    <w:rsid w:val="00B84E08"/>
    <w:rsid w:val="00B97594"/>
    <w:rsid w:val="00B97F5D"/>
    <w:rsid w:val="00BB0CA8"/>
    <w:rsid w:val="00BB3D99"/>
    <w:rsid w:val="00BC1DA8"/>
    <w:rsid w:val="00BE197E"/>
    <w:rsid w:val="00BF2064"/>
    <w:rsid w:val="00BF24BD"/>
    <w:rsid w:val="00C01127"/>
    <w:rsid w:val="00C30BD5"/>
    <w:rsid w:val="00C46B30"/>
    <w:rsid w:val="00C47E6B"/>
    <w:rsid w:val="00C507B1"/>
    <w:rsid w:val="00C609AB"/>
    <w:rsid w:val="00C62826"/>
    <w:rsid w:val="00C727F2"/>
    <w:rsid w:val="00C73D7D"/>
    <w:rsid w:val="00C80365"/>
    <w:rsid w:val="00C932DB"/>
    <w:rsid w:val="00CB1DDE"/>
    <w:rsid w:val="00CB26C0"/>
    <w:rsid w:val="00CB73F6"/>
    <w:rsid w:val="00CC221D"/>
    <w:rsid w:val="00CC2D6E"/>
    <w:rsid w:val="00CD757C"/>
    <w:rsid w:val="00D0128C"/>
    <w:rsid w:val="00D1102C"/>
    <w:rsid w:val="00D164C8"/>
    <w:rsid w:val="00D31FBF"/>
    <w:rsid w:val="00D35F8F"/>
    <w:rsid w:val="00D37589"/>
    <w:rsid w:val="00D63F02"/>
    <w:rsid w:val="00D71118"/>
    <w:rsid w:val="00D81D29"/>
    <w:rsid w:val="00D84F38"/>
    <w:rsid w:val="00D8779C"/>
    <w:rsid w:val="00DC3A2F"/>
    <w:rsid w:val="00DF5D26"/>
    <w:rsid w:val="00E02E10"/>
    <w:rsid w:val="00E11D2C"/>
    <w:rsid w:val="00E1352E"/>
    <w:rsid w:val="00E15137"/>
    <w:rsid w:val="00E22080"/>
    <w:rsid w:val="00E30767"/>
    <w:rsid w:val="00E378FA"/>
    <w:rsid w:val="00E53649"/>
    <w:rsid w:val="00E57C41"/>
    <w:rsid w:val="00E57FC8"/>
    <w:rsid w:val="00E633B0"/>
    <w:rsid w:val="00E762F0"/>
    <w:rsid w:val="00E7668D"/>
    <w:rsid w:val="00E866B7"/>
    <w:rsid w:val="00EA58FF"/>
    <w:rsid w:val="00EB0488"/>
    <w:rsid w:val="00EC6A6E"/>
    <w:rsid w:val="00EF25F8"/>
    <w:rsid w:val="00EF6792"/>
    <w:rsid w:val="00EF7861"/>
    <w:rsid w:val="00F017D5"/>
    <w:rsid w:val="00F0487D"/>
    <w:rsid w:val="00F06B4C"/>
    <w:rsid w:val="00F25E5E"/>
    <w:rsid w:val="00F31F49"/>
    <w:rsid w:val="00F34899"/>
    <w:rsid w:val="00F41022"/>
    <w:rsid w:val="00F41AA9"/>
    <w:rsid w:val="00F427FA"/>
    <w:rsid w:val="00F466FB"/>
    <w:rsid w:val="00F46AAF"/>
    <w:rsid w:val="00F536E7"/>
    <w:rsid w:val="00F543C9"/>
    <w:rsid w:val="00F63A2A"/>
    <w:rsid w:val="00F85F05"/>
    <w:rsid w:val="00FA08ED"/>
    <w:rsid w:val="00FA7A79"/>
    <w:rsid w:val="00FB575C"/>
    <w:rsid w:val="00FD38CD"/>
    <w:rsid w:val="00FD53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569056"/>
  <w15:docId w15:val="{379B7976-FF0D-44A5-9D79-9F142C367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249F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49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49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49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49F"/>
    <w:rPr>
      <w:sz w:val="18"/>
      <w:szCs w:val="18"/>
    </w:rPr>
  </w:style>
  <w:style w:type="paragraph" w:styleId="a7">
    <w:name w:val="Revision"/>
    <w:hidden/>
    <w:uiPriority w:val="99"/>
    <w:semiHidden/>
    <w:rsid w:val="00D35F8F"/>
    <w:rPr>
      <w:rFonts w:ascii="Calibri" w:eastAsia="宋体" w:hAnsi="Calibri" w:cs="Times New Roman"/>
    </w:rPr>
  </w:style>
  <w:style w:type="character" w:customStyle="1" w:styleId="fontstyle01">
    <w:name w:val="fontstyle01"/>
    <w:basedOn w:val="a0"/>
    <w:rsid w:val="006473BD"/>
    <w:rPr>
      <w:rFonts w:ascii="URWPalladioL-Roma" w:hAnsi="URWPalladioL-Rom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21">
    <w:name w:val="fontstyle21"/>
    <w:basedOn w:val="a0"/>
    <w:rsid w:val="00364AB9"/>
    <w:rPr>
      <w:rFonts w:ascii="STIXGeneral-Regular" w:hAnsi="STIXGeneral-Regular" w:hint="default"/>
      <w:b w:val="0"/>
      <w:bCs w:val="0"/>
      <w:i w:val="0"/>
      <w:iCs w:val="0"/>
      <w:color w:val="000000"/>
      <w:sz w:val="16"/>
      <w:szCs w:val="16"/>
    </w:rPr>
  </w:style>
  <w:style w:type="table" w:styleId="a8">
    <w:name w:val="Table Grid"/>
    <w:basedOn w:val="a1"/>
    <w:uiPriority w:val="39"/>
    <w:rsid w:val="004D3B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C221D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CC221D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355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F0E747-E3AF-4668-942E-448E190168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3086</TotalTime>
  <Pages>5</Pages>
  <Words>1716</Words>
  <Characters>9784</Characters>
  <Application>Microsoft Office Word</Application>
  <DocSecurity>0</DocSecurity>
  <Lines>81</Lines>
  <Paragraphs>22</Paragraphs>
  <ScaleCrop>false</ScaleCrop>
  <Company/>
  <LinksUpToDate>false</LinksUpToDate>
  <CharactersWithSpaces>11478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A19556</dc:creator>
  <cp:keywords/>
  <dc:description/>
  <cp:lastModifiedBy>jiaye</cp:lastModifiedBy>
  <cp:revision>214</cp:revision>
  <dcterms:created xsi:type="dcterms:W3CDTF">2020-11-12T08:57:00Z</dcterms:created>
  <dcterms:modified xsi:type="dcterms:W3CDTF">2022-04-10T02:43:00Z</dcterms:modified>
</cp:coreProperties>
</file>