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240" w:lineRule="auto"/>
        <w:jc w:val="left"/>
        <w:rPr>
          <w:rFonts w:hint="eastAsia"/>
          <w:b/>
          <w:bCs/>
          <w:color w:val="002060"/>
          <w:sz w:val="32"/>
          <w:szCs w:val="32"/>
          <w:lang w:val="en-US" w:eastAsia="zh"/>
        </w:rPr>
      </w:pPr>
      <w:r>
        <w:rPr>
          <w:rFonts w:hint="eastAsia"/>
          <w:b/>
          <w:bCs/>
          <w:color w:val="002060"/>
          <w:sz w:val="32"/>
          <w:szCs w:val="32"/>
        </w:rPr>
        <w:t>A</w:t>
      </w:r>
      <w:r>
        <w:rPr>
          <w:b/>
          <w:bCs/>
          <w:color w:val="002060"/>
          <w:sz w:val="32"/>
          <w:szCs w:val="32"/>
        </w:rPr>
        <w:t>dditional 1.</w:t>
      </w:r>
      <w:bookmarkStart w:id="0" w:name="_Hlk105675300"/>
      <w:r>
        <w:rPr>
          <w:rFonts w:hint="eastAsia"/>
          <w:b/>
          <w:bCs/>
          <w:color w:val="002060"/>
          <w:sz w:val="32"/>
          <w:szCs w:val="32"/>
          <w:lang w:val="en-US" w:eastAsia="zh"/>
        </w:rPr>
        <w:t xml:space="preserve"> </w:t>
      </w:r>
    </w:p>
    <w:p>
      <w:pPr>
        <w:keepNext w:val="0"/>
        <w:keepLines w:val="0"/>
        <w:pageBreakBefore w:val="0"/>
        <w:kinsoku/>
        <w:wordWrap/>
        <w:overflowPunct/>
        <w:topLinePunct w:val="0"/>
        <w:autoSpaceDE/>
        <w:autoSpaceDN/>
        <w:bidi w:val="0"/>
        <w:adjustRightInd w:val="0"/>
        <w:snapToGrid w:val="0"/>
        <w:spacing w:line="240" w:lineRule="auto"/>
        <w:jc w:val="left"/>
        <w:rPr>
          <w:b/>
          <w:bCs/>
          <w:color w:val="002060"/>
          <w:sz w:val="32"/>
          <w:szCs w:val="32"/>
        </w:rPr>
      </w:pPr>
      <w:r>
        <w:rPr>
          <w:rFonts w:hint="eastAsia"/>
          <w:b/>
          <w:bCs/>
          <w:color w:val="002060"/>
          <w:sz w:val="32"/>
          <w:szCs w:val="32"/>
        </w:rPr>
        <w:t>P</w:t>
      </w:r>
      <w:r>
        <w:rPr>
          <w:b/>
          <w:bCs/>
          <w:color w:val="002060"/>
          <w:sz w:val="32"/>
          <w:szCs w:val="32"/>
        </w:rPr>
        <w:t>rotocol for calculation of  One Health governance index</w:t>
      </w:r>
      <w:bookmarkEnd w:id="0"/>
      <w:r>
        <w:rPr>
          <w:b/>
          <w:bCs/>
          <w:color w:val="002060"/>
          <w:sz w:val="32"/>
          <w:szCs w:val="32"/>
        </w:rPr>
        <w:t xml:space="preserve"> </w:t>
      </w:r>
    </w:p>
    <w:p>
      <w:pPr>
        <w:keepNext w:val="0"/>
        <w:keepLines w:val="0"/>
        <w:pageBreakBefore w:val="0"/>
        <w:kinsoku/>
        <w:wordWrap/>
        <w:overflowPunct/>
        <w:topLinePunct w:val="0"/>
        <w:autoSpaceDE/>
        <w:autoSpaceDN/>
        <w:bidi w:val="0"/>
        <w:adjustRightInd w:val="0"/>
        <w:snapToGrid w:val="0"/>
        <w:spacing w:line="240" w:lineRule="auto"/>
        <w:rPr>
          <w:highlight w:val="yellow"/>
        </w:rPr>
      </w:pPr>
    </w:p>
    <w:p>
      <w:pPr>
        <w:keepNext w:val="0"/>
        <w:keepLines w:val="0"/>
        <w:pageBreakBefore w:val="0"/>
        <w:kinsoku/>
        <w:wordWrap/>
        <w:overflowPunct/>
        <w:topLinePunct w:val="0"/>
        <w:autoSpaceDE/>
        <w:autoSpaceDN/>
        <w:bidi w:val="0"/>
        <w:adjustRightInd w:val="0"/>
        <w:snapToGrid w:val="0"/>
        <w:spacing w:line="240" w:lineRule="auto"/>
        <w:rPr>
          <w:lang w:eastAsia="zh"/>
        </w:rPr>
      </w:pPr>
      <w:r>
        <w:rPr>
          <w:rFonts w:hint="eastAsia"/>
        </w:rPr>
        <w:t>We have established a</w:t>
      </w:r>
      <w:r>
        <w:t xml:space="preserve">n indicator system with 8 </w:t>
      </w:r>
      <w:r>
        <w:rPr>
          <w:rFonts w:hint="eastAsia"/>
        </w:rPr>
        <w:t xml:space="preserve">indicators and added </w:t>
      </w:r>
      <w:r>
        <w:t>19 sub-indicators</w:t>
      </w:r>
      <w:r>
        <w:rPr>
          <w:rFonts w:hint="eastAsia"/>
        </w:rPr>
        <w:t xml:space="preserve"> through literature review</w:t>
      </w:r>
      <w:r>
        <w:t>, consultancy meetings</w:t>
      </w:r>
      <w:r>
        <w:rPr>
          <w:rFonts w:hint="eastAsia"/>
        </w:rPr>
        <w:t xml:space="preserve"> and </w:t>
      </w:r>
      <w:r>
        <w:t xml:space="preserve">panel </w:t>
      </w:r>
      <w:r>
        <w:rPr>
          <w:rFonts w:hint="eastAsia"/>
        </w:rPr>
        <w:t>discussion</w:t>
      </w:r>
      <w:r>
        <w:t>s</w:t>
      </w:r>
      <w:r>
        <w:rPr>
          <w:rFonts w:hint="eastAsia"/>
        </w:rPr>
        <w:t xml:space="preserve">. We have integrated and streamlined all indicators and sorted out the logic of indicators. Finally, we established our indicator system </w:t>
      </w:r>
      <w:r>
        <w:t xml:space="preserve">for the One Health governance following the </w:t>
      </w:r>
      <w:r>
        <w:rPr>
          <w:rFonts w:hint="eastAsia"/>
        </w:rPr>
        <w:t xml:space="preserve">good governance </w:t>
      </w:r>
      <w:r>
        <w:t xml:space="preserve">principle </w:t>
      </w:r>
      <w:r>
        <w:rPr>
          <w:rFonts w:hint="eastAsia"/>
          <w:lang w:eastAsia="zh"/>
        </w:rPr>
        <w:t>(</w:t>
      </w:r>
      <w:r>
        <w:rPr>
          <w:lang w:eastAsia="zh"/>
        </w:rPr>
        <w:t xml:space="preserve">Box </w:t>
      </w:r>
      <w:r>
        <w:rPr>
          <w:rFonts w:hint="eastAsia"/>
          <w:color w:val="0000FF"/>
          <w:lang w:eastAsia="zh"/>
        </w:rPr>
        <w:t>1</w:t>
      </w:r>
      <w:r>
        <w:rPr>
          <w:rFonts w:hint="eastAsia"/>
          <w:lang w:eastAsia="zh"/>
        </w:rPr>
        <w:t>)</w:t>
      </w:r>
      <w:r>
        <w:rPr>
          <w:lang w:eastAsia="zh"/>
        </w:rPr>
        <w:t>.</w:t>
      </w:r>
    </w:p>
    <w:p>
      <w:pPr>
        <w:keepNext w:val="0"/>
        <w:keepLines w:val="0"/>
        <w:pageBreakBefore w:val="0"/>
        <w:kinsoku/>
        <w:wordWrap/>
        <w:overflowPunct/>
        <w:topLinePunct w:val="0"/>
        <w:autoSpaceDE/>
        <w:autoSpaceDN/>
        <w:bidi w:val="0"/>
        <w:adjustRightInd w:val="0"/>
        <w:snapToGrid w:val="0"/>
        <w:spacing w:line="240" w:lineRule="auto"/>
      </w:pPr>
    </w:p>
    <w:p>
      <w:pPr>
        <w:keepNext w:val="0"/>
        <w:keepLines w:val="0"/>
        <w:pageBreakBefore w:val="0"/>
        <w:kinsoku/>
        <w:wordWrap/>
        <w:overflowPunct/>
        <w:topLinePunct w:val="0"/>
        <w:autoSpaceDE/>
        <w:autoSpaceDN/>
        <w:bidi w:val="0"/>
        <w:adjustRightInd w:val="0"/>
        <w:snapToGrid w:val="0"/>
        <w:spacing w:line="240" w:lineRule="auto"/>
      </w:pPr>
      <w:r>
        <mc:AlternateContent>
          <mc:Choice Requires="wps">
            <w:drawing>
              <wp:inline distT="0" distB="0" distL="0" distR="0">
                <wp:extent cx="5410835" cy="4221480"/>
                <wp:effectExtent l="4445" t="4445" r="13970" b="12700"/>
                <wp:docPr id="2" name="矩形 2"/>
                <wp:cNvGraphicFramePr/>
                <a:graphic xmlns:a="http://schemas.openxmlformats.org/drawingml/2006/main">
                  <a:graphicData uri="http://schemas.microsoft.com/office/word/2010/wordprocessingShape">
                    <wps:wsp>
                      <wps:cNvSpPr/>
                      <wps:spPr>
                        <a:xfrm>
                          <a:off x="0" y="0"/>
                          <a:ext cx="5410835" cy="4221480"/>
                        </a:xfrm>
                        <a:prstGeom prst="rect">
                          <a:avLst/>
                        </a:prstGeom>
                        <a:noFill/>
                        <a:ln>
                          <a:solidFill>
                            <a:srgbClr val="002060"/>
                          </a:solidFill>
                        </a:ln>
                      </wps:spPr>
                      <wps:style>
                        <a:lnRef idx="1">
                          <a:schemeClr val="accent6"/>
                        </a:lnRef>
                        <a:fillRef idx="3">
                          <a:schemeClr val="accent6"/>
                        </a:fillRef>
                        <a:effectRef idx="2">
                          <a:schemeClr val="accent6"/>
                        </a:effectRef>
                        <a:fontRef idx="minor">
                          <a:schemeClr val="lt1"/>
                        </a:fontRef>
                      </wps:style>
                      <wps:txbx>
                        <w:txbxContent>
                          <w:p>
                            <w:pPr>
                              <w:rPr>
                                <w:b/>
                                <w:bCs/>
                                <w:color w:val="595959" w:themeColor="text1" w:themeTint="A6"/>
                                <w14:textFill>
                                  <w14:solidFill>
                                    <w14:schemeClr w14:val="tx1">
                                      <w14:lumMod w14:val="65000"/>
                                      <w14:lumOff w14:val="35000"/>
                                    </w14:schemeClr>
                                  </w14:solidFill>
                                </w14:textFill>
                              </w:rPr>
                            </w:pPr>
                            <w:r>
                              <w:rPr>
                                <w:rFonts w:hint="eastAsia"/>
                                <w:b/>
                                <w:bCs/>
                                <w:color w:val="595959" w:themeColor="text1" w:themeTint="A6"/>
                                <w14:textFill>
                                  <w14:solidFill>
                                    <w14:schemeClr w14:val="tx1">
                                      <w14:lumMod w14:val="65000"/>
                                      <w14:lumOff w14:val="35000"/>
                                    </w14:schemeClr>
                                  </w14:solidFill>
                                </w14:textFill>
                              </w:rPr>
                              <w:t>B</w:t>
                            </w:r>
                            <w:r>
                              <w:rPr>
                                <w:b/>
                                <w:bCs/>
                                <w:color w:val="595959" w:themeColor="text1" w:themeTint="A6"/>
                                <w14:textFill>
                                  <w14:solidFill>
                                    <w14:schemeClr w14:val="tx1">
                                      <w14:lumMod w14:val="65000"/>
                                      <w14:lumOff w14:val="35000"/>
                                    </w14:schemeClr>
                                  </w14:solidFill>
                                </w14:textFill>
                              </w:rPr>
                              <w:t xml:space="preserve">ox 1. </w:t>
                            </w:r>
                            <w:r>
                              <w:rPr>
                                <w:rFonts w:hint="eastAsia"/>
                                <w:b/>
                                <w:bCs/>
                                <w:color w:val="595959" w:themeColor="text1" w:themeTint="A6"/>
                                <w14:textFill>
                                  <w14:solidFill>
                                    <w14:schemeClr w14:val="tx1">
                                      <w14:lumMod w14:val="65000"/>
                                      <w14:lumOff w14:val="35000"/>
                                    </w14:schemeClr>
                                  </w14:solidFill>
                                </w14:textFill>
                              </w:rPr>
                              <w:t>Good Governance</w:t>
                            </w:r>
                            <w:r>
                              <w:rPr>
                                <w:b/>
                                <w:bCs/>
                                <w:color w:val="595959" w:themeColor="text1" w:themeTint="A6"/>
                                <w14:textFill>
                                  <w14:solidFill>
                                    <w14:schemeClr w14:val="tx1">
                                      <w14:lumMod w14:val="65000"/>
                                      <w14:lumOff w14:val="35000"/>
                                    </w14:schemeClr>
                                  </w14:solidFill>
                                </w14:textFill>
                              </w:rPr>
                              <w:t xml:space="preserve"> indicator system:</w:t>
                            </w:r>
                          </w:p>
                          <w:p>
                            <w:pPr>
                              <w:rPr>
                                <w:b/>
                                <w:bCs/>
                                <w:color w:val="70AD47" w:themeColor="accent6"/>
                                <w14:textFill>
                                  <w14:solidFill>
                                    <w14:schemeClr w14:val="accent6"/>
                                  </w14:solidFill>
                                </w14:textFill>
                              </w:rPr>
                            </w:pPr>
                          </w:p>
                          <w:p>
                            <w:pPr>
                              <w:rPr>
                                <w:rFonts w:hint="eastAsia"/>
                                <w:color w:val="595959" w:themeColor="text1" w:themeTint="A6"/>
                                <w14:textFill>
                                  <w14:solidFill>
                                    <w14:schemeClr w14:val="tx1">
                                      <w14:lumMod w14:val="65000"/>
                                      <w14:lumOff w14:val="35000"/>
                                    </w14:schemeClr>
                                  </w14:solidFill>
                                </w14:textFill>
                              </w:rPr>
                            </w:pPr>
                            <w:r>
                              <w:rPr>
                                <w:b/>
                                <w:bCs/>
                                <w:color w:val="C00000"/>
                              </w:rPr>
                              <w:t xml:space="preserve">Number of </w:t>
                            </w:r>
                            <w:r>
                              <w:rPr>
                                <w:rFonts w:hint="eastAsia"/>
                                <w:b/>
                                <w:bCs/>
                                <w:color w:val="C00000"/>
                              </w:rPr>
                              <w:t>Indicators</w:t>
                            </w:r>
                            <w:r>
                              <w:rPr>
                                <w:rFonts w:hint="eastAsia"/>
                                <w:b/>
                                <w:bCs/>
                                <w:color w:val="C00000"/>
                                <w:lang w:eastAsia="zh-CN"/>
                              </w:rPr>
                              <w:t>：</w:t>
                            </w:r>
                            <w:r>
                              <w:rPr>
                                <w:rFonts w:hint="eastAsia"/>
                                <w:color w:val="595959" w:themeColor="text1" w:themeTint="A6"/>
                                <w14:textFill>
                                  <w14:solidFill>
                                    <w14:schemeClr w14:val="tx1">
                                      <w14:lumMod w14:val="65000"/>
                                      <w14:lumOff w14:val="35000"/>
                                    </w14:schemeClr>
                                  </w14:solidFill>
                                </w14:textFill>
                              </w:rPr>
                              <w:t>8 indicators</w:t>
                            </w:r>
                            <w:r>
                              <w:rPr>
                                <w:color w:val="595959" w:themeColor="text1" w:themeTint="A6"/>
                                <w14:textFill>
                                  <w14:solidFill>
                                    <w14:schemeClr w14:val="tx1">
                                      <w14:lumMod w14:val="65000"/>
                                      <w14:lumOff w14:val="35000"/>
                                    </w14:schemeClr>
                                  </w14:solidFill>
                                </w14:textFill>
                              </w:rPr>
                              <w:t>, including participation, rule of law, transparency, responsiveness, consensus oriented, equity and inclusiveness, effectiveness and efficiency, and political support</w:t>
                            </w:r>
                            <w:r>
                              <w:rPr>
                                <w:rFonts w:hint="eastAsia"/>
                                <w:color w:val="595959" w:themeColor="text1" w:themeTint="A6"/>
                                <w14:textFill>
                                  <w14:solidFill>
                                    <w14:schemeClr w14:val="tx1">
                                      <w14:lumMod w14:val="65000"/>
                                      <w14:lumOff w14:val="35000"/>
                                    </w14:schemeClr>
                                  </w14:solidFill>
                                </w14:textFill>
                              </w:rPr>
                              <w:t>.</w:t>
                            </w:r>
                          </w:p>
                          <w:p>
                            <w:pPr>
                              <w:rPr>
                                <w:b/>
                                <w:bCs/>
                                <w:color w:val="595959" w:themeColor="text1" w:themeTint="A6"/>
                                <w14:textFill>
                                  <w14:solidFill>
                                    <w14:schemeClr w14:val="tx1">
                                      <w14:lumMod w14:val="65000"/>
                                      <w14:lumOff w14:val="35000"/>
                                    </w14:schemeClr>
                                  </w14:solidFill>
                                </w14:textFill>
                              </w:rPr>
                            </w:pPr>
                          </w:p>
                          <w:p>
                            <w:pPr>
                              <w:rPr>
                                <w:color w:val="595959" w:themeColor="text1" w:themeTint="A6"/>
                                <w14:textFill>
                                  <w14:solidFill>
                                    <w14:schemeClr w14:val="tx1">
                                      <w14:lumMod w14:val="65000"/>
                                      <w14:lumOff w14:val="35000"/>
                                    </w14:schemeClr>
                                  </w14:solidFill>
                                </w14:textFill>
                              </w:rPr>
                            </w:pPr>
                            <w:r>
                              <w:rPr>
                                <w:b/>
                                <w:bCs/>
                                <w:color w:val="C00000"/>
                              </w:rPr>
                              <w:t>Number of sub-in</w:t>
                            </w:r>
                            <w:r>
                              <w:rPr>
                                <w:rFonts w:hint="eastAsia"/>
                                <w:b/>
                                <w:bCs/>
                                <w:color w:val="C00000"/>
                              </w:rPr>
                              <w:t>dicator</w:t>
                            </w:r>
                            <w:r>
                              <w:rPr>
                                <w:b/>
                                <w:bCs/>
                                <w:color w:val="C00000"/>
                              </w:rPr>
                              <w:t xml:space="preserve">s: </w:t>
                            </w:r>
                            <w:r>
                              <w:rPr>
                                <w:rFonts w:hint="eastAsia"/>
                                <w:b/>
                                <w:bCs/>
                                <w:color w:val="C00000"/>
                                <w:lang w:val="en-US" w:eastAsia="zh-CN"/>
                              </w:rPr>
                              <w:t xml:space="preserve">  </w:t>
                            </w:r>
                            <w:r>
                              <w:rPr>
                                <w:rFonts w:hint="eastAsia"/>
                                <w:color w:val="595959" w:themeColor="text1" w:themeTint="A6"/>
                                <w14:textFill>
                                  <w14:solidFill>
                                    <w14:schemeClr w14:val="tx1">
                                      <w14:lumMod w14:val="65000"/>
                                      <w14:lumOff w14:val="35000"/>
                                    </w14:schemeClr>
                                  </w14:solidFill>
                                </w14:textFill>
                              </w:rPr>
                              <w:t xml:space="preserve">19 </w:t>
                            </w:r>
                            <w:r>
                              <w:rPr>
                                <w:color w:val="595959" w:themeColor="text1" w:themeTint="A6"/>
                                <w14:textFill>
                                  <w14:solidFill>
                                    <w14:schemeClr w14:val="tx1">
                                      <w14:lumMod w14:val="65000"/>
                                      <w14:lumOff w14:val="35000"/>
                                    </w14:schemeClr>
                                  </w14:solidFill>
                                </w14:textFill>
                              </w:rPr>
                              <w:t>sub-</w:t>
                            </w:r>
                            <w:r>
                              <w:rPr>
                                <w:rFonts w:hint="eastAsia"/>
                                <w:color w:val="595959" w:themeColor="text1" w:themeTint="A6"/>
                                <w14:textFill>
                                  <w14:solidFill>
                                    <w14:schemeClr w14:val="tx1">
                                      <w14:lumMod w14:val="65000"/>
                                      <w14:lumOff w14:val="35000"/>
                                    </w14:schemeClr>
                                  </w14:solidFill>
                                </w14:textFill>
                              </w:rPr>
                              <w:t>indicators</w:t>
                            </w:r>
                            <w:r>
                              <w:rPr>
                                <w:color w:val="595959" w:themeColor="text1" w:themeTint="A6"/>
                                <w14:textFill>
                                  <w14:solidFill>
                                    <w14:schemeClr w14:val="tx1">
                                      <w14:lumMod w14:val="65000"/>
                                      <w14:lumOff w14:val="35000"/>
                                    </w14:schemeClr>
                                  </w14:solidFill>
                                </w14:textFill>
                              </w:rPr>
                              <w:t>, including global connectivity</w:t>
                            </w:r>
                            <w:r>
                              <w:rPr>
                                <w:rFonts w:hint="eastAsia"/>
                                <w:color w:val="595959" w:themeColor="text1" w:themeTint="A6"/>
                                <w14:textFill>
                                  <w14:solidFill>
                                    <w14:schemeClr w14:val="tx1">
                                      <w14:lumMod w14:val="65000"/>
                                      <w14:lumOff w14:val="35000"/>
                                    </w14:schemeClr>
                                  </w14:solidFill>
                                </w14:textFill>
                              </w:rPr>
                              <w:t>,</w:t>
                            </w:r>
                            <w:r>
                              <w:rPr>
                                <w:color w:val="595959" w:themeColor="text1" w:themeTint="A6"/>
                                <w14:textFill>
                                  <w14:solidFill>
                                    <w14:schemeClr w14:val="tx1">
                                      <w14:lumMod w14:val="65000"/>
                                      <w14:lumOff w14:val="35000"/>
                                    </w14:schemeClr>
                                  </w14:solidFill>
                                </w14:textFill>
                              </w:rPr>
                              <w:t xml:space="preserve"> risk communication, One Health association, One Health forums under participation; general rule of law, One Health specialized law &amp; regulation under rule of law; transparency under transparency; emergency response operation, exercising response plans under responsiveness; consensus oriented, One Health education under participation, zoonotic disease governance, protected areas representativeness, sustainable nitrogen management  under consensus oriented; government effectiveness under consensus oriented, One Health official department, control of corruption, regulatory quality, government spending under transparency.</w:t>
                            </w:r>
                            <w:r>
                              <w:rPr>
                                <w:rFonts w:hint="eastAsia"/>
                                <w:color w:val="595959" w:themeColor="text1" w:themeTint="A6"/>
                                <w:lang w:val="en-US" w:eastAsia="zh"/>
                                <w14:textFill>
                                  <w14:solidFill>
                                    <w14:schemeClr w14:val="tx1">
                                      <w14:lumMod w14:val="65000"/>
                                      <w14:lumOff w14:val="35000"/>
                                    </w14:schemeClr>
                                  </w14:solidFill>
                                </w14:textFill>
                              </w:rPr>
                              <w:t xml:space="preserve"> </w:t>
                            </w:r>
                            <w:r>
                              <w:rPr>
                                <w:color w:val="595959" w:themeColor="text1" w:themeTint="A6"/>
                                <w14:textFill>
                                  <w14:solidFill>
                                    <w14:schemeClr w14:val="tx1">
                                      <w14:lumMod w14:val="65000"/>
                                      <w14:lumOff w14:val="35000"/>
                                    </w14:schemeClr>
                                  </w14:solidFill>
                                </w14:textFill>
                              </w:rPr>
                              <w:t xml:space="preserve">Among them, </w:t>
                            </w:r>
                            <w:r>
                              <w:rPr>
                                <w:rFonts w:hint="eastAsia"/>
                                <w:color w:val="595959" w:themeColor="text1" w:themeTint="A6"/>
                                <w14:textFill>
                                  <w14:solidFill>
                                    <w14:schemeClr w14:val="tx1">
                                      <w14:lumMod w14:val="65000"/>
                                      <w14:lumOff w14:val="35000"/>
                                    </w14:schemeClr>
                                  </w14:solidFill>
                                </w14:textFill>
                              </w:rPr>
                              <w:t>5</w:t>
                            </w:r>
                            <w:r>
                              <w:rPr>
                                <w:color w:val="595959" w:themeColor="text1" w:themeTint="A6"/>
                                <w14:textFill>
                                  <w14:solidFill>
                                    <w14:schemeClr w14:val="tx1">
                                      <w14:lumMod w14:val="65000"/>
                                      <w14:lumOff w14:val="35000"/>
                                    </w14:schemeClr>
                                  </w14:solidFill>
                                </w14:textFill>
                              </w:rPr>
                              <w:t xml:space="preserve"> sub-</w:t>
                            </w:r>
                            <w:r>
                              <w:rPr>
                                <w:rFonts w:hint="eastAsia"/>
                                <w:color w:val="595959" w:themeColor="text1" w:themeTint="A6"/>
                                <w14:textFill>
                                  <w14:solidFill>
                                    <w14:schemeClr w14:val="tx1">
                                      <w14:lumMod w14:val="65000"/>
                                      <w14:lumOff w14:val="35000"/>
                                    </w14:schemeClr>
                                  </w14:solidFill>
                                </w14:textFill>
                              </w:rPr>
                              <w:t>indicator</w:t>
                            </w:r>
                            <w:r>
                              <w:rPr>
                                <w:color w:val="595959" w:themeColor="text1" w:themeTint="A6"/>
                                <w14:textFill>
                                  <w14:solidFill>
                                    <w14:schemeClr w14:val="tx1">
                                      <w14:lumMod w14:val="65000"/>
                                      <w14:lumOff w14:val="35000"/>
                                    </w14:schemeClr>
                                  </w14:solidFill>
                                </w14:textFill>
                              </w:rPr>
                              <w:t>s</w:t>
                            </w:r>
                            <w:r>
                              <w:rPr>
                                <w:rFonts w:hint="eastAsia"/>
                                <w:color w:val="595959" w:themeColor="text1" w:themeTint="A6"/>
                                <w14:textFill>
                                  <w14:solidFill>
                                    <w14:schemeClr w14:val="tx1">
                                      <w14:lumMod w14:val="65000"/>
                                      <w14:lumOff w14:val="35000"/>
                                    </w14:schemeClr>
                                  </w14:solidFill>
                                </w14:textFill>
                              </w:rPr>
                              <w:t xml:space="preserve"> from </w:t>
                            </w:r>
                            <w:r>
                              <w:rPr>
                                <w:color w:val="595959" w:themeColor="text1" w:themeTint="A6"/>
                                <w14:textFill>
                                  <w14:solidFill>
                                    <w14:schemeClr w14:val="tx1">
                                      <w14:lumMod w14:val="65000"/>
                                      <w14:lumOff w14:val="35000"/>
                                    </w14:schemeClr>
                                  </w14:solidFill>
                                </w14:textFill>
                              </w:rPr>
                              <w:t>self-evaluated data</w:t>
                            </w:r>
                            <w:r>
                              <w:rPr>
                                <w:rFonts w:hint="eastAsia"/>
                                <w:color w:val="595959" w:themeColor="text1" w:themeTint="A6"/>
                                <w14:textFill>
                                  <w14:solidFill>
                                    <w14:schemeClr w14:val="tx1">
                                      <w14:lumMod w14:val="65000"/>
                                      <w14:lumOff w14:val="35000"/>
                                    </w14:schemeClr>
                                  </w14:solidFill>
                                </w14:textFill>
                              </w:rPr>
                              <w:t xml:space="preserve"> and 14 </w:t>
                            </w:r>
                            <w:r>
                              <w:rPr>
                                <w:color w:val="595959" w:themeColor="text1" w:themeTint="A6"/>
                                <w14:textFill>
                                  <w14:solidFill>
                                    <w14:schemeClr w14:val="tx1">
                                      <w14:lumMod w14:val="65000"/>
                                      <w14:lumOff w14:val="35000"/>
                                    </w14:schemeClr>
                                  </w14:solidFill>
                                </w14:textFill>
                              </w:rPr>
                              <w:t>sub-</w:t>
                            </w:r>
                            <w:r>
                              <w:rPr>
                                <w:rFonts w:hint="eastAsia"/>
                                <w:color w:val="595959" w:themeColor="text1" w:themeTint="A6"/>
                                <w14:textFill>
                                  <w14:solidFill>
                                    <w14:schemeClr w14:val="tx1">
                                      <w14:lumMod w14:val="65000"/>
                                      <w14:lumOff w14:val="35000"/>
                                    </w14:schemeClr>
                                  </w14:solidFill>
                                </w14:textFill>
                              </w:rPr>
                              <w:t>indicator</w:t>
                            </w:r>
                            <w:r>
                              <w:rPr>
                                <w:color w:val="595959" w:themeColor="text1" w:themeTint="A6"/>
                                <w14:textFill>
                                  <w14:solidFill>
                                    <w14:schemeClr w14:val="tx1">
                                      <w14:lumMod w14:val="65000"/>
                                      <w14:lumOff w14:val="35000"/>
                                    </w14:schemeClr>
                                  </w14:solidFill>
                                </w14:textFill>
                              </w:rPr>
                              <w:t>s</w:t>
                            </w:r>
                            <w:r>
                              <w:rPr>
                                <w:rFonts w:hint="eastAsia"/>
                                <w:color w:val="595959" w:themeColor="text1" w:themeTint="A6"/>
                                <w14:textFill>
                                  <w14:solidFill>
                                    <w14:schemeClr w14:val="tx1">
                                      <w14:lumMod w14:val="65000"/>
                                      <w14:lumOff w14:val="35000"/>
                                    </w14:schemeClr>
                                  </w14:solidFill>
                                </w14:textFill>
                              </w:rPr>
                              <w:t xml:space="preserve"> from</w:t>
                            </w:r>
                            <w:r>
                              <w:rPr>
                                <w:color w:val="595959" w:themeColor="text1" w:themeTint="A6"/>
                                <w14:textFill>
                                  <w14:solidFill>
                                    <w14:schemeClr w14:val="tx1">
                                      <w14:lumMod w14:val="65000"/>
                                      <w14:lumOff w14:val="35000"/>
                                    </w14:schemeClr>
                                  </w14:solidFill>
                                </w14:textFill>
                              </w:rPr>
                              <w:t xml:space="preserve"> third partner database.</w:t>
                            </w:r>
                          </w:p>
                          <w:p>
                            <w:pPr>
                              <w:rPr>
                                <w:rFonts w:hint="eastAsia"/>
                                <w:b/>
                                <w:bCs/>
                                <w:color w:val="C00000"/>
                              </w:rPr>
                            </w:pPr>
                          </w:p>
                          <w:p>
                            <w:pPr>
                              <w:rPr>
                                <w:color w:val="595959" w:themeColor="text1" w:themeTint="A6"/>
                                <w14:textFill>
                                  <w14:solidFill>
                                    <w14:schemeClr w14:val="tx1">
                                      <w14:lumMod w14:val="65000"/>
                                      <w14:lumOff w14:val="35000"/>
                                    </w14:schemeClr>
                                  </w14:solidFill>
                                </w14:textFill>
                              </w:rPr>
                            </w:pPr>
                            <w:r>
                              <w:rPr>
                                <w:rFonts w:hint="eastAsia"/>
                                <w:b/>
                                <w:bCs/>
                                <w:color w:val="C00000"/>
                              </w:rPr>
                              <w:t>Data Source：</w:t>
                            </w:r>
                            <w:r>
                              <w:rPr>
                                <w:rFonts w:hint="eastAsia"/>
                                <w:color w:val="595959" w:themeColor="text1" w:themeTint="A6"/>
                                <w14:textFill>
                                  <w14:solidFill>
                                    <w14:schemeClr w14:val="tx1">
                                      <w14:lumMod w14:val="65000"/>
                                      <w14:lumOff w14:val="35000"/>
                                    </w14:schemeClr>
                                  </w14:solidFill>
                                </w14:textFill>
                              </w:rPr>
                              <w:t>Official data of countries</w:t>
                            </w:r>
                            <w:r>
                              <w:rPr>
                                <w:color w:val="595959" w:themeColor="text1" w:themeTint="A6"/>
                                <w14:textFill>
                                  <w14:solidFill>
                                    <w14:schemeClr w14:val="tx1">
                                      <w14:lumMod w14:val="65000"/>
                                      <w14:lumOff w14:val="35000"/>
                                    </w14:schemeClr>
                                  </w14:solidFill>
                                </w14:textFill>
                              </w:rPr>
                              <w:t xml:space="preserve"> from office website</w:t>
                            </w:r>
                            <w:r>
                              <w:rPr>
                                <w:rFonts w:hint="eastAsia"/>
                                <w:color w:val="595959" w:themeColor="text1" w:themeTint="A6"/>
                                <w14:textFill>
                                  <w14:solidFill>
                                    <w14:schemeClr w14:val="tx1">
                                      <w14:lumMod w14:val="65000"/>
                                      <w14:lumOff w14:val="35000"/>
                                    </w14:schemeClr>
                                  </w14:solidFill>
                                </w14:textFill>
                              </w:rPr>
                              <w:t>, official website data of international organizations,</w:t>
                            </w:r>
                            <w:r>
                              <w:rPr>
                                <w:color w:val="595959" w:themeColor="text1" w:themeTint="A6"/>
                                <w14:textFill>
                                  <w14:solidFill>
                                    <w14:schemeClr w14:val="tx1">
                                      <w14:lumMod w14:val="65000"/>
                                      <w14:lumOff w14:val="35000"/>
                                    </w14:schemeClr>
                                  </w14:solidFill>
                                </w14:textFill>
                              </w:rPr>
                              <w:t xml:space="preserve"> </w:t>
                            </w:r>
                            <w:r>
                              <w:rPr>
                                <w:rFonts w:hint="eastAsia"/>
                                <w:color w:val="595959" w:themeColor="text1" w:themeTint="A6"/>
                                <w14:textFill>
                                  <w14:solidFill>
                                    <w14:schemeClr w14:val="tx1">
                                      <w14:lumMod w14:val="65000"/>
                                      <w14:lumOff w14:val="35000"/>
                                    </w14:schemeClr>
                                  </w14:solidFill>
                                </w14:textFill>
                              </w:rPr>
                              <w:t>G</w:t>
                            </w:r>
                            <w:r>
                              <w:rPr>
                                <w:color w:val="595959" w:themeColor="text1" w:themeTint="A6"/>
                                <w14:textFill>
                                  <w14:solidFill>
                                    <w14:schemeClr w14:val="tx1">
                                      <w14:lumMod w14:val="65000"/>
                                      <w14:lumOff w14:val="35000"/>
                                    </w14:schemeClr>
                                  </w14:solidFill>
                                </w14:textFill>
                              </w:rPr>
                              <w:t>lobal health security</w:t>
                            </w:r>
                            <w:r>
                              <w:rPr>
                                <w:rFonts w:hint="eastAsia"/>
                                <w:color w:val="595959" w:themeColor="text1" w:themeTint="A6"/>
                                <w14:textFill>
                                  <w14:solidFill>
                                    <w14:schemeClr w14:val="tx1">
                                      <w14:lumMod w14:val="65000"/>
                                      <w14:lumOff w14:val="35000"/>
                                    </w14:schemeClr>
                                  </w14:solidFill>
                                </w14:textFill>
                              </w:rPr>
                              <w:t xml:space="preserve">, </w:t>
                            </w:r>
                            <w:r>
                              <w:rPr>
                                <w:color w:val="595959" w:themeColor="text1" w:themeTint="A6"/>
                                <w14:textFill>
                                  <w14:solidFill>
                                    <w14:schemeClr w14:val="tx1">
                                      <w14:lumMod w14:val="65000"/>
                                      <w14:lumOff w14:val="35000"/>
                                    </w14:schemeClr>
                                  </w14:solidFill>
                                </w14:textFill>
                              </w:rPr>
                              <w:t>Environmental performance index</w:t>
                            </w:r>
                            <w:r>
                              <w:rPr>
                                <w:rFonts w:hint="eastAsia"/>
                                <w:color w:val="595959" w:themeColor="text1" w:themeTint="A6"/>
                                <w14:textFill>
                                  <w14:solidFill>
                                    <w14:schemeClr w14:val="tx1">
                                      <w14:lumMod w14:val="65000"/>
                                      <w14:lumOff w14:val="35000"/>
                                    </w14:schemeClr>
                                  </w14:solidFill>
                                </w14:textFill>
                              </w:rPr>
                              <w:t xml:space="preserve"> , </w:t>
                            </w:r>
                            <w:r>
                              <w:rPr>
                                <w:color w:val="595959" w:themeColor="text1" w:themeTint="A6"/>
                                <w14:textFill>
                                  <w14:solidFill>
                                    <w14:schemeClr w14:val="tx1">
                                      <w14:lumMod w14:val="65000"/>
                                      <w14:lumOff w14:val="35000"/>
                                    </w14:schemeClr>
                                  </w14:solidFill>
                                </w14:textFill>
                              </w:rPr>
                              <w:t>SDGs dataset, etc., as well as self-evaluated data.</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inline>
            </w:drawing>
          </mc:Choice>
          <mc:Fallback>
            <w:pict>
              <v:rect id="_x0000_s1026" o:spid="_x0000_s1026" o:spt="1" style="height:332.4pt;width:426.05pt;v-text-anchor:middle;" filled="f" stroked="t" coordsize="21600,21600" o:gfxdata="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BYAAABkcnMv&#10;UEsBAhQAFAAAAAgAh07iQHr3K0PRAAAABQEAAA8AAAAAAAAAAQAgAAAAOAAAAGRycy9kb3ducmV2&#10;LnhtbFBLAQIUABQAAAAIAIdO4kDTPxpQXwIAAJcEAAAOAAAAAAAAAAEAIAAAADYBAABkcnMvZTJv&#10;RG9jLnhtbFBLBQYAAAAABgAGAFkBAAAHBgAAAAA=&#10;">
                <v:fill on="f" focussize="0,0"/>
                <v:stroke weight="0.5pt" color="#002060 [3209]" miterlimit="8" joinstyle="miter"/>
                <v:imagedata o:title=""/>
                <o:lock v:ext="edit" aspectratio="f"/>
                <v:textbox>
                  <w:txbxContent>
                    <w:p>
                      <w:pPr>
                        <w:rPr>
                          <w:b/>
                          <w:bCs/>
                          <w:color w:val="595959" w:themeColor="text1" w:themeTint="A6"/>
                          <w14:textFill>
                            <w14:solidFill>
                              <w14:schemeClr w14:val="tx1">
                                <w14:lumMod w14:val="65000"/>
                                <w14:lumOff w14:val="35000"/>
                              </w14:schemeClr>
                            </w14:solidFill>
                          </w14:textFill>
                        </w:rPr>
                      </w:pPr>
                      <w:r>
                        <w:rPr>
                          <w:rFonts w:hint="eastAsia"/>
                          <w:b/>
                          <w:bCs/>
                          <w:color w:val="595959" w:themeColor="text1" w:themeTint="A6"/>
                          <w14:textFill>
                            <w14:solidFill>
                              <w14:schemeClr w14:val="tx1">
                                <w14:lumMod w14:val="65000"/>
                                <w14:lumOff w14:val="35000"/>
                              </w14:schemeClr>
                            </w14:solidFill>
                          </w14:textFill>
                        </w:rPr>
                        <w:t>B</w:t>
                      </w:r>
                      <w:r>
                        <w:rPr>
                          <w:b/>
                          <w:bCs/>
                          <w:color w:val="595959" w:themeColor="text1" w:themeTint="A6"/>
                          <w14:textFill>
                            <w14:solidFill>
                              <w14:schemeClr w14:val="tx1">
                                <w14:lumMod w14:val="65000"/>
                                <w14:lumOff w14:val="35000"/>
                              </w14:schemeClr>
                            </w14:solidFill>
                          </w14:textFill>
                        </w:rPr>
                        <w:t xml:space="preserve">ox 1. </w:t>
                      </w:r>
                      <w:r>
                        <w:rPr>
                          <w:rFonts w:hint="eastAsia"/>
                          <w:b/>
                          <w:bCs/>
                          <w:color w:val="595959" w:themeColor="text1" w:themeTint="A6"/>
                          <w14:textFill>
                            <w14:solidFill>
                              <w14:schemeClr w14:val="tx1">
                                <w14:lumMod w14:val="65000"/>
                                <w14:lumOff w14:val="35000"/>
                              </w14:schemeClr>
                            </w14:solidFill>
                          </w14:textFill>
                        </w:rPr>
                        <w:t>Good Governance</w:t>
                      </w:r>
                      <w:r>
                        <w:rPr>
                          <w:b/>
                          <w:bCs/>
                          <w:color w:val="595959" w:themeColor="text1" w:themeTint="A6"/>
                          <w14:textFill>
                            <w14:solidFill>
                              <w14:schemeClr w14:val="tx1">
                                <w14:lumMod w14:val="65000"/>
                                <w14:lumOff w14:val="35000"/>
                              </w14:schemeClr>
                            </w14:solidFill>
                          </w14:textFill>
                        </w:rPr>
                        <w:t xml:space="preserve"> indicator system:</w:t>
                      </w:r>
                    </w:p>
                    <w:p>
                      <w:pPr>
                        <w:rPr>
                          <w:b/>
                          <w:bCs/>
                          <w:color w:val="70AD47" w:themeColor="accent6"/>
                          <w14:textFill>
                            <w14:solidFill>
                              <w14:schemeClr w14:val="accent6"/>
                            </w14:solidFill>
                          </w14:textFill>
                        </w:rPr>
                      </w:pPr>
                    </w:p>
                    <w:p>
                      <w:pPr>
                        <w:rPr>
                          <w:rFonts w:hint="eastAsia"/>
                          <w:color w:val="595959" w:themeColor="text1" w:themeTint="A6"/>
                          <w14:textFill>
                            <w14:solidFill>
                              <w14:schemeClr w14:val="tx1">
                                <w14:lumMod w14:val="65000"/>
                                <w14:lumOff w14:val="35000"/>
                              </w14:schemeClr>
                            </w14:solidFill>
                          </w14:textFill>
                        </w:rPr>
                      </w:pPr>
                      <w:r>
                        <w:rPr>
                          <w:b/>
                          <w:bCs/>
                          <w:color w:val="C00000"/>
                        </w:rPr>
                        <w:t xml:space="preserve">Number of </w:t>
                      </w:r>
                      <w:r>
                        <w:rPr>
                          <w:rFonts w:hint="eastAsia"/>
                          <w:b/>
                          <w:bCs/>
                          <w:color w:val="C00000"/>
                        </w:rPr>
                        <w:t>Indicators</w:t>
                      </w:r>
                      <w:r>
                        <w:rPr>
                          <w:rFonts w:hint="eastAsia"/>
                          <w:b/>
                          <w:bCs/>
                          <w:color w:val="C00000"/>
                          <w:lang w:eastAsia="zh-CN"/>
                        </w:rPr>
                        <w:t>：</w:t>
                      </w:r>
                      <w:r>
                        <w:rPr>
                          <w:rFonts w:hint="eastAsia"/>
                          <w:color w:val="595959" w:themeColor="text1" w:themeTint="A6"/>
                          <w14:textFill>
                            <w14:solidFill>
                              <w14:schemeClr w14:val="tx1">
                                <w14:lumMod w14:val="65000"/>
                                <w14:lumOff w14:val="35000"/>
                              </w14:schemeClr>
                            </w14:solidFill>
                          </w14:textFill>
                        </w:rPr>
                        <w:t>8 indicators</w:t>
                      </w:r>
                      <w:r>
                        <w:rPr>
                          <w:color w:val="595959" w:themeColor="text1" w:themeTint="A6"/>
                          <w14:textFill>
                            <w14:solidFill>
                              <w14:schemeClr w14:val="tx1">
                                <w14:lumMod w14:val="65000"/>
                                <w14:lumOff w14:val="35000"/>
                              </w14:schemeClr>
                            </w14:solidFill>
                          </w14:textFill>
                        </w:rPr>
                        <w:t>, including participation, rule of law, transparency, responsiveness, consensus oriented, equity and inclusiveness, effectiveness and efficiency, and political support</w:t>
                      </w:r>
                      <w:r>
                        <w:rPr>
                          <w:rFonts w:hint="eastAsia"/>
                          <w:color w:val="595959" w:themeColor="text1" w:themeTint="A6"/>
                          <w14:textFill>
                            <w14:solidFill>
                              <w14:schemeClr w14:val="tx1">
                                <w14:lumMod w14:val="65000"/>
                                <w14:lumOff w14:val="35000"/>
                              </w14:schemeClr>
                            </w14:solidFill>
                          </w14:textFill>
                        </w:rPr>
                        <w:t>.</w:t>
                      </w:r>
                    </w:p>
                    <w:p>
                      <w:pPr>
                        <w:rPr>
                          <w:b/>
                          <w:bCs/>
                          <w:color w:val="595959" w:themeColor="text1" w:themeTint="A6"/>
                          <w14:textFill>
                            <w14:solidFill>
                              <w14:schemeClr w14:val="tx1">
                                <w14:lumMod w14:val="65000"/>
                                <w14:lumOff w14:val="35000"/>
                              </w14:schemeClr>
                            </w14:solidFill>
                          </w14:textFill>
                        </w:rPr>
                      </w:pPr>
                    </w:p>
                    <w:p>
                      <w:pPr>
                        <w:rPr>
                          <w:color w:val="595959" w:themeColor="text1" w:themeTint="A6"/>
                          <w14:textFill>
                            <w14:solidFill>
                              <w14:schemeClr w14:val="tx1">
                                <w14:lumMod w14:val="65000"/>
                                <w14:lumOff w14:val="35000"/>
                              </w14:schemeClr>
                            </w14:solidFill>
                          </w14:textFill>
                        </w:rPr>
                      </w:pPr>
                      <w:r>
                        <w:rPr>
                          <w:b/>
                          <w:bCs/>
                          <w:color w:val="C00000"/>
                        </w:rPr>
                        <w:t>Number of sub-in</w:t>
                      </w:r>
                      <w:r>
                        <w:rPr>
                          <w:rFonts w:hint="eastAsia"/>
                          <w:b/>
                          <w:bCs/>
                          <w:color w:val="C00000"/>
                        </w:rPr>
                        <w:t>dicator</w:t>
                      </w:r>
                      <w:r>
                        <w:rPr>
                          <w:b/>
                          <w:bCs/>
                          <w:color w:val="C00000"/>
                        </w:rPr>
                        <w:t xml:space="preserve">s: </w:t>
                      </w:r>
                      <w:r>
                        <w:rPr>
                          <w:rFonts w:hint="eastAsia"/>
                          <w:b/>
                          <w:bCs/>
                          <w:color w:val="C00000"/>
                          <w:lang w:val="en-US" w:eastAsia="zh-CN"/>
                        </w:rPr>
                        <w:t xml:space="preserve">  </w:t>
                      </w:r>
                      <w:r>
                        <w:rPr>
                          <w:rFonts w:hint="eastAsia"/>
                          <w:color w:val="595959" w:themeColor="text1" w:themeTint="A6"/>
                          <w14:textFill>
                            <w14:solidFill>
                              <w14:schemeClr w14:val="tx1">
                                <w14:lumMod w14:val="65000"/>
                                <w14:lumOff w14:val="35000"/>
                              </w14:schemeClr>
                            </w14:solidFill>
                          </w14:textFill>
                        </w:rPr>
                        <w:t xml:space="preserve">19 </w:t>
                      </w:r>
                      <w:r>
                        <w:rPr>
                          <w:color w:val="595959" w:themeColor="text1" w:themeTint="A6"/>
                          <w14:textFill>
                            <w14:solidFill>
                              <w14:schemeClr w14:val="tx1">
                                <w14:lumMod w14:val="65000"/>
                                <w14:lumOff w14:val="35000"/>
                              </w14:schemeClr>
                            </w14:solidFill>
                          </w14:textFill>
                        </w:rPr>
                        <w:t>sub-</w:t>
                      </w:r>
                      <w:r>
                        <w:rPr>
                          <w:rFonts w:hint="eastAsia"/>
                          <w:color w:val="595959" w:themeColor="text1" w:themeTint="A6"/>
                          <w14:textFill>
                            <w14:solidFill>
                              <w14:schemeClr w14:val="tx1">
                                <w14:lumMod w14:val="65000"/>
                                <w14:lumOff w14:val="35000"/>
                              </w14:schemeClr>
                            </w14:solidFill>
                          </w14:textFill>
                        </w:rPr>
                        <w:t>indicators</w:t>
                      </w:r>
                      <w:r>
                        <w:rPr>
                          <w:color w:val="595959" w:themeColor="text1" w:themeTint="A6"/>
                          <w14:textFill>
                            <w14:solidFill>
                              <w14:schemeClr w14:val="tx1">
                                <w14:lumMod w14:val="65000"/>
                                <w14:lumOff w14:val="35000"/>
                              </w14:schemeClr>
                            </w14:solidFill>
                          </w14:textFill>
                        </w:rPr>
                        <w:t>, including global connectivity</w:t>
                      </w:r>
                      <w:r>
                        <w:rPr>
                          <w:rFonts w:hint="eastAsia"/>
                          <w:color w:val="595959" w:themeColor="text1" w:themeTint="A6"/>
                          <w14:textFill>
                            <w14:solidFill>
                              <w14:schemeClr w14:val="tx1">
                                <w14:lumMod w14:val="65000"/>
                                <w14:lumOff w14:val="35000"/>
                              </w14:schemeClr>
                            </w14:solidFill>
                          </w14:textFill>
                        </w:rPr>
                        <w:t>,</w:t>
                      </w:r>
                      <w:r>
                        <w:rPr>
                          <w:color w:val="595959" w:themeColor="text1" w:themeTint="A6"/>
                          <w14:textFill>
                            <w14:solidFill>
                              <w14:schemeClr w14:val="tx1">
                                <w14:lumMod w14:val="65000"/>
                                <w14:lumOff w14:val="35000"/>
                              </w14:schemeClr>
                            </w14:solidFill>
                          </w14:textFill>
                        </w:rPr>
                        <w:t xml:space="preserve"> risk communication, One Health association, One Health forums under participation; general rule of law, One Health specialized law &amp; regulation under rule of law; transparency under transparency; emergency response operation, exercising response plans under responsiveness; consensus oriented, One Health education under participation, zoonotic disease governance, protected areas representativeness, sustainable nitrogen management  under consensus oriented; government effectiveness under consensus oriented, One Health official department, control of corruption, regulatory quality, government spending under transparency.</w:t>
                      </w:r>
                      <w:r>
                        <w:rPr>
                          <w:rFonts w:hint="eastAsia"/>
                          <w:color w:val="595959" w:themeColor="text1" w:themeTint="A6"/>
                          <w:lang w:val="en-US" w:eastAsia="zh"/>
                          <w14:textFill>
                            <w14:solidFill>
                              <w14:schemeClr w14:val="tx1">
                                <w14:lumMod w14:val="65000"/>
                                <w14:lumOff w14:val="35000"/>
                              </w14:schemeClr>
                            </w14:solidFill>
                          </w14:textFill>
                        </w:rPr>
                        <w:t xml:space="preserve"> </w:t>
                      </w:r>
                      <w:r>
                        <w:rPr>
                          <w:color w:val="595959" w:themeColor="text1" w:themeTint="A6"/>
                          <w14:textFill>
                            <w14:solidFill>
                              <w14:schemeClr w14:val="tx1">
                                <w14:lumMod w14:val="65000"/>
                                <w14:lumOff w14:val="35000"/>
                              </w14:schemeClr>
                            </w14:solidFill>
                          </w14:textFill>
                        </w:rPr>
                        <w:t xml:space="preserve">Among them, </w:t>
                      </w:r>
                      <w:r>
                        <w:rPr>
                          <w:rFonts w:hint="eastAsia"/>
                          <w:color w:val="595959" w:themeColor="text1" w:themeTint="A6"/>
                          <w14:textFill>
                            <w14:solidFill>
                              <w14:schemeClr w14:val="tx1">
                                <w14:lumMod w14:val="65000"/>
                                <w14:lumOff w14:val="35000"/>
                              </w14:schemeClr>
                            </w14:solidFill>
                          </w14:textFill>
                        </w:rPr>
                        <w:t>5</w:t>
                      </w:r>
                      <w:r>
                        <w:rPr>
                          <w:color w:val="595959" w:themeColor="text1" w:themeTint="A6"/>
                          <w14:textFill>
                            <w14:solidFill>
                              <w14:schemeClr w14:val="tx1">
                                <w14:lumMod w14:val="65000"/>
                                <w14:lumOff w14:val="35000"/>
                              </w14:schemeClr>
                            </w14:solidFill>
                          </w14:textFill>
                        </w:rPr>
                        <w:t xml:space="preserve"> sub-</w:t>
                      </w:r>
                      <w:r>
                        <w:rPr>
                          <w:rFonts w:hint="eastAsia"/>
                          <w:color w:val="595959" w:themeColor="text1" w:themeTint="A6"/>
                          <w14:textFill>
                            <w14:solidFill>
                              <w14:schemeClr w14:val="tx1">
                                <w14:lumMod w14:val="65000"/>
                                <w14:lumOff w14:val="35000"/>
                              </w14:schemeClr>
                            </w14:solidFill>
                          </w14:textFill>
                        </w:rPr>
                        <w:t>indicator</w:t>
                      </w:r>
                      <w:r>
                        <w:rPr>
                          <w:color w:val="595959" w:themeColor="text1" w:themeTint="A6"/>
                          <w14:textFill>
                            <w14:solidFill>
                              <w14:schemeClr w14:val="tx1">
                                <w14:lumMod w14:val="65000"/>
                                <w14:lumOff w14:val="35000"/>
                              </w14:schemeClr>
                            </w14:solidFill>
                          </w14:textFill>
                        </w:rPr>
                        <w:t>s</w:t>
                      </w:r>
                      <w:r>
                        <w:rPr>
                          <w:rFonts w:hint="eastAsia"/>
                          <w:color w:val="595959" w:themeColor="text1" w:themeTint="A6"/>
                          <w14:textFill>
                            <w14:solidFill>
                              <w14:schemeClr w14:val="tx1">
                                <w14:lumMod w14:val="65000"/>
                                <w14:lumOff w14:val="35000"/>
                              </w14:schemeClr>
                            </w14:solidFill>
                          </w14:textFill>
                        </w:rPr>
                        <w:t xml:space="preserve"> from </w:t>
                      </w:r>
                      <w:r>
                        <w:rPr>
                          <w:color w:val="595959" w:themeColor="text1" w:themeTint="A6"/>
                          <w14:textFill>
                            <w14:solidFill>
                              <w14:schemeClr w14:val="tx1">
                                <w14:lumMod w14:val="65000"/>
                                <w14:lumOff w14:val="35000"/>
                              </w14:schemeClr>
                            </w14:solidFill>
                          </w14:textFill>
                        </w:rPr>
                        <w:t>self-evaluated data</w:t>
                      </w:r>
                      <w:r>
                        <w:rPr>
                          <w:rFonts w:hint="eastAsia"/>
                          <w:color w:val="595959" w:themeColor="text1" w:themeTint="A6"/>
                          <w14:textFill>
                            <w14:solidFill>
                              <w14:schemeClr w14:val="tx1">
                                <w14:lumMod w14:val="65000"/>
                                <w14:lumOff w14:val="35000"/>
                              </w14:schemeClr>
                            </w14:solidFill>
                          </w14:textFill>
                        </w:rPr>
                        <w:t xml:space="preserve"> and 14 </w:t>
                      </w:r>
                      <w:r>
                        <w:rPr>
                          <w:color w:val="595959" w:themeColor="text1" w:themeTint="A6"/>
                          <w14:textFill>
                            <w14:solidFill>
                              <w14:schemeClr w14:val="tx1">
                                <w14:lumMod w14:val="65000"/>
                                <w14:lumOff w14:val="35000"/>
                              </w14:schemeClr>
                            </w14:solidFill>
                          </w14:textFill>
                        </w:rPr>
                        <w:t>sub-</w:t>
                      </w:r>
                      <w:r>
                        <w:rPr>
                          <w:rFonts w:hint="eastAsia"/>
                          <w:color w:val="595959" w:themeColor="text1" w:themeTint="A6"/>
                          <w14:textFill>
                            <w14:solidFill>
                              <w14:schemeClr w14:val="tx1">
                                <w14:lumMod w14:val="65000"/>
                                <w14:lumOff w14:val="35000"/>
                              </w14:schemeClr>
                            </w14:solidFill>
                          </w14:textFill>
                        </w:rPr>
                        <w:t>indicator</w:t>
                      </w:r>
                      <w:r>
                        <w:rPr>
                          <w:color w:val="595959" w:themeColor="text1" w:themeTint="A6"/>
                          <w14:textFill>
                            <w14:solidFill>
                              <w14:schemeClr w14:val="tx1">
                                <w14:lumMod w14:val="65000"/>
                                <w14:lumOff w14:val="35000"/>
                              </w14:schemeClr>
                            </w14:solidFill>
                          </w14:textFill>
                        </w:rPr>
                        <w:t>s</w:t>
                      </w:r>
                      <w:r>
                        <w:rPr>
                          <w:rFonts w:hint="eastAsia"/>
                          <w:color w:val="595959" w:themeColor="text1" w:themeTint="A6"/>
                          <w14:textFill>
                            <w14:solidFill>
                              <w14:schemeClr w14:val="tx1">
                                <w14:lumMod w14:val="65000"/>
                                <w14:lumOff w14:val="35000"/>
                              </w14:schemeClr>
                            </w14:solidFill>
                          </w14:textFill>
                        </w:rPr>
                        <w:t xml:space="preserve"> from</w:t>
                      </w:r>
                      <w:r>
                        <w:rPr>
                          <w:color w:val="595959" w:themeColor="text1" w:themeTint="A6"/>
                          <w14:textFill>
                            <w14:solidFill>
                              <w14:schemeClr w14:val="tx1">
                                <w14:lumMod w14:val="65000"/>
                                <w14:lumOff w14:val="35000"/>
                              </w14:schemeClr>
                            </w14:solidFill>
                          </w14:textFill>
                        </w:rPr>
                        <w:t xml:space="preserve"> third partner database.</w:t>
                      </w:r>
                    </w:p>
                    <w:p>
                      <w:pPr>
                        <w:rPr>
                          <w:rFonts w:hint="eastAsia"/>
                          <w:b/>
                          <w:bCs/>
                          <w:color w:val="C00000"/>
                        </w:rPr>
                      </w:pPr>
                    </w:p>
                    <w:p>
                      <w:pPr>
                        <w:rPr>
                          <w:color w:val="595959" w:themeColor="text1" w:themeTint="A6"/>
                          <w14:textFill>
                            <w14:solidFill>
                              <w14:schemeClr w14:val="tx1">
                                <w14:lumMod w14:val="65000"/>
                                <w14:lumOff w14:val="35000"/>
                              </w14:schemeClr>
                            </w14:solidFill>
                          </w14:textFill>
                        </w:rPr>
                      </w:pPr>
                      <w:r>
                        <w:rPr>
                          <w:rFonts w:hint="eastAsia"/>
                          <w:b/>
                          <w:bCs/>
                          <w:color w:val="C00000"/>
                        </w:rPr>
                        <w:t>Data Source：</w:t>
                      </w:r>
                      <w:r>
                        <w:rPr>
                          <w:rFonts w:hint="eastAsia"/>
                          <w:color w:val="595959" w:themeColor="text1" w:themeTint="A6"/>
                          <w14:textFill>
                            <w14:solidFill>
                              <w14:schemeClr w14:val="tx1">
                                <w14:lumMod w14:val="65000"/>
                                <w14:lumOff w14:val="35000"/>
                              </w14:schemeClr>
                            </w14:solidFill>
                          </w14:textFill>
                        </w:rPr>
                        <w:t>Official data of countries</w:t>
                      </w:r>
                      <w:r>
                        <w:rPr>
                          <w:color w:val="595959" w:themeColor="text1" w:themeTint="A6"/>
                          <w14:textFill>
                            <w14:solidFill>
                              <w14:schemeClr w14:val="tx1">
                                <w14:lumMod w14:val="65000"/>
                                <w14:lumOff w14:val="35000"/>
                              </w14:schemeClr>
                            </w14:solidFill>
                          </w14:textFill>
                        </w:rPr>
                        <w:t xml:space="preserve"> from office website</w:t>
                      </w:r>
                      <w:r>
                        <w:rPr>
                          <w:rFonts w:hint="eastAsia"/>
                          <w:color w:val="595959" w:themeColor="text1" w:themeTint="A6"/>
                          <w14:textFill>
                            <w14:solidFill>
                              <w14:schemeClr w14:val="tx1">
                                <w14:lumMod w14:val="65000"/>
                                <w14:lumOff w14:val="35000"/>
                              </w14:schemeClr>
                            </w14:solidFill>
                          </w14:textFill>
                        </w:rPr>
                        <w:t>, official website data of international organizations,</w:t>
                      </w:r>
                      <w:r>
                        <w:rPr>
                          <w:color w:val="595959" w:themeColor="text1" w:themeTint="A6"/>
                          <w14:textFill>
                            <w14:solidFill>
                              <w14:schemeClr w14:val="tx1">
                                <w14:lumMod w14:val="65000"/>
                                <w14:lumOff w14:val="35000"/>
                              </w14:schemeClr>
                            </w14:solidFill>
                          </w14:textFill>
                        </w:rPr>
                        <w:t xml:space="preserve"> </w:t>
                      </w:r>
                      <w:r>
                        <w:rPr>
                          <w:rFonts w:hint="eastAsia"/>
                          <w:color w:val="595959" w:themeColor="text1" w:themeTint="A6"/>
                          <w14:textFill>
                            <w14:solidFill>
                              <w14:schemeClr w14:val="tx1">
                                <w14:lumMod w14:val="65000"/>
                                <w14:lumOff w14:val="35000"/>
                              </w14:schemeClr>
                            </w14:solidFill>
                          </w14:textFill>
                        </w:rPr>
                        <w:t>G</w:t>
                      </w:r>
                      <w:r>
                        <w:rPr>
                          <w:color w:val="595959" w:themeColor="text1" w:themeTint="A6"/>
                          <w14:textFill>
                            <w14:solidFill>
                              <w14:schemeClr w14:val="tx1">
                                <w14:lumMod w14:val="65000"/>
                                <w14:lumOff w14:val="35000"/>
                              </w14:schemeClr>
                            </w14:solidFill>
                          </w14:textFill>
                        </w:rPr>
                        <w:t>lobal health security</w:t>
                      </w:r>
                      <w:r>
                        <w:rPr>
                          <w:rFonts w:hint="eastAsia"/>
                          <w:color w:val="595959" w:themeColor="text1" w:themeTint="A6"/>
                          <w14:textFill>
                            <w14:solidFill>
                              <w14:schemeClr w14:val="tx1">
                                <w14:lumMod w14:val="65000"/>
                                <w14:lumOff w14:val="35000"/>
                              </w14:schemeClr>
                            </w14:solidFill>
                          </w14:textFill>
                        </w:rPr>
                        <w:t xml:space="preserve">, </w:t>
                      </w:r>
                      <w:r>
                        <w:rPr>
                          <w:color w:val="595959" w:themeColor="text1" w:themeTint="A6"/>
                          <w14:textFill>
                            <w14:solidFill>
                              <w14:schemeClr w14:val="tx1">
                                <w14:lumMod w14:val="65000"/>
                                <w14:lumOff w14:val="35000"/>
                              </w14:schemeClr>
                            </w14:solidFill>
                          </w14:textFill>
                        </w:rPr>
                        <w:t>Environmental performance index</w:t>
                      </w:r>
                      <w:r>
                        <w:rPr>
                          <w:rFonts w:hint="eastAsia"/>
                          <w:color w:val="595959" w:themeColor="text1" w:themeTint="A6"/>
                          <w14:textFill>
                            <w14:solidFill>
                              <w14:schemeClr w14:val="tx1">
                                <w14:lumMod w14:val="65000"/>
                                <w14:lumOff w14:val="35000"/>
                              </w14:schemeClr>
                            </w14:solidFill>
                          </w14:textFill>
                        </w:rPr>
                        <w:t xml:space="preserve"> , </w:t>
                      </w:r>
                      <w:r>
                        <w:rPr>
                          <w:color w:val="595959" w:themeColor="text1" w:themeTint="A6"/>
                          <w14:textFill>
                            <w14:solidFill>
                              <w14:schemeClr w14:val="tx1">
                                <w14:lumMod w14:val="65000"/>
                                <w14:lumOff w14:val="35000"/>
                              </w14:schemeClr>
                            </w14:solidFill>
                          </w14:textFill>
                        </w:rPr>
                        <w:t>SDGs dataset, etc., as well as self-evaluated data.</w:t>
                      </w:r>
                    </w:p>
                  </w:txbxContent>
                </v:textbox>
                <w10:wrap type="none"/>
                <w10:anchorlock/>
              </v:rect>
            </w:pict>
          </mc:Fallback>
        </mc:AlternateContent>
      </w:r>
    </w:p>
    <w:p>
      <w:pPr>
        <w:keepNext w:val="0"/>
        <w:keepLines w:val="0"/>
        <w:pageBreakBefore w:val="0"/>
        <w:kinsoku/>
        <w:wordWrap/>
        <w:overflowPunct/>
        <w:topLinePunct w:val="0"/>
        <w:autoSpaceDE/>
        <w:autoSpaceDN/>
        <w:bidi w:val="0"/>
        <w:adjustRightInd w:val="0"/>
        <w:snapToGrid w:val="0"/>
        <w:spacing w:line="240" w:lineRule="auto"/>
        <w:rPr>
          <w:rFonts w:hint="eastAsia"/>
        </w:rPr>
      </w:pPr>
    </w:p>
    <w:p>
      <w:pPr>
        <w:keepNext w:val="0"/>
        <w:keepLines w:val="0"/>
        <w:pageBreakBefore w:val="0"/>
        <w:kinsoku/>
        <w:wordWrap/>
        <w:overflowPunct/>
        <w:topLinePunct w:val="0"/>
        <w:autoSpaceDE/>
        <w:autoSpaceDN/>
        <w:bidi w:val="0"/>
        <w:adjustRightInd w:val="0"/>
        <w:snapToGrid w:val="0"/>
        <w:spacing w:line="240" w:lineRule="auto"/>
        <w:rPr>
          <w:rFonts w:hint="eastAsia"/>
        </w:rPr>
      </w:pPr>
    </w:p>
    <w:p>
      <w:pPr>
        <w:keepNext w:val="0"/>
        <w:keepLines w:val="0"/>
        <w:pageBreakBefore w:val="0"/>
        <w:kinsoku/>
        <w:wordWrap/>
        <w:overflowPunct/>
        <w:topLinePunct w:val="0"/>
        <w:autoSpaceDE/>
        <w:autoSpaceDN/>
        <w:bidi w:val="0"/>
        <w:adjustRightInd w:val="0"/>
        <w:snapToGrid w:val="0"/>
        <w:spacing w:line="240" w:lineRule="auto"/>
        <w:rPr>
          <w:rFonts w:hint="eastAsia"/>
        </w:rPr>
      </w:pPr>
    </w:p>
    <w:p>
      <w:pPr>
        <w:keepNext w:val="0"/>
        <w:keepLines w:val="0"/>
        <w:pageBreakBefore w:val="0"/>
        <w:kinsoku/>
        <w:wordWrap/>
        <w:overflowPunct/>
        <w:topLinePunct w:val="0"/>
        <w:autoSpaceDE/>
        <w:autoSpaceDN/>
        <w:bidi w:val="0"/>
        <w:adjustRightInd w:val="0"/>
        <w:snapToGrid w:val="0"/>
        <w:spacing w:line="240" w:lineRule="auto"/>
        <w:rPr>
          <w:rFonts w:hint="eastAsia"/>
        </w:rPr>
      </w:pPr>
    </w:p>
    <w:p>
      <w:pPr>
        <w:keepNext w:val="0"/>
        <w:keepLines w:val="0"/>
        <w:pageBreakBefore w:val="0"/>
        <w:numPr>
          <w:ilvl w:val="0"/>
          <w:numId w:val="1"/>
        </w:numPr>
        <w:kinsoku/>
        <w:wordWrap/>
        <w:overflowPunct/>
        <w:topLinePunct w:val="0"/>
        <w:autoSpaceDE/>
        <w:autoSpaceDN/>
        <w:bidi w:val="0"/>
        <w:adjustRightInd w:val="0"/>
        <w:snapToGrid w:val="0"/>
        <w:spacing w:line="240" w:lineRule="auto"/>
        <w:rPr>
          <w:b/>
          <w:bCs/>
        </w:rPr>
      </w:pPr>
      <w:r>
        <w:rPr>
          <w:rFonts w:hint="eastAsia"/>
          <w:b/>
          <w:bCs/>
          <w:lang w:val="en-US" w:eastAsia="zh"/>
        </w:rPr>
        <w:t xml:space="preserve">1 </w:t>
      </w:r>
      <w:r>
        <w:rPr>
          <w:b/>
          <w:bCs/>
        </w:rPr>
        <w:t>I</w:t>
      </w:r>
      <w:r>
        <w:rPr>
          <w:rFonts w:hint="eastAsia"/>
          <w:b/>
          <w:bCs/>
        </w:rPr>
        <w:t>ndicator system</w:t>
      </w:r>
    </w:p>
    <w:p>
      <w:pPr>
        <w:keepNext w:val="0"/>
        <w:keepLines w:val="0"/>
        <w:pageBreakBefore w:val="0"/>
        <w:kinsoku/>
        <w:wordWrap/>
        <w:overflowPunct/>
        <w:topLinePunct w:val="0"/>
        <w:autoSpaceDE/>
        <w:autoSpaceDN/>
        <w:bidi w:val="0"/>
        <w:adjustRightInd w:val="0"/>
        <w:snapToGrid w:val="0"/>
        <w:spacing w:line="240" w:lineRule="auto"/>
        <w:rPr>
          <w:rFonts w:hint="eastAsia"/>
        </w:rPr>
      </w:pPr>
      <w:r>
        <w:rPr>
          <w:rFonts w:hint="eastAsia"/>
        </w:rPr>
        <w:t xml:space="preserve">In order to solve the problem of global governance of One </w:t>
      </w:r>
      <w:r>
        <w:t>H</w:t>
      </w:r>
      <w:r>
        <w:rPr>
          <w:rFonts w:hint="eastAsia"/>
        </w:rPr>
        <w:t xml:space="preserve">ealth and good governance of all countries, improve the understanding of One </w:t>
      </w:r>
      <w:r>
        <w:t>H</w:t>
      </w:r>
      <w:r>
        <w:rPr>
          <w:rFonts w:hint="eastAsia"/>
        </w:rPr>
        <w:t xml:space="preserve">ealth governance at the national level, strengthen the government expenditure and policy investment of all countries for One </w:t>
      </w:r>
      <w:r>
        <w:t>H</w:t>
      </w:r>
      <w:r>
        <w:rPr>
          <w:rFonts w:hint="eastAsia"/>
        </w:rPr>
        <w:t xml:space="preserve">ealth, and increase the public participation in One </w:t>
      </w:r>
      <w:r>
        <w:t>H</w:t>
      </w:r>
      <w:r>
        <w:rPr>
          <w:rFonts w:hint="eastAsia"/>
        </w:rPr>
        <w:t xml:space="preserve">ealth governance, all will play a key role in One </w:t>
      </w:r>
      <w:r>
        <w:t>H</w:t>
      </w:r>
      <w:r>
        <w:rPr>
          <w:rFonts w:hint="eastAsia"/>
        </w:rPr>
        <w:t xml:space="preserve">ealth good governance, which involves the common governance of the government, various </w:t>
      </w:r>
      <w:r>
        <w:t>departments,</w:t>
      </w:r>
      <w:r>
        <w:rPr>
          <w:rFonts w:hint="eastAsia"/>
        </w:rPr>
        <w:t xml:space="preserve"> and the public. </w:t>
      </w:r>
      <w:r>
        <w:t>A total of 8 indicators, including p</w:t>
      </w:r>
      <w:r>
        <w:rPr>
          <w:rFonts w:hint="eastAsia"/>
        </w:rPr>
        <w:t xml:space="preserve">ublic participation, rule of law, transparency, responsiveness, consensus orientation, fairness and inclusiveness, effectiveness and efficiency, policy support </w:t>
      </w:r>
      <w:r>
        <w:t>were included</w:t>
      </w:r>
      <w:r>
        <w:rPr>
          <w:rFonts w:hint="eastAsia"/>
        </w:rPr>
        <w:t xml:space="preserve">. We have constructed the path map of good governance of One Health from the perspective of One Health </w:t>
      </w:r>
      <w:r>
        <w:rPr>
          <w:rFonts w:hint="eastAsia"/>
          <w:lang w:val="en-US" w:eastAsia="zh"/>
        </w:rPr>
        <w:t>(</w:t>
      </w:r>
      <w:r>
        <w:rPr>
          <w:color w:val="auto"/>
        </w:rPr>
        <w:t>F</w:t>
      </w:r>
      <w:r>
        <w:rPr>
          <w:rFonts w:hint="eastAsia"/>
          <w:color w:val="auto"/>
        </w:rPr>
        <w:t>ig</w:t>
      </w:r>
      <w:r>
        <w:rPr>
          <w:rFonts w:hint="eastAsia"/>
          <w:color w:val="0000FF"/>
        </w:rPr>
        <w:t xml:space="preserve"> 1</w:t>
      </w:r>
      <w:r>
        <w:rPr>
          <w:rFonts w:hint="eastAsia"/>
          <w:color w:val="0000FF"/>
          <w:lang w:val="en-US" w:eastAsia="zh-CN"/>
        </w:rPr>
        <w:t>.1</w:t>
      </w:r>
      <w:r>
        <w:rPr>
          <w:rFonts w:hint="eastAsia"/>
          <w:color w:val="auto"/>
          <w:lang w:val="en-US" w:eastAsia="zh"/>
        </w:rPr>
        <w:t>)</w:t>
      </w:r>
      <w:r>
        <w:rPr>
          <w:rFonts w:hint="eastAsia"/>
          <w:color w:val="auto"/>
        </w:rPr>
        <w:t>.</w:t>
      </w:r>
      <w:r>
        <w:rPr>
          <w:rFonts w:hint="eastAsia"/>
        </w:rPr>
        <w:t xml:space="preserve"> Finally, we decided to conduct a more comprehensive assessment of the </w:t>
      </w:r>
      <w:r>
        <w:rPr>
          <w:rFonts w:hint="eastAsia"/>
          <w:lang w:eastAsia="zh-CN"/>
        </w:rPr>
        <w:t>One Health</w:t>
      </w:r>
      <w:r>
        <w:rPr>
          <w:rFonts w:hint="eastAsia"/>
        </w:rPr>
        <w:t xml:space="preserve"> good governance through eight aspects.</w:t>
      </w:r>
    </w:p>
    <w:p>
      <w:pPr>
        <w:keepNext w:val="0"/>
        <w:keepLines w:val="0"/>
        <w:pageBreakBefore w:val="0"/>
        <w:kinsoku/>
        <w:wordWrap/>
        <w:overflowPunct/>
        <w:topLinePunct w:val="0"/>
        <w:autoSpaceDE/>
        <w:autoSpaceDN/>
        <w:bidi w:val="0"/>
        <w:adjustRightInd w:val="0"/>
        <w:snapToGrid w:val="0"/>
        <w:spacing w:line="240" w:lineRule="auto"/>
        <w:rPr>
          <w:rFonts w:hint="eastAsia"/>
        </w:rPr>
      </w:pPr>
    </w:p>
    <w:p>
      <w:pPr>
        <w:keepNext w:val="0"/>
        <w:keepLines w:val="0"/>
        <w:pageBreakBefore w:val="0"/>
        <w:kinsoku/>
        <w:wordWrap/>
        <w:overflowPunct/>
        <w:topLinePunct w:val="0"/>
        <w:autoSpaceDE/>
        <w:autoSpaceDN/>
        <w:bidi w:val="0"/>
        <w:adjustRightInd w:val="0"/>
        <w:snapToGrid w:val="0"/>
        <w:spacing w:line="240" w:lineRule="auto"/>
        <w:rPr>
          <w:rFonts w:hint="eastAsia"/>
        </w:rPr>
      </w:pPr>
    </w:p>
    <w:p>
      <w:pPr>
        <w:keepNext w:val="0"/>
        <w:keepLines w:val="0"/>
        <w:pageBreakBefore w:val="0"/>
        <w:kinsoku/>
        <w:wordWrap/>
        <w:overflowPunct/>
        <w:topLinePunct w:val="0"/>
        <w:autoSpaceDE/>
        <w:autoSpaceDN/>
        <w:bidi w:val="0"/>
        <w:adjustRightInd w:val="0"/>
        <w:snapToGrid w:val="0"/>
        <w:spacing w:line="240" w:lineRule="auto"/>
        <w:rPr>
          <w:rFonts w:hint="eastAsia" w:eastAsia="宋体"/>
          <w:lang w:eastAsia="zh-CN"/>
        </w:rPr>
      </w:pPr>
      <w:r>
        <w:rPr>
          <w:rFonts w:hint="eastAsia"/>
        </w:rPr>
        <w:drawing>
          <wp:inline distT="0" distB="0" distL="114300" distR="114300">
            <wp:extent cx="5327650" cy="3041650"/>
            <wp:effectExtent l="0" t="0" r="6350" b="6350"/>
            <wp:docPr id="4" name="图片 4" descr="0a15059cf012e7cc3c4c3282b91ee6d"/>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0a15059cf012e7cc3c4c3282b91ee6d"/>
                    <pic:cNvPicPr>
                      <a:picLocks noChangeAspect="true"/>
                    </pic:cNvPicPr>
                  </pic:nvPicPr>
                  <pic:blipFill>
                    <a:blip r:embed="rId4"/>
                    <a:stretch>
                      <a:fillRect/>
                    </a:stretch>
                  </pic:blipFill>
                  <pic:spPr>
                    <a:xfrm>
                      <a:off x="0" y="0"/>
                      <a:ext cx="5327650" cy="3041650"/>
                    </a:xfrm>
                    <a:prstGeom prst="rect">
                      <a:avLst/>
                    </a:prstGeom>
                    <a:ln>
                      <a:noFill/>
                    </a:ln>
                  </pic:spPr>
                </pic:pic>
              </a:graphicData>
            </a:graphic>
          </wp:inline>
        </w:drawing>
      </w:r>
    </w:p>
    <w:p>
      <w:pPr>
        <w:keepNext w:val="0"/>
        <w:keepLines w:val="0"/>
        <w:pageBreakBefore w:val="0"/>
        <w:kinsoku/>
        <w:wordWrap/>
        <w:overflowPunct/>
        <w:topLinePunct w:val="0"/>
        <w:autoSpaceDE/>
        <w:autoSpaceDN/>
        <w:bidi w:val="0"/>
        <w:adjustRightInd w:val="0"/>
        <w:snapToGrid w:val="0"/>
        <w:spacing w:line="240" w:lineRule="auto"/>
        <w:jc w:val="center"/>
      </w:pPr>
      <w:r>
        <w:rPr>
          <w:rFonts w:hint="eastAsia"/>
          <w:b/>
          <w:bCs/>
        </w:rPr>
        <w:t>Fig</w:t>
      </w:r>
      <w:r>
        <w:rPr>
          <w:b/>
          <w:bCs/>
        </w:rPr>
        <w:t xml:space="preserve"> 1.</w:t>
      </w:r>
      <w:r>
        <w:rPr>
          <w:rFonts w:hint="eastAsia"/>
        </w:rPr>
        <w:t xml:space="preserve"> </w:t>
      </w:r>
      <w:r>
        <w:rPr>
          <w:rFonts w:hint="eastAsia"/>
          <w:b/>
          <w:bCs/>
          <w:lang w:val="en-US" w:eastAsia="zh-CN"/>
        </w:rPr>
        <w:t>1</w:t>
      </w:r>
      <w:r>
        <w:rPr>
          <w:rFonts w:hint="eastAsia"/>
          <w:lang w:val="en-US" w:eastAsia="zh-CN"/>
        </w:rPr>
        <w:t xml:space="preserve">  </w:t>
      </w:r>
      <w:r>
        <w:rPr>
          <w:rFonts w:hint="eastAsia"/>
        </w:rPr>
        <w:t>Indicator</w:t>
      </w:r>
      <w:r>
        <w:rPr>
          <w:rFonts w:hint="eastAsia"/>
          <w:lang w:val="en-US" w:eastAsia="zh-CN"/>
        </w:rPr>
        <w:t xml:space="preserve"> system</w:t>
      </w:r>
      <w:r>
        <w:rPr>
          <w:rFonts w:hint="eastAsia"/>
        </w:rPr>
        <w:t xml:space="preserve"> of Governance on One Health</w:t>
      </w:r>
    </w:p>
    <w:p>
      <w:pPr>
        <w:keepNext w:val="0"/>
        <w:keepLines w:val="0"/>
        <w:pageBreakBefore w:val="0"/>
        <w:kinsoku/>
        <w:wordWrap/>
        <w:overflowPunct/>
        <w:topLinePunct w:val="0"/>
        <w:autoSpaceDE/>
        <w:autoSpaceDN/>
        <w:bidi w:val="0"/>
        <w:adjustRightInd w:val="0"/>
        <w:snapToGrid w:val="0"/>
        <w:spacing w:line="240" w:lineRule="auto"/>
        <w:rPr>
          <w:b/>
          <w:bCs/>
        </w:rPr>
      </w:pPr>
    </w:p>
    <w:p>
      <w:pPr>
        <w:keepNext w:val="0"/>
        <w:keepLines w:val="0"/>
        <w:pageBreakBefore w:val="0"/>
        <w:kinsoku/>
        <w:wordWrap/>
        <w:overflowPunct/>
        <w:topLinePunct w:val="0"/>
        <w:autoSpaceDE/>
        <w:autoSpaceDN/>
        <w:bidi w:val="0"/>
        <w:adjustRightInd w:val="0"/>
        <w:snapToGrid w:val="0"/>
        <w:spacing w:line="240" w:lineRule="auto"/>
        <w:rPr>
          <w:b/>
          <w:bCs/>
        </w:rPr>
      </w:pPr>
    </w:p>
    <w:p>
      <w:pPr>
        <w:keepNext w:val="0"/>
        <w:keepLines w:val="0"/>
        <w:pageBreakBefore w:val="0"/>
        <w:kinsoku/>
        <w:wordWrap/>
        <w:overflowPunct/>
        <w:topLinePunct w:val="0"/>
        <w:autoSpaceDE/>
        <w:autoSpaceDN/>
        <w:bidi w:val="0"/>
        <w:adjustRightInd w:val="0"/>
        <w:snapToGrid w:val="0"/>
        <w:spacing w:line="240" w:lineRule="auto"/>
        <w:rPr>
          <w:rFonts w:hint="eastAsia"/>
          <w:b/>
          <w:bCs/>
        </w:rPr>
      </w:pPr>
      <w:r>
        <w:rPr>
          <w:rFonts w:hint="eastAsia"/>
          <w:b/>
          <w:bCs/>
          <w:lang w:val="en-US" w:eastAsia="zh"/>
        </w:rPr>
        <w:t>1.</w:t>
      </w:r>
      <w:r>
        <w:rPr>
          <w:rFonts w:hint="eastAsia"/>
          <w:b/>
          <w:bCs/>
        </w:rPr>
        <w:t>2</w:t>
      </w:r>
      <w:r>
        <w:rPr>
          <w:rFonts w:hint="eastAsia"/>
          <w:b/>
          <w:bCs/>
          <w:lang w:val="en-US" w:eastAsia="zh"/>
        </w:rPr>
        <w:t xml:space="preserve"> </w:t>
      </w:r>
      <w:r>
        <w:rPr>
          <w:b/>
          <w:bCs/>
        </w:rPr>
        <w:t xml:space="preserve"> Sub-indicator system</w:t>
      </w:r>
    </w:p>
    <w:p>
      <w:pPr>
        <w:keepNext w:val="0"/>
        <w:keepLines w:val="0"/>
        <w:pageBreakBefore w:val="0"/>
        <w:kinsoku/>
        <w:wordWrap/>
        <w:overflowPunct/>
        <w:topLinePunct w:val="0"/>
        <w:autoSpaceDE/>
        <w:autoSpaceDN/>
        <w:bidi w:val="0"/>
        <w:adjustRightInd w:val="0"/>
        <w:snapToGrid w:val="0"/>
        <w:spacing w:line="240" w:lineRule="auto"/>
      </w:pPr>
      <w:r>
        <w:rPr>
          <w:rFonts w:hint="eastAsia"/>
          <w:b/>
          <w:bCs/>
        </w:rPr>
        <w:t xml:space="preserve">Participation. </w:t>
      </w:r>
      <w:r>
        <w:rPr>
          <w:rFonts w:hint="eastAsia"/>
          <w:lang w:val="en-US" w:eastAsia="zh"/>
        </w:rPr>
        <w:t>One</w:t>
      </w:r>
      <w:r>
        <w:rPr>
          <w:rFonts w:hint="eastAsia"/>
        </w:rPr>
        <w:t xml:space="preserve"> health must involve all departments at all levels. It is a complex problem intersected by multiple disciplines and fields. It can not be well solved by a single department. Leading departments, departmental support, specialized agencies, citizen associations, public forums and meetings, cross departmental cooperation, cross departmental information sharing and professional training. Therefore, we set up the 4 evaluation </w:t>
      </w:r>
      <w:r>
        <w:rPr>
          <w:rFonts w:hint="eastAsia"/>
          <w:lang w:val="en-US" w:eastAsia="zh"/>
        </w:rPr>
        <w:t>sub-indicators</w:t>
      </w:r>
      <w:r>
        <w:rPr>
          <w:rFonts w:hint="eastAsia"/>
        </w:rPr>
        <w:t xml:space="preserve"> to evaluate whether a country or region has the ability to link global information resources, risk communication ability, </w:t>
      </w:r>
      <w:r>
        <w:rPr>
          <w:rFonts w:hint="eastAsia"/>
          <w:lang w:val="en-US" w:eastAsia="zh"/>
        </w:rPr>
        <w:t xml:space="preserve">the </w:t>
      </w:r>
      <w:r>
        <w:rPr>
          <w:rFonts w:hint="eastAsia"/>
          <w:lang w:val="en-US" w:eastAsia="zh-CN"/>
        </w:rPr>
        <w:t xml:space="preserve">scale of </w:t>
      </w:r>
      <w:r>
        <w:rPr>
          <w:rFonts w:hint="eastAsia"/>
          <w:lang w:eastAsia="zh-CN"/>
        </w:rPr>
        <w:t>One Health</w:t>
      </w:r>
      <w:r>
        <w:rPr>
          <w:rFonts w:hint="eastAsia"/>
        </w:rPr>
        <w:t xml:space="preserve"> industry</w:t>
      </w:r>
      <w:r>
        <w:rPr>
          <w:rFonts w:hint="eastAsia"/>
          <w:lang w:val="en-US" w:eastAsia="zh-CN"/>
        </w:rPr>
        <w:t xml:space="preserve"> </w:t>
      </w:r>
      <w:r>
        <w:rPr>
          <w:rFonts w:hint="eastAsia"/>
        </w:rPr>
        <w:t>associations</w:t>
      </w:r>
      <w:r>
        <w:rPr>
          <w:rFonts w:hint="eastAsia"/>
          <w:lang w:val="en-US" w:eastAsia="zh-CN"/>
        </w:rPr>
        <w:t xml:space="preserve"> and</w:t>
      </w:r>
      <w:r>
        <w:rPr>
          <w:rFonts w:hint="eastAsia"/>
        </w:rPr>
        <w:t xml:space="preserve"> </w:t>
      </w:r>
      <w:r>
        <w:rPr>
          <w:rFonts w:hint="eastAsia"/>
          <w:lang w:eastAsia="zh-CN"/>
        </w:rPr>
        <w:t>One Health</w:t>
      </w:r>
      <w:r>
        <w:rPr>
          <w:rFonts w:hint="eastAsia"/>
        </w:rPr>
        <w:t xml:space="preserve"> public forums </w:t>
      </w:r>
      <w:r>
        <w:rPr>
          <w:rFonts w:hint="eastAsia"/>
          <w:lang w:val="en-US" w:eastAsia="zh-CN"/>
        </w:rPr>
        <w:t>or</w:t>
      </w:r>
      <w:r>
        <w:rPr>
          <w:rFonts w:hint="eastAsia"/>
        </w:rPr>
        <w:t xml:space="preserve"> </w:t>
      </w:r>
      <w:r>
        <w:rPr>
          <w:rFonts w:hint="eastAsia"/>
          <w:lang w:val="en-US" w:eastAsia="zh-CN"/>
        </w:rPr>
        <w:t xml:space="preserve">high level </w:t>
      </w:r>
      <w:r>
        <w:rPr>
          <w:rFonts w:hint="eastAsia"/>
        </w:rPr>
        <w:t>meetings.</w:t>
      </w:r>
    </w:p>
    <w:p>
      <w:pPr>
        <w:keepNext w:val="0"/>
        <w:keepLines w:val="0"/>
        <w:pageBreakBefore w:val="0"/>
        <w:kinsoku/>
        <w:wordWrap/>
        <w:overflowPunct/>
        <w:topLinePunct w:val="0"/>
        <w:autoSpaceDE/>
        <w:autoSpaceDN/>
        <w:bidi w:val="0"/>
        <w:adjustRightInd w:val="0"/>
        <w:snapToGrid w:val="0"/>
        <w:spacing w:line="240" w:lineRule="auto"/>
      </w:pPr>
    </w:p>
    <w:p>
      <w:pPr>
        <w:keepNext w:val="0"/>
        <w:keepLines w:val="0"/>
        <w:pageBreakBefore w:val="0"/>
        <w:kinsoku/>
        <w:wordWrap/>
        <w:overflowPunct/>
        <w:topLinePunct w:val="0"/>
        <w:autoSpaceDE/>
        <w:autoSpaceDN/>
        <w:bidi w:val="0"/>
        <w:adjustRightInd w:val="0"/>
        <w:snapToGrid w:val="0"/>
        <w:spacing w:line="240" w:lineRule="auto"/>
        <w:rPr>
          <w:rFonts w:hint="eastAsia"/>
        </w:rPr>
      </w:pPr>
      <w:r>
        <w:rPr>
          <w:rFonts w:hint="eastAsia"/>
          <w:b/>
          <w:bCs/>
          <w:lang w:eastAsia="zh"/>
        </w:rPr>
        <w:t>R</w:t>
      </w:r>
      <w:r>
        <w:rPr>
          <w:rFonts w:hint="eastAsia"/>
          <w:b/>
          <w:bCs/>
        </w:rPr>
        <w:t xml:space="preserve">ule </w:t>
      </w:r>
      <w:r>
        <w:rPr>
          <w:rFonts w:hint="eastAsia"/>
          <w:b/>
          <w:bCs/>
          <w:lang w:val="en-US" w:eastAsia="zh"/>
        </w:rPr>
        <w:t>of</w:t>
      </w:r>
      <w:r>
        <w:rPr>
          <w:rFonts w:hint="eastAsia"/>
          <w:b/>
          <w:bCs/>
        </w:rPr>
        <w:t xml:space="preserve"> law. </w:t>
      </w:r>
      <w:r>
        <w:rPr>
          <w:rFonts w:hint="eastAsia"/>
        </w:rPr>
        <w:t xml:space="preserve">As we all know, in the past years, the great achievements made in the field of public health (for example, compulsory vaccination, infectious disease prevention and control, occupational protection, maternal and infant health care have made great contributions to disease prevention, health protection and health promotion) are closely related to legal intervention. It can be predicted that the health challenges we face in the 21st century (for example, the establishment of a reasonable medical and health care system, the prevention and control of emerging infectious diseases, the response to chronic non communicable diseases, tobacco control, environmental protection, life technology regulation, the elimination of health gap, etc.) will not make substantive progress without laws. For the intervention of various factors affecting </w:t>
      </w:r>
      <w:r>
        <w:rPr>
          <w:rFonts w:hint="eastAsia"/>
          <w:lang w:val="en-US" w:eastAsia="zh-CN"/>
        </w:rPr>
        <w:t>One H</w:t>
      </w:r>
      <w:r>
        <w:rPr>
          <w:rFonts w:hint="eastAsia"/>
        </w:rPr>
        <w:t>ealth</w:t>
      </w:r>
      <w:r>
        <w:rPr>
          <w:rFonts w:hint="eastAsia"/>
          <w:lang w:val="en-US" w:eastAsia="zh-CN"/>
        </w:rPr>
        <w:t>.</w:t>
      </w:r>
      <w:r>
        <w:rPr>
          <w:rFonts w:hint="eastAsia"/>
        </w:rPr>
        <w:t xml:space="preserve"> The law can be implemented in two modes: direct regulation (for example, authorizing relevant departments to take health intervention measures to endow citizens with health rights and obligations) and indirect regulation (for example, restraining the development of tobacco and other industries harmful to health through taxation, punishing public nuisance enterprises such as environmental pollution through tort litigation, etc.). </w:t>
      </w:r>
    </w:p>
    <w:p>
      <w:pPr>
        <w:keepNext w:val="0"/>
        <w:keepLines w:val="0"/>
        <w:pageBreakBefore w:val="0"/>
        <w:kinsoku/>
        <w:wordWrap/>
        <w:overflowPunct/>
        <w:topLinePunct w:val="0"/>
        <w:autoSpaceDE/>
        <w:autoSpaceDN/>
        <w:bidi w:val="0"/>
        <w:adjustRightInd w:val="0"/>
        <w:snapToGrid w:val="0"/>
        <w:spacing w:line="240" w:lineRule="auto"/>
        <w:rPr>
          <w:rFonts w:hint="eastAsia"/>
        </w:rPr>
      </w:pPr>
    </w:p>
    <w:p>
      <w:pPr>
        <w:keepNext w:val="0"/>
        <w:keepLines w:val="0"/>
        <w:pageBreakBefore w:val="0"/>
        <w:kinsoku/>
        <w:wordWrap/>
        <w:overflowPunct/>
        <w:topLinePunct w:val="0"/>
        <w:autoSpaceDE/>
        <w:autoSpaceDN/>
        <w:bidi w:val="0"/>
        <w:adjustRightInd w:val="0"/>
        <w:snapToGrid w:val="0"/>
        <w:spacing w:line="240" w:lineRule="auto"/>
        <w:rPr>
          <w:rFonts w:hint="eastAsia"/>
        </w:rPr>
      </w:pPr>
      <w:r>
        <w:rPr>
          <w:rFonts w:hint="eastAsia"/>
          <w:b/>
          <w:bCs/>
          <w:lang w:val="en-US" w:eastAsia="zh"/>
        </w:rPr>
        <w:t>T</w:t>
      </w:r>
      <w:r>
        <w:rPr>
          <w:rFonts w:hint="eastAsia"/>
          <w:b/>
          <w:bCs/>
        </w:rPr>
        <w:t>ransparency</w:t>
      </w:r>
      <w:r>
        <w:rPr>
          <w:rFonts w:hint="eastAsia"/>
          <w:b/>
          <w:bCs/>
          <w:lang w:val="en-US" w:eastAsia="zh"/>
        </w:rPr>
        <w:t xml:space="preserve">. </w:t>
      </w:r>
      <w:r>
        <w:rPr>
          <w:rFonts w:hint="eastAsia"/>
          <w:lang w:val="en-US" w:eastAsia="zh"/>
        </w:rPr>
        <w:t>The t</w:t>
      </w:r>
      <w:r>
        <w:rPr>
          <w:rFonts w:hint="eastAsia"/>
        </w:rPr>
        <w:t>ransparency</w:t>
      </w:r>
      <w:r>
        <w:rPr>
          <w:rFonts w:hint="eastAsia"/>
          <w:lang w:val="en-US" w:eastAsia="zh"/>
        </w:rPr>
        <w:t xml:space="preserve"> of governance</w:t>
      </w:r>
      <w:r>
        <w:rPr>
          <w:rFonts w:hint="eastAsia"/>
        </w:rPr>
        <w:t xml:space="preserve"> refers to aim at the openness and availability of data for </w:t>
      </w:r>
      <w:r>
        <w:rPr>
          <w:rFonts w:hint="eastAsia"/>
          <w:lang w:eastAsia="zh"/>
        </w:rPr>
        <w:t>One Health</w:t>
      </w:r>
      <w:r>
        <w:rPr>
          <w:rFonts w:hint="eastAsia"/>
        </w:rPr>
        <w:t xml:space="preserve"> management. For this indicator, the research group adopts the SDG data source. </w:t>
      </w:r>
    </w:p>
    <w:p>
      <w:pPr>
        <w:keepNext w:val="0"/>
        <w:keepLines w:val="0"/>
        <w:pageBreakBefore w:val="0"/>
        <w:kinsoku/>
        <w:wordWrap/>
        <w:overflowPunct/>
        <w:topLinePunct w:val="0"/>
        <w:autoSpaceDE/>
        <w:autoSpaceDN/>
        <w:bidi w:val="0"/>
        <w:adjustRightInd w:val="0"/>
        <w:snapToGrid w:val="0"/>
        <w:spacing w:line="240" w:lineRule="auto"/>
        <w:rPr>
          <w:rFonts w:hint="eastAsia"/>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eastAsia"/>
        </w:rPr>
      </w:pPr>
      <w:r>
        <w:rPr>
          <w:rFonts w:hint="eastAsia"/>
          <w:b/>
          <w:bCs/>
          <w:lang w:val="en-US" w:eastAsia="zh"/>
        </w:rPr>
        <w:t xml:space="preserve">Responsiveness. </w:t>
      </w:r>
      <w:r>
        <w:rPr>
          <w:rFonts w:hint="eastAsia"/>
        </w:rPr>
        <w:t xml:space="preserve">The response mechanism plays a key role in the </w:t>
      </w:r>
      <w:r>
        <w:rPr>
          <w:rFonts w:hint="eastAsia"/>
          <w:lang w:eastAsia="zh-CN"/>
        </w:rPr>
        <w:t>One Health</w:t>
      </w:r>
      <w:r>
        <w:rPr>
          <w:rFonts w:hint="eastAsia"/>
        </w:rPr>
        <w:t xml:space="preserve"> management in public health emergencies. Emergency response operation and emergency plan drill are the investigation fields of public health emergency mechanism, and these two main factors are evaluated. We evaluateEmergency response operation</w:t>
      </w:r>
      <w:r>
        <w:rPr>
          <w:rFonts w:hint="eastAsia"/>
          <w:lang w:val="en-US" w:eastAsia="zh-CN"/>
        </w:rPr>
        <w:t xml:space="preserve"> and</w:t>
      </w:r>
      <w:r>
        <w:rPr>
          <w:rFonts w:hint="eastAsia"/>
        </w:rPr>
        <w:t xml:space="preserve"> Exercising response plans</w:t>
      </w:r>
      <w:r>
        <w:rPr>
          <w:rFonts w:hint="eastAsia"/>
          <w:lang w:val="en-US" w:eastAsia="zh-CN"/>
        </w:rPr>
        <w:t xml:space="preserve">. </w:t>
      </w:r>
      <w:r>
        <w:rPr>
          <w:rFonts w:hint="eastAsia"/>
        </w:rPr>
        <w:t>For this indicator, the research group make a reference to</w:t>
      </w:r>
      <w:r>
        <w:rPr>
          <w:rFonts w:hint="eastAsia"/>
          <w:lang w:val="en-US" w:eastAsia="zh-CN"/>
        </w:rPr>
        <w:t xml:space="preserve"> the </w:t>
      </w:r>
      <w:r>
        <w:rPr>
          <w:rFonts w:hint="default"/>
          <w:lang w:val="en-US" w:eastAsia="zh-CN"/>
        </w:rPr>
        <w:t>Global health</w:t>
      </w:r>
      <w:r>
        <w:rPr>
          <w:rFonts w:hint="eastAsia"/>
          <w:lang w:val="en-US" w:eastAsia="zh-CN"/>
        </w:rPr>
        <w:t xml:space="preserve"> security report</w:t>
      </w:r>
      <w:r>
        <w:rPr>
          <w:rFonts w:hint="eastAsia"/>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lang w:val="en-US" w:eastAsia="zh-CN"/>
        </w:rPr>
      </w:pPr>
    </w:p>
    <w:p>
      <w:pPr>
        <w:keepNext w:val="0"/>
        <w:keepLines w:val="0"/>
        <w:pageBreakBefore w:val="0"/>
        <w:kinsoku/>
        <w:wordWrap/>
        <w:overflowPunct/>
        <w:topLinePunct w:val="0"/>
        <w:autoSpaceDE/>
        <w:autoSpaceDN/>
        <w:bidi w:val="0"/>
        <w:adjustRightInd w:val="0"/>
        <w:snapToGrid w:val="0"/>
        <w:spacing w:line="240" w:lineRule="auto"/>
        <w:rPr>
          <w:rFonts w:hint="default"/>
          <w:lang w:val="en-US"/>
        </w:rPr>
      </w:pPr>
      <w:r>
        <w:rPr>
          <w:rFonts w:hint="eastAsia"/>
          <w:b/>
          <w:bCs/>
        </w:rPr>
        <w:t>Consensus orientation</w:t>
      </w:r>
      <w:r>
        <w:rPr>
          <w:rFonts w:hint="eastAsia"/>
          <w:b/>
          <w:bCs/>
          <w:lang w:val="en-US" w:eastAsia="zh-CN"/>
        </w:rPr>
        <w:t xml:space="preserve">. </w:t>
      </w:r>
      <w:r>
        <w:rPr>
          <w:rFonts w:hint="eastAsia"/>
        </w:rPr>
        <w:t xml:space="preserve">Consensus orientation consists of the consensus mechanism of the government and the public on public health related fields and two </w:t>
      </w:r>
      <w:r>
        <w:rPr>
          <w:rFonts w:hint="eastAsia"/>
          <w:lang w:val="en-US" w:eastAsia="zh-CN"/>
        </w:rPr>
        <w:t>sub-</w:t>
      </w:r>
      <w:r>
        <w:rPr>
          <w:rFonts w:hint="eastAsia"/>
        </w:rPr>
        <w:t>indicators of</w:t>
      </w:r>
      <w:r>
        <w:rPr>
          <w:rFonts w:hint="eastAsia"/>
          <w:lang w:val="en-US" w:eastAsia="zh-CN"/>
        </w:rPr>
        <w:t xml:space="preserve"> general c</w:t>
      </w:r>
      <w:r>
        <w:rPr>
          <w:rFonts w:hint="eastAsia"/>
        </w:rPr>
        <w:t>onsensus orientation</w:t>
      </w:r>
      <w:r>
        <w:rPr>
          <w:rFonts w:hint="eastAsia"/>
          <w:lang w:val="en-US" w:eastAsia="zh-CN"/>
        </w:rPr>
        <w:t xml:space="preserve"> and</w:t>
      </w:r>
      <w:r>
        <w:rPr>
          <w:rFonts w:hint="eastAsia"/>
        </w:rPr>
        <w:t xml:space="preserve"> </w:t>
      </w:r>
      <w:r>
        <w:rPr>
          <w:rFonts w:hint="eastAsia"/>
          <w:lang w:val="en-US" w:eastAsia="zh-CN"/>
        </w:rPr>
        <w:t>One</w:t>
      </w:r>
      <w:r>
        <w:rPr>
          <w:rFonts w:hint="eastAsia"/>
        </w:rPr>
        <w:t xml:space="preserve"> health</w:t>
      </w:r>
      <w:r>
        <w:rPr>
          <w:rFonts w:hint="eastAsia"/>
          <w:lang w:val="en-US" w:eastAsia="zh-CN"/>
        </w:rPr>
        <w:t xml:space="preserve"> Education.</w:t>
      </w:r>
    </w:p>
    <w:p>
      <w:pPr>
        <w:keepNext w:val="0"/>
        <w:keepLines w:val="0"/>
        <w:pageBreakBefore w:val="0"/>
        <w:kinsoku/>
        <w:wordWrap/>
        <w:overflowPunct/>
        <w:topLinePunct w:val="0"/>
        <w:autoSpaceDE/>
        <w:autoSpaceDN/>
        <w:bidi w:val="0"/>
        <w:adjustRightInd w:val="0"/>
        <w:snapToGrid w:val="0"/>
        <w:spacing w:line="240" w:lineRule="auto"/>
        <w:rPr>
          <w:rFonts w:hint="eastAsia"/>
        </w:rPr>
      </w:pPr>
    </w:p>
    <w:p>
      <w:pPr>
        <w:keepNext w:val="0"/>
        <w:keepLines w:val="0"/>
        <w:pageBreakBefore w:val="0"/>
        <w:kinsoku/>
        <w:wordWrap/>
        <w:overflowPunct/>
        <w:topLinePunct w:val="0"/>
        <w:autoSpaceDE/>
        <w:autoSpaceDN/>
        <w:bidi w:val="0"/>
        <w:adjustRightInd w:val="0"/>
        <w:snapToGrid w:val="0"/>
        <w:spacing w:line="240" w:lineRule="auto"/>
        <w:rPr>
          <w:rFonts w:hint="eastAsia"/>
        </w:rPr>
      </w:pPr>
      <w:r>
        <w:rPr>
          <w:rFonts w:hint="eastAsia"/>
          <w:b/>
          <w:bCs/>
        </w:rPr>
        <w:t>Equity and inclusiveness</w:t>
      </w:r>
      <w:r>
        <w:rPr>
          <w:rFonts w:hint="eastAsia"/>
          <w:b/>
          <w:bCs/>
          <w:lang w:val="en-US" w:eastAsia="zh-CN"/>
        </w:rPr>
        <w:t xml:space="preserve">. </w:t>
      </w:r>
      <w:r>
        <w:rPr>
          <w:rFonts w:hint="eastAsia"/>
          <w:lang w:val="en-US" w:eastAsia="zh-CN"/>
        </w:rPr>
        <w:t>This indicator</w:t>
      </w:r>
      <w:r>
        <w:rPr>
          <w:rFonts w:hint="eastAsia"/>
        </w:rPr>
        <w:t xml:space="preserve"> specifically evaluated by the data of zoonosis treatment, regional environmental protection treatment and sustainable nitrogen management. The effectiveness and efficiency of </w:t>
      </w:r>
      <w:r>
        <w:rPr>
          <w:rFonts w:hint="eastAsia"/>
          <w:lang w:eastAsia="zh"/>
        </w:rPr>
        <w:t>One Health</w:t>
      </w:r>
      <w:r>
        <w:rPr>
          <w:rFonts w:hint="eastAsia"/>
        </w:rPr>
        <w:t xml:space="preserve"> governance are the assessment factors of good governance. </w:t>
      </w:r>
    </w:p>
    <w:p>
      <w:pPr>
        <w:keepNext w:val="0"/>
        <w:keepLines w:val="0"/>
        <w:pageBreakBefore w:val="0"/>
        <w:kinsoku/>
        <w:wordWrap/>
        <w:overflowPunct/>
        <w:topLinePunct w:val="0"/>
        <w:autoSpaceDE/>
        <w:autoSpaceDN/>
        <w:bidi w:val="0"/>
        <w:adjustRightInd w:val="0"/>
        <w:snapToGrid w:val="0"/>
        <w:spacing w:line="240" w:lineRule="auto"/>
      </w:pPr>
    </w:p>
    <w:p>
      <w:pPr>
        <w:keepNext w:val="0"/>
        <w:keepLines w:val="0"/>
        <w:pageBreakBefore w:val="0"/>
        <w:kinsoku/>
        <w:wordWrap/>
        <w:overflowPunct/>
        <w:topLinePunct w:val="0"/>
        <w:autoSpaceDE/>
        <w:autoSpaceDN/>
        <w:bidi w:val="0"/>
        <w:adjustRightInd w:val="0"/>
        <w:snapToGrid w:val="0"/>
        <w:spacing w:line="240" w:lineRule="auto"/>
        <w:rPr>
          <w:rFonts w:hint="eastAsia"/>
        </w:rPr>
      </w:pPr>
      <w:r>
        <w:rPr>
          <w:rFonts w:hint="eastAsia"/>
          <w:b/>
          <w:bCs/>
        </w:rPr>
        <w:t>Effectiveness and efficiency.</w:t>
      </w:r>
      <w:r>
        <w:rPr>
          <w:rFonts w:hint="eastAsia"/>
        </w:rPr>
        <w:t xml:space="preserve"> The effectiveness and efficiency of </w:t>
      </w:r>
      <w:r>
        <w:rPr>
          <w:rFonts w:hint="eastAsia"/>
          <w:lang w:eastAsia="zh"/>
        </w:rPr>
        <w:t>One Health</w:t>
      </w:r>
      <w:r>
        <w:rPr>
          <w:rFonts w:hint="eastAsia"/>
        </w:rPr>
        <w:t xml:space="preserve"> governance are the assessment factors of good governance. Therefore, we have set six three-level indicators, including human resources, material resources, financial resources, information and technology resources, facility distribution, voice and accountability, to evaluate the effectiveness and efficiency of global governance. </w:t>
      </w:r>
    </w:p>
    <w:p>
      <w:pPr>
        <w:keepNext w:val="0"/>
        <w:keepLines w:val="0"/>
        <w:pageBreakBefore w:val="0"/>
        <w:kinsoku/>
        <w:wordWrap/>
        <w:overflowPunct/>
        <w:topLinePunct w:val="0"/>
        <w:autoSpaceDE/>
        <w:autoSpaceDN/>
        <w:bidi w:val="0"/>
        <w:adjustRightInd w:val="0"/>
        <w:snapToGrid w:val="0"/>
        <w:spacing w:line="240" w:lineRule="auto"/>
        <w:rPr>
          <w:rFonts w:hint="eastAsia"/>
        </w:rPr>
      </w:pPr>
    </w:p>
    <w:p>
      <w:pPr>
        <w:keepNext w:val="0"/>
        <w:keepLines w:val="0"/>
        <w:pageBreakBefore w:val="0"/>
        <w:kinsoku/>
        <w:wordWrap/>
        <w:overflowPunct/>
        <w:topLinePunct w:val="0"/>
        <w:autoSpaceDE/>
        <w:autoSpaceDN/>
        <w:bidi w:val="0"/>
        <w:adjustRightInd w:val="0"/>
        <w:snapToGrid w:val="0"/>
        <w:spacing w:line="240" w:lineRule="auto"/>
        <w:rPr>
          <w:rFonts w:hint="eastAsia"/>
          <w:highlight w:val="none"/>
        </w:rPr>
      </w:pPr>
      <w:r>
        <w:rPr>
          <w:rFonts w:hint="eastAsia"/>
          <w:b/>
          <w:bCs/>
        </w:rPr>
        <w:t>Political support.</w:t>
      </w:r>
      <w:r>
        <w:rPr>
          <w:rFonts w:hint="eastAsia"/>
        </w:rPr>
        <w:t xml:space="preserve"> The political support of all countries is the reason that must be considered when investigating the </w:t>
      </w:r>
      <w:r>
        <w:rPr>
          <w:rFonts w:hint="eastAsia"/>
          <w:lang w:eastAsia="zh-CN"/>
        </w:rPr>
        <w:t>One Health</w:t>
      </w:r>
      <w:r>
        <w:rPr>
          <w:rFonts w:hint="eastAsia"/>
        </w:rPr>
        <w:t xml:space="preserve"> governance. </w:t>
      </w:r>
      <w:r>
        <w:rPr>
          <w:rFonts w:hint="eastAsia"/>
          <w:highlight w:val="none"/>
        </w:rPr>
        <w:t xml:space="preserve">The political support of all countries is the reason that must be considered when examining the </w:t>
      </w:r>
      <w:r>
        <w:rPr>
          <w:rFonts w:hint="eastAsia"/>
          <w:highlight w:val="none"/>
          <w:lang w:eastAsia="zh-CN"/>
        </w:rPr>
        <w:t>One Health</w:t>
      </w:r>
      <w:r>
        <w:rPr>
          <w:rFonts w:hint="eastAsia"/>
          <w:highlight w:val="none"/>
        </w:rPr>
        <w:t xml:space="preserve"> governance. The research team divided political support into four three-level indicators: special government institutions for </w:t>
      </w:r>
      <w:r>
        <w:rPr>
          <w:rFonts w:hint="eastAsia"/>
          <w:highlight w:val="none"/>
          <w:lang w:eastAsia="zh-CN"/>
        </w:rPr>
        <w:t>One Health</w:t>
      </w:r>
      <w:r>
        <w:rPr>
          <w:rFonts w:hint="eastAsia"/>
          <w:highlight w:val="none"/>
        </w:rPr>
        <w:t>, corruption management, policy quality and government expenditure. The data sources are mainly official data such as WB, who and SDG reports.</w:t>
      </w:r>
    </w:p>
    <w:p>
      <w:pPr>
        <w:keepNext w:val="0"/>
        <w:keepLines w:val="0"/>
        <w:pageBreakBefore w:val="0"/>
        <w:kinsoku/>
        <w:wordWrap/>
        <w:overflowPunct/>
        <w:topLinePunct w:val="0"/>
        <w:autoSpaceDE/>
        <w:autoSpaceDN/>
        <w:bidi w:val="0"/>
        <w:adjustRightInd w:val="0"/>
        <w:snapToGrid w:val="0"/>
        <w:spacing w:line="240" w:lineRule="auto"/>
        <w:rPr>
          <w:rFonts w:hint="eastAsia"/>
          <w:highlight w:val="none"/>
        </w:rPr>
      </w:pPr>
    </w:p>
    <w:p>
      <w:pPr>
        <w:pStyle w:val="8"/>
        <w:keepNext w:val="0"/>
        <w:keepLines w:val="0"/>
        <w:pageBreakBefore w:val="0"/>
        <w:kinsoku/>
        <w:wordWrap/>
        <w:overflowPunct/>
        <w:topLinePunct w:val="0"/>
        <w:autoSpaceDE/>
        <w:autoSpaceDN/>
        <w:bidi w:val="0"/>
        <w:adjustRightInd w:val="0"/>
        <w:snapToGrid w:val="0"/>
        <w:spacing w:line="240" w:lineRule="auto"/>
        <w:ind w:firstLine="0" w:firstLineChars="0"/>
        <w:rPr>
          <w:rFonts w:ascii="Times New Roman" w:hAnsi="Times New Roman" w:eastAsia="仿宋"/>
          <w:szCs w:val="21"/>
        </w:rPr>
      </w:pPr>
      <w:r>
        <w:rPr>
          <w:rFonts w:hint="eastAsia" w:ascii="Times New Roman" w:hAnsi="Times New Roman" w:eastAsia="仿宋"/>
          <w:szCs w:val="21"/>
        </w:rPr>
        <w:t>It should be noted that several</w:t>
      </w:r>
      <w:r>
        <w:rPr>
          <w:rFonts w:hint="eastAsia" w:ascii="Times New Roman" w:hAnsi="Times New Roman" w:eastAsia="仿宋"/>
          <w:szCs w:val="21"/>
          <w:highlight w:val="none"/>
        </w:rPr>
        <w:t xml:space="preserve"> </w:t>
      </w:r>
      <w:r>
        <w:rPr>
          <w:rFonts w:hint="eastAsia" w:ascii="Times New Roman" w:hAnsi="Times New Roman" w:eastAsia="仿宋"/>
          <w:szCs w:val="21"/>
          <w:lang w:eastAsia="zh-CN"/>
        </w:rPr>
        <w:t>self-evaluated</w:t>
      </w:r>
      <w:r>
        <w:rPr>
          <w:rFonts w:hint="eastAsia" w:ascii="Times New Roman" w:hAnsi="Times New Roman" w:eastAsia="仿宋"/>
          <w:szCs w:val="21"/>
        </w:rPr>
        <w:t xml:space="preserve"> indicator data on </w:t>
      </w:r>
      <w:r>
        <w:rPr>
          <w:rFonts w:hint="eastAsia" w:ascii="Times New Roman" w:hAnsi="Times New Roman" w:eastAsia="仿宋"/>
          <w:szCs w:val="21"/>
          <w:lang w:val="en-US" w:eastAsia="zh-CN"/>
        </w:rPr>
        <w:t>One</w:t>
      </w:r>
      <w:r>
        <w:rPr>
          <w:rFonts w:hint="eastAsia" w:ascii="Times New Roman" w:hAnsi="Times New Roman" w:eastAsia="仿宋"/>
          <w:szCs w:val="21"/>
        </w:rPr>
        <w:t xml:space="preserve"> health, such as </w:t>
      </w:r>
      <w:r>
        <w:rPr>
          <w:rFonts w:hint="eastAsia" w:ascii="Times New Roman" w:hAnsi="Times New Roman" w:eastAsia="仿宋"/>
          <w:szCs w:val="21"/>
          <w:lang w:val="en-US" w:eastAsia="zh-CN"/>
        </w:rPr>
        <w:t>One</w:t>
      </w:r>
      <w:r>
        <w:rPr>
          <w:rFonts w:hint="eastAsia" w:ascii="Times New Roman" w:hAnsi="Times New Roman" w:eastAsia="仿宋"/>
          <w:szCs w:val="21"/>
        </w:rPr>
        <w:t xml:space="preserve"> health association, </w:t>
      </w:r>
      <w:r>
        <w:rPr>
          <w:rFonts w:hint="eastAsia" w:ascii="Times New Roman" w:hAnsi="Times New Roman" w:eastAsia="仿宋"/>
          <w:szCs w:val="21"/>
          <w:lang w:val="en-US" w:eastAsia="zh-CN"/>
        </w:rPr>
        <w:t>One</w:t>
      </w:r>
      <w:r>
        <w:rPr>
          <w:rFonts w:hint="eastAsia" w:ascii="Times New Roman" w:hAnsi="Times New Roman" w:eastAsia="仿宋"/>
          <w:szCs w:val="21"/>
        </w:rPr>
        <w:t xml:space="preserve"> health forum, special</w:t>
      </w:r>
      <w:r>
        <w:rPr>
          <w:rFonts w:hint="eastAsia" w:ascii="Times New Roman" w:hAnsi="Times New Roman" w:eastAsia="仿宋"/>
          <w:szCs w:val="21"/>
          <w:lang w:val="en-US" w:eastAsia="zh-CN"/>
        </w:rPr>
        <w:t>ized</w:t>
      </w:r>
      <w:r>
        <w:rPr>
          <w:rFonts w:hint="eastAsia" w:ascii="Times New Roman" w:hAnsi="Times New Roman" w:eastAsia="仿宋"/>
          <w:szCs w:val="21"/>
        </w:rPr>
        <w:t xml:space="preserve"> legislation on </w:t>
      </w:r>
      <w:r>
        <w:rPr>
          <w:rFonts w:hint="eastAsia" w:ascii="Times New Roman" w:hAnsi="Times New Roman" w:eastAsia="仿宋"/>
          <w:szCs w:val="21"/>
          <w:lang w:val="en-US" w:eastAsia="zh-CN"/>
        </w:rPr>
        <w:t>One</w:t>
      </w:r>
      <w:r>
        <w:rPr>
          <w:rFonts w:hint="eastAsia" w:ascii="Times New Roman" w:hAnsi="Times New Roman" w:eastAsia="仿宋"/>
          <w:szCs w:val="21"/>
        </w:rPr>
        <w:t xml:space="preserve"> health,</w:t>
      </w:r>
      <w:r>
        <w:rPr>
          <w:rFonts w:hint="eastAsia" w:ascii="Times New Roman" w:hAnsi="Times New Roman" w:eastAsia="仿宋"/>
          <w:szCs w:val="21"/>
          <w:lang w:val="en-US" w:eastAsia="zh-CN"/>
        </w:rPr>
        <w:t xml:space="preserve"> One</w:t>
      </w:r>
      <w:r>
        <w:rPr>
          <w:rFonts w:hint="eastAsia" w:ascii="Times New Roman" w:hAnsi="Times New Roman" w:eastAsia="仿宋"/>
          <w:szCs w:val="21"/>
        </w:rPr>
        <w:t xml:space="preserve"> health education and </w:t>
      </w:r>
      <w:r>
        <w:rPr>
          <w:rFonts w:hint="eastAsia" w:ascii="Times New Roman" w:hAnsi="Times New Roman" w:eastAsia="仿宋"/>
          <w:szCs w:val="21"/>
          <w:lang w:eastAsia="zh-CN"/>
        </w:rPr>
        <w:t>One Health</w:t>
      </w:r>
      <w:r>
        <w:rPr>
          <w:rFonts w:hint="eastAsia" w:ascii="Times New Roman" w:hAnsi="Times New Roman" w:eastAsia="仿宋"/>
          <w:szCs w:val="21"/>
        </w:rPr>
        <w:t xml:space="preserve"> official institutions (the original data are from the national reports of the World Health Organization, the official websites of disease control departments of various countries and other databases). These data are obtained by the research group in the form of national official data and professional and authoritative legal databases, It is also an important innovation of this paper.</w:t>
      </w:r>
    </w:p>
    <w:p>
      <w:pPr>
        <w:keepNext w:val="0"/>
        <w:keepLines w:val="0"/>
        <w:pageBreakBefore w:val="0"/>
        <w:kinsoku/>
        <w:wordWrap/>
        <w:overflowPunct/>
        <w:topLinePunct w:val="0"/>
        <w:autoSpaceDE/>
        <w:autoSpaceDN/>
        <w:bidi w:val="0"/>
        <w:adjustRightInd w:val="0"/>
        <w:snapToGrid w:val="0"/>
        <w:spacing w:line="240" w:lineRule="auto"/>
        <w:rPr>
          <w:rFonts w:hint="eastAsia"/>
          <w:highlight w:val="none"/>
        </w:rPr>
      </w:pPr>
    </w:p>
    <w:p>
      <w:pPr>
        <w:keepNext w:val="0"/>
        <w:keepLines w:val="0"/>
        <w:pageBreakBefore w:val="0"/>
        <w:kinsoku/>
        <w:wordWrap/>
        <w:overflowPunct/>
        <w:topLinePunct w:val="0"/>
        <w:autoSpaceDE/>
        <w:autoSpaceDN/>
        <w:bidi w:val="0"/>
        <w:adjustRightInd w:val="0"/>
        <w:snapToGrid w:val="0"/>
        <w:spacing w:line="240" w:lineRule="auto"/>
        <w:rPr>
          <w:rFonts w:hint="eastAsia"/>
          <w:highlight w:val="none"/>
        </w:rPr>
      </w:pPr>
    </w:p>
    <w:p>
      <w:pPr>
        <w:pStyle w:val="8"/>
        <w:keepNext w:val="0"/>
        <w:keepLines w:val="0"/>
        <w:pageBreakBefore w:val="0"/>
        <w:numPr>
          <w:ilvl w:val="0"/>
          <w:numId w:val="0"/>
        </w:numPr>
        <w:kinsoku/>
        <w:wordWrap/>
        <w:overflowPunct/>
        <w:topLinePunct w:val="0"/>
        <w:autoSpaceDE/>
        <w:autoSpaceDN/>
        <w:bidi w:val="0"/>
        <w:adjustRightInd w:val="0"/>
        <w:snapToGrid w:val="0"/>
        <w:spacing w:line="240" w:lineRule="auto"/>
        <w:ind w:leftChars="0"/>
        <w:rPr>
          <w:b/>
          <w:bCs/>
        </w:rPr>
      </w:pPr>
      <w:r>
        <w:rPr>
          <w:rFonts w:hint="eastAsia"/>
          <w:b/>
          <w:bCs/>
          <w:lang w:val="en-US" w:eastAsia="zh"/>
        </w:rPr>
        <w:t xml:space="preserve">1.3 </w:t>
      </w:r>
      <w:r>
        <w:rPr>
          <w:b/>
          <w:bCs/>
        </w:rPr>
        <w:t>Weighting for each sub-indicators</w:t>
      </w:r>
    </w:p>
    <w:p>
      <w:pPr>
        <w:pStyle w:val="8"/>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lang w:val="en-US" w:eastAsia="zh-CN"/>
        </w:rPr>
      </w:pPr>
      <w:r>
        <w:rPr>
          <w:rFonts w:hint="eastAsia"/>
        </w:rPr>
        <w:t xml:space="preserve">From the perspective of </w:t>
      </w:r>
      <w:r>
        <w:rPr>
          <w:rFonts w:hint="eastAsia"/>
          <w:lang w:eastAsia="zh-CN"/>
        </w:rPr>
        <w:t>One Health</w:t>
      </w:r>
      <w:r>
        <w:rPr>
          <w:rFonts w:hint="eastAsia"/>
        </w:rPr>
        <w:t xml:space="preserve"> research, we cited the food and Agriculture Organization of the United Nations, the World Health Organization, the global health security index, the SDG data report, as well as the European CDC (ECDC), the World Health Organization, the global justice project, Johns Hopkins University public health data, Yale University environmental data, Huawei data and the data published on the official websites of various countries, and set up a total of </w:t>
      </w:r>
      <w:r>
        <w:rPr>
          <w:rFonts w:hint="eastAsia"/>
          <w:lang w:val="en-US" w:eastAsia="zh-CN"/>
        </w:rPr>
        <w:t>27 indicatiors</w:t>
      </w:r>
      <w:r>
        <w:rPr>
          <w:rFonts w:hint="eastAsia"/>
          <w:lang w:val="en-US" w:eastAsia="zh"/>
        </w:rPr>
        <w:t xml:space="preserve">, including </w:t>
      </w:r>
      <w:r>
        <w:rPr>
          <w:rFonts w:hint="eastAsia"/>
        </w:rPr>
        <w:t xml:space="preserve">8 indicators and 19 </w:t>
      </w:r>
      <w:r>
        <w:rPr>
          <w:rFonts w:hint="eastAsia"/>
          <w:lang w:val="en-US" w:eastAsia="zh-CN"/>
        </w:rPr>
        <w:t>sub-</w:t>
      </w:r>
      <w:r>
        <w:rPr>
          <w:rFonts w:hint="eastAsia"/>
        </w:rPr>
        <w:t>indicators. We hope to build a part of the One Health index in a more comprehensive dimension, evaluate the advantages and disadvantages of each country and region by scoring the relevant scores of One Health governance, and provide reasonable suggestions</w:t>
      </w:r>
      <w:r>
        <w:rPr>
          <w:rFonts w:hint="eastAsia"/>
          <w:lang w:eastAsia="zh"/>
        </w:rPr>
        <w:t xml:space="preserve">(Table </w:t>
      </w:r>
      <w:r>
        <w:rPr>
          <w:rFonts w:hint="eastAsia"/>
          <w:color w:val="0000FF"/>
          <w:lang w:eastAsia="zh"/>
        </w:rPr>
        <w:t>1</w:t>
      </w:r>
      <w:r>
        <w:rPr>
          <w:rFonts w:hint="eastAsia"/>
          <w:lang w:eastAsia="zh"/>
        </w:rPr>
        <w:t>)</w:t>
      </w:r>
      <w:r>
        <w:rPr>
          <w:rFonts w:hint="eastAsia"/>
        </w:rPr>
        <w:t>.</w:t>
      </w:r>
      <w:r>
        <w:rPr>
          <w:rFonts w:hint="eastAsia"/>
          <w:lang w:val="en-US" w:eastAsia="zh-CN"/>
        </w:rPr>
        <w:t xml:space="preserve"> </w:t>
      </w:r>
    </w:p>
    <w:p>
      <w:pPr>
        <w:pStyle w:val="8"/>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lang w:val="en-US" w:eastAsia="zh-CN"/>
        </w:rPr>
      </w:pPr>
    </w:p>
    <w:p>
      <w:pPr>
        <w:pStyle w:val="8"/>
        <w:keepNext w:val="0"/>
        <w:keepLines w:val="0"/>
        <w:pageBreakBefore w:val="0"/>
        <w:kinsoku/>
        <w:wordWrap/>
        <w:overflowPunct/>
        <w:topLinePunct w:val="0"/>
        <w:autoSpaceDE/>
        <w:autoSpaceDN/>
        <w:bidi w:val="0"/>
        <w:adjustRightInd w:val="0"/>
        <w:snapToGrid w:val="0"/>
        <w:spacing w:line="240" w:lineRule="auto"/>
        <w:ind w:firstLine="0" w:firstLineChars="0"/>
        <w:rPr>
          <w:rFonts w:ascii="Times New Roman" w:hAnsi="Times New Roman" w:eastAsia="仿宋"/>
          <w:szCs w:val="21"/>
        </w:rPr>
      </w:pPr>
      <w:r>
        <w:rPr>
          <w:rFonts w:hint="eastAsia" w:ascii="Times New Roman" w:hAnsi="Times New Roman" w:eastAsia="仿宋"/>
          <w:szCs w:val="21"/>
          <w:lang w:val="en-US" w:eastAsia="zh-CN"/>
        </w:rPr>
        <w:t xml:space="preserve">A fuzzy analytical hierarchy process (FAHP) was adopted to assign the weights for most of the indicators. We used a fuzzy comparison matrix based on the judgements of different experts to generate the weight matrix of indicators. We conducted two rounds of investigations among our expert advisory committee and collected the experts opinions by several rounds of  interrogation on the comparison of relative importance between indicators. </w:t>
      </w:r>
      <w:r>
        <w:rPr>
          <w:rFonts w:hint="eastAsia" w:ascii="Times New Roman" w:hAnsi="Times New Roman" w:eastAsia="仿宋"/>
          <w:szCs w:val="21"/>
        </w:rPr>
        <w:t>Therefore, we obtained the weights of the eight indicators in the form of questionnaire survey. The weight of sub indicators is distributed equally.</w:t>
      </w:r>
      <w:r>
        <w:rPr>
          <w:rFonts w:hint="eastAsia" w:ascii="Times New Roman" w:hAnsi="Times New Roman" w:eastAsia="仿宋"/>
          <w:szCs w:val="21"/>
          <w:lang w:val="en-US" w:eastAsia="zh-CN"/>
        </w:rPr>
        <w:t xml:space="preserve"> </w:t>
      </w:r>
      <w:bookmarkStart w:id="1" w:name="_GoBack"/>
      <w:bookmarkEnd w:id="1"/>
    </w:p>
    <w:p>
      <w:pPr>
        <w:keepNext w:val="0"/>
        <w:keepLines w:val="0"/>
        <w:pageBreakBefore w:val="0"/>
        <w:kinsoku/>
        <w:wordWrap/>
        <w:overflowPunct/>
        <w:topLinePunct w:val="0"/>
        <w:autoSpaceDE/>
        <w:autoSpaceDN/>
        <w:bidi w:val="0"/>
        <w:adjustRightInd w:val="0"/>
        <w:snapToGrid w:val="0"/>
        <w:spacing w:line="240" w:lineRule="auto"/>
        <w:rPr>
          <w:rFonts w:hint="eastAsia"/>
        </w:rPr>
      </w:pPr>
    </w:p>
    <w:p>
      <w:pPr>
        <w:keepNext w:val="0"/>
        <w:keepLines w:val="0"/>
        <w:pageBreakBefore w:val="0"/>
        <w:kinsoku/>
        <w:wordWrap/>
        <w:overflowPunct/>
        <w:topLinePunct w:val="0"/>
        <w:autoSpaceDE/>
        <w:autoSpaceDN/>
        <w:bidi w:val="0"/>
        <w:adjustRightInd w:val="0"/>
        <w:snapToGrid w:val="0"/>
        <w:spacing w:line="240" w:lineRule="auto"/>
        <w:rPr>
          <w:rFonts w:hint="eastAsia"/>
        </w:rPr>
      </w:pPr>
    </w:p>
    <w:p>
      <w:pPr>
        <w:keepNext w:val="0"/>
        <w:keepLines w:val="0"/>
        <w:pageBreakBefore w:val="0"/>
        <w:kinsoku/>
        <w:wordWrap/>
        <w:overflowPunct/>
        <w:topLinePunct w:val="0"/>
        <w:autoSpaceDE/>
        <w:autoSpaceDN/>
        <w:bidi w:val="0"/>
        <w:adjustRightInd w:val="0"/>
        <w:snapToGrid w:val="0"/>
        <w:spacing w:line="240" w:lineRule="auto"/>
        <w:jc w:val="both"/>
      </w:pPr>
      <w:r>
        <w:rPr>
          <w:rFonts w:hint="eastAsia"/>
          <w:b/>
          <w:bCs/>
        </w:rPr>
        <w:t>Table 1</w:t>
      </w:r>
      <w:r>
        <w:rPr>
          <w:rFonts w:hint="eastAsia"/>
          <w:b/>
          <w:bCs/>
          <w:lang w:val="en-US" w:eastAsia="zh-CN"/>
        </w:rPr>
        <w:t xml:space="preserve">.2  </w:t>
      </w:r>
      <w:r>
        <w:rPr>
          <w:rFonts w:hint="eastAsia"/>
          <w:b w:val="0"/>
          <w:bCs w:val="0"/>
          <w:lang w:val="en-US" w:eastAsia="zh-CN"/>
        </w:rPr>
        <w:t>OHGI</w:t>
      </w:r>
      <w:r>
        <w:rPr>
          <w:rFonts w:hint="eastAsia"/>
          <w:b w:val="0"/>
          <w:bCs w:val="0"/>
        </w:rPr>
        <w:t xml:space="preserve"> </w:t>
      </w:r>
      <w:r>
        <w:rPr>
          <w:rFonts w:hint="eastAsia"/>
        </w:rPr>
        <w:t>Index system</w:t>
      </w:r>
    </w:p>
    <w:tbl>
      <w:tblPr>
        <w:tblStyle w:val="5"/>
        <w:tblW w:w="8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839"/>
        <w:gridCol w:w="1241"/>
        <w:gridCol w:w="839"/>
        <w:gridCol w:w="1938"/>
        <w:gridCol w:w="1079"/>
        <w:gridCol w:w="1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7" w:type="dxa"/>
            <w:shd w:val="clear" w:color="auto" w:fill="00206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eastAsia="宋体" w:cs="Calibri"/>
                <w:b/>
                <w:bCs/>
                <w:color w:val="FFFFFF" w:themeColor="background1"/>
                <w:sz w:val="15"/>
                <w:szCs w:val="15"/>
                <w:lang w:val="en-US" w:eastAsia="zh-CN"/>
                <w14:textFill>
                  <w14:solidFill>
                    <w14:schemeClr w14:val="bg1"/>
                  </w14:solidFill>
                </w14:textFill>
              </w:rPr>
            </w:pPr>
            <w:r>
              <w:rPr>
                <w:rFonts w:hint="eastAsia" w:cs="Calibri"/>
                <w:b/>
                <w:bCs/>
                <w:color w:val="FFFFFF" w:themeColor="background1"/>
                <w:sz w:val="15"/>
                <w:szCs w:val="15"/>
                <w:lang w:val="en-US" w:eastAsia="zh-CN"/>
                <w14:textFill>
                  <w14:solidFill>
                    <w14:schemeClr w14:val="bg1"/>
                  </w14:solidFill>
                </w14:textFill>
              </w:rPr>
              <w:t>OHgi</w:t>
            </w:r>
          </w:p>
        </w:tc>
        <w:tc>
          <w:tcPr>
            <w:tcW w:w="839" w:type="dxa"/>
            <w:shd w:val="clear" w:color="auto" w:fill="00206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b/>
                <w:bCs/>
                <w:color w:val="FFFFFF" w:themeColor="background1"/>
                <w:sz w:val="15"/>
                <w:szCs w:val="15"/>
                <w14:textFill>
                  <w14:solidFill>
                    <w14:schemeClr w14:val="bg1"/>
                  </w14:solidFill>
                </w14:textFill>
              </w:rPr>
            </w:pPr>
            <w:r>
              <w:rPr>
                <w:rFonts w:eastAsia="等线" w:cs="Calibri"/>
                <w:b/>
                <w:bCs/>
                <w:color w:val="FFFFFF" w:themeColor="background1"/>
                <w:kern w:val="0"/>
                <w:sz w:val="15"/>
                <w:szCs w:val="15"/>
                <w:lang w:bidi="ar"/>
                <w14:textFill>
                  <w14:solidFill>
                    <w14:schemeClr w14:val="bg1"/>
                  </w14:solidFill>
                </w14:textFill>
              </w:rPr>
              <w:t>First indicator weight</w:t>
            </w:r>
          </w:p>
        </w:tc>
        <w:tc>
          <w:tcPr>
            <w:tcW w:w="1241" w:type="dxa"/>
            <w:shd w:val="clear" w:color="auto" w:fill="00206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b/>
                <w:bCs/>
                <w:color w:val="FFFFFF" w:themeColor="background1"/>
                <w:sz w:val="15"/>
                <w:szCs w:val="15"/>
                <w14:textFill>
                  <w14:solidFill>
                    <w14:schemeClr w14:val="bg1"/>
                  </w14:solidFill>
                </w14:textFill>
              </w:rPr>
            </w:pPr>
            <w:r>
              <w:rPr>
                <w:rFonts w:eastAsia="等线" w:cs="Calibri"/>
                <w:b/>
                <w:bCs/>
                <w:color w:val="FFFFFF" w:themeColor="background1"/>
                <w:kern w:val="0"/>
                <w:sz w:val="15"/>
                <w:szCs w:val="15"/>
                <w:lang w:bidi="ar"/>
                <w14:textFill>
                  <w14:solidFill>
                    <w14:schemeClr w14:val="bg1"/>
                  </w14:solidFill>
                </w14:textFill>
              </w:rPr>
              <w:t xml:space="preserve">indicator </w:t>
            </w:r>
          </w:p>
        </w:tc>
        <w:tc>
          <w:tcPr>
            <w:tcW w:w="839" w:type="dxa"/>
            <w:shd w:val="clear" w:color="auto" w:fill="00206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b/>
                <w:bCs/>
                <w:color w:val="FFFFFF" w:themeColor="background1"/>
                <w:sz w:val="15"/>
                <w:szCs w:val="15"/>
                <w14:textFill>
                  <w14:solidFill>
                    <w14:schemeClr w14:val="bg1"/>
                  </w14:solidFill>
                </w14:textFill>
              </w:rPr>
            </w:pPr>
            <w:r>
              <w:rPr>
                <w:rFonts w:eastAsia="等线" w:cs="Calibri"/>
                <w:b/>
                <w:bCs/>
                <w:color w:val="FFFFFF" w:themeColor="background1"/>
                <w:kern w:val="0"/>
                <w:sz w:val="15"/>
                <w:szCs w:val="15"/>
                <w:lang w:bidi="ar"/>
                <w14:textFill>
                  <w14:solidFill>
                    <w14:schemeClr w14:val="bg1"/>
                  </w14:solidFill>
                </w14:textFill>
              </w:rPr>
              <w:t>Second indicator weight</w:t>
            </w:r>
          </w:p>
        </w:tc>
        <w:tc>
          <w:tcPr>
            <w:tcW w:w="1938" w:type="dxa"/>
            <w:shd w:val="clear" w:color="auto" w:fill="00206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b/>
                <w:bCs/>
                <w:color w:val="FFFFFF" w:themeColor="background1"/>
                <w:sz w:val="15"/>
                <w:szCs w:val="15"/>
                <w14:textFill>
                  <w14:solidFill>
                    <w14:schemeClr w14:val="bg1"/>
                  </w14:solidFill>
                </w14:textFill>
              </w:rPr>
            </w:pPr>
            <w:r>
              <w:rPr>
                <w:rFonts w:hint="eastAsia" w:eastAsia="等线" w:cs="Calibri"/>
                <w:b/>
                <w:bCs/>
                <w:color w:val="FFFFFF" w:themeColor="background1"/>
                <w:kern w:val="0"/>
                <w:sz w:val="15"/>
                <w:szCs w:val="15"/>
                <w:lang w:val="en-US" w:eastAsia="zh-CN" w:bidi="ar"/>
                <w14:textFill>
                  <w14:solidFill>
                    <w14:schemeClr w14:val="bg1"/>
                  </w14:solidFill>
                </w14:textFill>
              </w:rPr>
              <w:t>Sub-</w:t>
            </w:r>
            <w:r>
              <w:rPr>
                <w:rFonts w:eastAsia="等线" w:cs="Calibri"/>
                <w:b/>
                <w:bCs/>
                <w:color w:val="FFFFFF" w:themeColor="background1"/>
                <w:kern w:val="0"/>
                <w:sz w:val="15"/>
                <w:szCs w:val="15"/>
                <w:lang w:bidi="ar"/>
                <w14:textFill>
                  <w14:solidFill>
                    <w14:schemeClr w14:val="bg1"/>
                  </w14:solidFill>
                </w14:textFill>
              </w:rPr>
              <w:t>indicator</w:t>
            </w:r>
          </w:p>
        </w:tc>
        <w:tc>
          <w:tcPr>
            <w:tcW w:w="1079" w:type="dxa"/>
            <w:shd w:val="clear" w:color="auto" w:fill="00206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b/>
                <w:bCs/>
                <w:color w:val="FFFFFF" w:themeColor="background1"/>
                <w:sz w:val="15"/>
                <w:szCs w:val="15"/>
                <w14:textFill>
                  <w14:solidFill>
                    <w14:schemeClr w14:val="bg1"/>
                  </w14:solidFill>
                </w14:textFill>
              </w:rPr>
            </w:pPr>
            <w:r>
              <w:rPr>
                <w:rFonts w:hint="eastAsia" w:eastAsia="等线" w:cs="Calibri"/>
                <w:b/>
                <w:bCs/>
                <w:color w:val="FFFFFF" w:themeColor="background1"/>
                <w:kern w:val="0"/>
                <w:sz w:val="15"/>
                <w:szCs w:val="15"/>
                <w:lang w:val="en-US" w:eastAsia="zh-CN" w:bidi="ar"/>
                <w14:textFill>
                  <w14:solidFill>
                    <w14:schemeClr w14:val="bg1"/>
                  </w14:solidFill>
                </w14:textFill>
              </w:rPr>
              <w:t>Sub-</w:t>
            </w:r>
            <w:r>
              <w:rPr>
                <w:rFonts w:eastAsia="等线" w:cs="Calibri"/>
                <w:b/>
                <w:bCs/>
                <w:color w:val="FFFFFF" w:themeColor="background1"/>
                <w:kern w:val="0"/>
                <w:sz w:val="15"/>
                <w:szCs w:val="15"/>
                <w:lang w:bidi="ar"/>
                <w14:textFill>
                  <w14:solidFill>
                    <w14:schemeClr w14:val="bg1"/>
                  </w14:solidFill>
                </w14:textFill>
              </w:rPr>
              <w:t>indicato</w:t>
            </w:r>
            <w:r>
              <w:rPr>
                <w:rFonts w:hint="eastAsia" w:eastAsia="等线" w:cs="Calibri"/>
                <w:b/>
                <w:bCs/>
                <w:color w:val="FFFFFF" w:themeColor="background1"/>
                <w:kern w:val="0"/>
                <w:sz w:val="15"/>
                <w:szCs w:val="15"/>
                <w:lang w:val="en-US" w:eastAsia="zh-CN" w:bidi="ar"/>
                <w14:textFill>
                  <w14:solidFill>
                    <w14:schemeClr w14:val="bg1"/>
                  </w14:solidFill>
                </w14:textFill>
              </w:rPr>
              <w:t xml:space="preserve">r </w:t>
            </w:r>
            <w:r>
              <w:rPr>
                <w:rFonts w:eastAsia="等线" w:cs="Calibri"/>
                <w:b/>
                <w:bCs/>
                <w:color w:val="FFFFFF" w:themeColor="background1"/>
                <w:kern w:val="0"/>
                <w:sz w:val="15"/>
                <w:szCs w:val="15"/>
                <w:lang w:bidi="ar"/>
                <w14:textFill>
                  <w14:solidFill>
                    <w14:schemeClr w14:val="bg1"/>
                  </w14:solidFill>
                </w14:textFill>
              </w:rPr>
              <w:t>weight</w:t>
            </w:r>
          </w:p>
        </w:tc>
        <w:tc>
          <w:tcPr>
            <w:tcW w:w="1754" w:type="dxa"/>
            <w:shd w:val="clear" w:color="auto" w:fill="00206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b/>
                <w:bCs/>
                <w:color w:val="FFFFFF" w:themeColor="background1"/>
                <w:sz w:val="15"/>
                <w:szCs w:val="15"/>
                <w14:textFill>
                  <w14:solidFill>
                    <w14:schemeClr w14:val="bg1"/>
                  </w14:solidFill>
                </w14:textFill>
              </w:rPr>
            </w:pPr>
            <w:r>
              <w:rPr>
                <w:rFonts w:eastAsia="等线" w:cs="Calibri"/>
                <w:b/>
                <w:bCs/>
                <w:color w:val="FFFFFF" w:themeColor="background1"/>
                <w:kern w:val="0"/>
                <w:sz w:val="15"/>
                <w:szCs w:val="15"/>
                <w:lang w:bidi="ar"/>
                <w14:textFill>
                  <w14:solidFill>
                    <w14:schemeClr w14:val="bg1"/>
                  </w14:solidFill>
                </w14:textFill>
              </w:rPr>
              <w:t>Source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7" w:type="dxa"/>
            <w:vMerge w:val="restart"/>
            <w:shd w:val="clear" w:color="auto" w:fill="CFCECE" w:themeFill="background2" w:themeFillShade="E5"/>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b w:val="0"/>
                <w:bCs w:val="0"/>
                <w:sz w:val="15"/>
                <w:szCs w:val="15"/>
              </w:rPr>
            </w:pPr>
            <w:r>
              <w:rPr>
                <w:rFonts w:cs="Calibri"/>
                <w:b w:val="0"/>
                <w:bCs w:val="0"/>
                <w:sz w:val="15"/>
                <w:szCs w:val="15"/>
              </w:rPr>
              <w:t xml:space="preserve"> Good Governance</w:t>
            </w:r>
          </w:p>
        </w:tc>
        <w:tc>
          <w:tcPr>
            <w:tcW w:w="839" w:type="dxa"/>
            <w:vMerge w:val="restart"/>
            <w:shd w:val="clear" w:color="auto" w:fill="CFCECE" w:themeFill="background2" w:themeFillShade="E5"/>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b/>
                <w:bCs/>
                <w:sz w:val="15"/>
                <w:szCs w:val="15"/>
              </w:rPr>
            </w:pPr>
            <w:r>
              <w:rPr>
                <w:rFonts w:eastAsia="等线" w:cs="Calibri"/>
                <w:b/>
                <w:bCs/>
                <w:color w:val="000000"/>
                <w:kern w:val="0"/>
                <w:sz w:val="15"/>
                <w:szCs w:val="15"/>
                <w:lang w:bidi="ar"/>
              </w:rPr>
              <w:t>1</w:t>
            </w:r>
          </w:p>
        </w:tc>
        <w:tc>
          <w:tcPr>
            <w:tcW w:w="1241" w:type="dxa"/>
            <w:vMerge w:val="restart"/>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color w:val="000000"/>
                <w:sz w:val="15"/>
                <w:szCs w:val="15"/>
              </w:rPr>
            </w:pPr>
            <w:r>
              <w:rPr>
                <w:rFonts w:cs="Calibri"/>
                <w:color w:val="000000"/>
                <w:kern w:val="0"/>
                <w:sz w:val="15"/>
                <w:szCs w:val="15"/>
                <w:lang w:bidi="ar"/>
              </w:rPr>
              <w:t>Participation</w:t>
            </w:r>
          </w:p>
        </w:tc>
        <w:tc>
          <w:tcPr>
            <w:tcW w:w="839" w:type="dxa"/>
            <w:vMerge w:val="restart"/>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r>
              <w:rPr>
                <w:rFonts w:eastAsia="等线" w:cs="Calibri"/>
                <w:color w:val="000000"/>
                <w:kern w:val="0"/>
                <w:sz w:val="15"/>
                <w:szCs w:val="15"/>
                <w:lang w:bidi="ar"/>
              </w:rPr>
              <w:t>10.97%</w:t>
            </w: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Style w:val="9"/>
                <w:rFonts w:ascii="Calibri" w:hAnsi="Calibri" w:cs="Calibri"/>
                <w:sz w:val="15"/>
                <w:szCs w:val="15"/>
                <w:lang w:bidi="ar"/>
              </w:rPr>
              <w:t>Global Connectivity</w:t>
            </w:r>
            <w:r>
              <w:rPr>
                <w:rStyle w:val="10"/>
                <w:rFonts w:ascii="Calibri" w:hAnsi="Calibri" w:cs="Calibri"/>
                <w:sz w:val="15"/>
                <w:szCs w:val="15"/>
                <w:lang w:bidi="ar"/>
              </w:rPr>
              <w:t xml:space="preserve"> </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25.00%</w:t>
            </w:r>
          </w:p>
        </w:tc>
        <w:tc>
          <w:tcPr>
            <w:tcW w:w="1754" w:type="dxa"/>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eastAsia="等线" w:cs="Calibri"/>
                <w:color w:val="000000"/>
                <w:kern w:val="0"/>
                <w:sz w:val="15"/>
                <w:szCs w:val="15"/>
                <w:lang w:bidi="ar"/>
              </w:rPr>
              <w:t>From third partner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241"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839"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Risk communication</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25.00%</w:t>
            </w:r>
          </w:p>
        </w:tc>
        <w:tc>
          <w:tcPr>
            <w:tcW w:w="1754" w:type="dxa"/>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eastAsia="等线" w:cs="Calibri"/>
                <w:color w:val="000000"/>
                <w:kern w:val="0"/>
                <w:sz w:val="15"/>
                <w:szCs w:val="15"/>
                <w:lang w:bidi="ar"/>
              </w:rPr>
              <w:t>From third partner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241"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839"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One Health Association</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25.00%</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self-evaluated 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8" w:hRule="atLeast"/>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241"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839"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One Health Forums</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25.00%</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self-evaluated 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p>
        </w:tc>
        <w:tc>
          <w:tcPr>
            <w:tcW w:w="1241" w:type="dxa"/>
            <w:vMerge w:val="restart"/>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cs="Calibri"/>
                <w:sz w:val="15"/>
                <w:szCs w:val="15"/>
              </w:rPr>
              <w:t xml:space="preserve">Rule of law </w:t>
            </w:r>
          </w:p>
        </w:tc>
        <w:tc>
          <w:tcPr>
            <w:tcW w:w="839" w:type="dxa"/>
            <w:vMerge w:val="restart"/>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r>
              <w:rPr>
                <w:rFonts w:eastAsia="等线" w:cs="Calibri"/>
                <w:color w:val="000000"/>
                <w:kern w:val="0"/>
                <w:sz w:val="15"/>
                <w:szCs w:val="15"/>
                <w:lang w:bidi="ar"/>
              </w:rPr>
              <w:t>15.75%</w:t>
            </w: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 xml:space="preserve">General rule of law </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50.00%</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third partner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241"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839"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cs="Calibri"/>
                <w:sz w:val="15"/>
                <w:szCs w:val="15"/>
              </w:rPr>
            </w:pPr>
            <w:r>
              <w:rPr>
                <w:rFonts w:cs="Calibri"/>
                <w:color w:val="000000"/>
                <w:kern w:val="0"/>
                <w:sz w:val="15"/>
                <w:szCs w:val="15"/>
                <w:lang w:bidi="ar"/>
              </w:rPr>
              <w:t>One Health  Specilized law &amp; Regulation</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50.00%</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self-evaluated 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p>
        </w:tc>
        <w:tc>
          <w:tcPr>
            <w:tcW w:w="124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cs="Calibri"/>
                <w:sz w:val="15"/>
                <w:szCs w:val="15"/>
              </w:rPr>
              <w:t xml:space="preserve">Transparency </w:t>
            </w:r>
          </w:p>
        </w:tc>
        <w:tc>
          <w:tcPr>
            <w:tcW w:w="83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r>
              <w:rPr>
                <w:rFonts w:eastAsia="等线" w:cs="Calibri"/>
                <w:color w:val="000000"/>
                <w:kern w:val="0"/>
                <w:sz w:val="15"/>
                <w:szCs w:val="15"/>
                <w:lang w:bidi="ar"/>
              </w:rPr>
              <w:t>9.98%</w:t>
            </w: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 xml:space="preserve">Transparency </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100.00%</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third partner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p>
        </w:tc>
        <w:tc>
          <w:tcPr>
            <w:tcW w:w="1241" w:type="dxa"/>
            <w:vMerge w:val="restart"/>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cs="Calibri"/>
                <w:sz w:val="15"/>
                <w:szCs w:val="15"/>
              </w:rPr>
              <w:t xml:space="preserve">Responsiveness </w:t>
            </w:r>
          </w:p>
        </w:tc>
        <w:tc>
          <w:tcPr>
            <w:tcW w:w="839" w:type="dxa"/>
            <w:vMerge w:val="restart"/>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r>
              <w:rPr>
                <w:rFonts w:eastAsia="等线" w:cs="Calibri"/>
                <w:color w:val="000000"/>
                <w:kern w:val="0"/>
                <w:sz w:val="15"/>
                <w:szCs w:val="15"/>
                <w:lang w:bidi="ar"/>
              </w:rPr>
              <w:t>12.56%</w:t>
            </w: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 xml:space="preserve"> Emergency response operation   </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50.00%</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third partner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241"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839"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 xml:space="preserve">Exercising response plans   </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50.00%</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third partner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00" w:hRule="atLeast"/>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p>
        </w:tc>
        <w:tc>
          <w:tcPr>
            <w:tcW w:w="1241" w:type="dxa"/>
            <w:vMerge w:val="restart"/>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cs="Calibri"/>
                <w:sz w:val="15"/>
                <w:szCs w:val="15"/>
              </w:rPr>
              <w:t xml:space="preserve">Consensus oriented </w:t>
            </w:r>
          </w:p>
        </w:tc>
        <w:tc>
          <w:tcPr>
            <w:tcW w:w="839" w:type="dxa"/>
            <w:vMerge w:val="restart"/>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r>
              <w:rPr>
                <w:rFonts w:eastAsia="等线" w:cs="Calibri"/>
                <w:color w:val="000000"/>
                <w:kern w:val="0"/>
                <w:sz w:val="15"/>
                <w:szCs w:val="15"/>
                <w:lang w:bidi="ar"/>
              </w:rPr>
              <w:t>10.84%</w:t>
            </w: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hint="eastAsia" w:cs="Calibri"/>
                <w:color w:val="000000"/>
                <w:kern w:val="0"/>
                <w:sz w:val="15"/>
                <w:szCs w:val="15"/>
                <w:lang w:val="en-US" w:eastAsia="zh" w:bidi="ar"/>
              </w:rPr>
              <w:t>General c</w:t>
            </w:r>
            <w:r>
              <w:rPr>
                <w:rFonts w:cs="Calibri"/>
                <w:color w:val="000000"/>
                <w:kern w:val="0"/>
                <w:sz w:val="15"/>
                <w:szCs w:val="15"/>
                <w:lang w:bidi="ar"/>
              </w:rPr>
              <w:t xml:space="preserve">onsensus oriented </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50.00%</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third partner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p>
        </w:tc>
        <w:tc>
          <w:tcPr>
            <w:tcW w:w="1241"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839"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eastAsia="等线" w:cs="Calibri"/>
                <w:color w:val="000000"/>
                <w:kern w:val="0"/>
                <w:sz w:val="15"/>
                <w:szCs w:val="15"/>
                <w:lang w:bidi="ar"/>
              </w:rPr>
            </w:pP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One Health Education</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eastAsia="等线" w:cs="Calibri"/>
                <w:color w:val="000000"/>
                <w:kern w:val="0"/>
                <w:sz w:val="15"/>
                <w:szCs w:val="15"/>
                <w:lang w:bidi="ar"/>
              </w:rPr>
            </w:pPr>
            <w:r>
              <w:rPr>
                <w:rFonts w:cs="Calibri"/>
                <w:color w:val="000000"/>
                <w:kern w:val="0"/>
                <w:sz w:val="15"/>
                <w:szCs w:val="15"/>
                <w:lang w:bidi="ar"/>
              </w:rPr>
              <w:t>50.00%</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self-evaluated 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p>
        </w:tc>
        <w:tc>
          <w:tcPr>
            <w:tcW w:w="1241" w:type="dxa"/>
            <w:vMerge w:val="restart"/>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cs="Calibri"/>
                <w:sz w:val="15"/>
                <w:szCs w:val="15"/>
              </w:rPr>
              <w:t xml:space="preserve">Equity and inclusiveness </w:t>
            </w:r>
          </w:p>
        </w:tc>
        <w:tc>
          <w:tcPr>
            <w:tcW w:w="839" w:type="dxa"/>
            <w:vMerge w:val="restart"/>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r>
              <w:rPr>
                <w:rFonts w:eastAsia="等线" w:cs="Calibri"/>
                <w:color w:val="000000"/>
                <w:kern w:val="0"/>
                <w:sz w:val="15"/>
                <w:szCs w:val="15"/>
                <w:lang w:bidi="ar"/>
              </w:rPr>
              <w:t>13.79%</w:t>
            </w: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Zoonotic disease governance</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eastAsia="等线" w:cs="Calibri"/>
                <w:color w:val="000000"/>
                <w:kern w:val="0"/>
                <w:sz w:val="15"/>
                <w:szCs w:val="15"/>
                <w:lang w:bidi="ar"/>
              </w:rPr>
            </w:pPr>
            <w:r>
              <w:rPr>
                <w:rFonts w:cs="Calibri"/>
                <w:color w:val="000000"/>
                <w:kern w:val="0"/>
                <w:sz w:val="15"/>
                <w:szCs w:val="15"/>
                <w:lang w:bidi="ar"/>
              </w:rPr>
              <w:t>33.33%</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third partner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p>
        </w:tc>
        <w:tc>
          <w:tcPr>
            <w:tcW w:w="1241"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839"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 xml:space="preserve">Protected Areas Representativeness   </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33.33%</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third partner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241"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839"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 xml:space="preserve">Sustainable Nitrogen Management  </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33.33%</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third partner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p>
        </w:tc>
        <w:tc>
          <w:tcPr>
            <w:tcW w:w="124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cs="Calibri"/>
                <w:sz w:val="15"/>
                <w:szCs w:val="15"/>
              </w:rPr>
              <w:t xml:space="preserve">Effectiveness and Efficiency </w:t>
            </w:r>
          </w:p>
        </w:tc>
        <w:tc>
          <w:tcPr>
            <w:tcW w:w="83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Calibri"/>
                <w:sz w:val="15"/>
                <w:szCs w:val="15"/>
              </w:rPr>
            </w:pPr>
            <w:r>
              <w:rPr>
                <w:rFonts w:eastAsia="等线" w:cs="Calibri"/>
                <w:color w:val="000000"/>
                <w:kern w:val="0"/>
                <w:sz w:val="15"/>
                <w:szCs w:val="15"/>
                <w:lang w:bidi="ar"/>
              </w:rPr>
              <w:t>13.</w:t>
            </w:r>
            <w:r>
              <w:rPr>
                <w:rFonts w:hint="eastAsia" w:eastAsia="等线" w:cs="Calibri"/>
                <w:color w:val="000000"/>
                <w:kern w:val="0"/>
                <w:sz w:val="15"/>
                <w:szCs w:val="15"/>
                <w:lang w:val="en-US" w:eastAsia="zh-CN" w:bidi="ar"/>
              </w:rPr>
              <w:t>18</w:t>
            </w:r>
            <w:r>
              <w:rPr>
                <w:rFonts w:eastAsia="等线" w:cs="Calibri"/>
                <w:color w:val="000000"/>
                <w:kern w:val="0"/>
                <w:sz w:val="15"/>
                <w:szCs w:val="15"/>
                <w:lang w:bidi="ar"/>
              </w:rPr>
              <w:t>%</w:t>
            </w: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 xml:space="preserve">Government effectiveness </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100.00%</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third partner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p>
        </w:tc>
        <w:tc>
          <w:tcPr>
            <w:tcW w:w="1241" w:type="dxa"/>
            <w:vMerge w:val="restart"/>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cs="Calibri"/>
                <w:sz w:val="15"/>
                <w:szCs w:val="15"/>
              </w:rPr>
              <w:t xml:space="preserve">Political support </w:t>
            </w:r>
          </w:p>
        </w:tc>
        <w:tc>
          <w:tcPr>
            <w:tcW w:w="839" w:type="dxa"/>
            <w:vMerge w:val="restart"/>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eastAsia="等线" w:cs="Calibri"/>
                <w:color w:val="000000"/>
                <w:kern w:val="0"/>
                <w:sz w:val="15"/>
                <w:szCs w:val="15"/>
                <w:lang w:bidi="ar"/>
              </w:rPr>
              <w:t>12.93%</w:t>
            </w: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One Health Official Department</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25.00%</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self-evaluated 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241"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839"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Control of Corruption</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25.00%</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third partner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241"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839"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Regulatory Quality</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25.00%</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third partner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Merge w:val="continue"/>
            <w:shd w:val="clear" w:color="auto" w:fill="CFCECE" w:themeFill="background2" w:themeFillShade="E5"/>
          </w:tcPr>
          <w:p>
            <w:pPr>
              <w:keepNext w:val="0"/>
              <w:keepLines w:val="0"/>
              <w:pageBreakBefore w:val="0"/>
              <w:kinsoku/>
              <w:wordWrap/>
              <w:overflowPunct/>
              <w:topLinePunct w:val="0"/>
              <w:autoSpaceDE/>
              <w:autoSpaceDN/>
              <w:bidi w:val="0"/>
              <w:adjustRightInd w:val="0"/>
              <w:snapToGrid w:val="0"/>
              <w:spacing w:line="240" w:lineRule="auto"/>
              <w:rPr>
                <w:rFonts w:cs="Calibri"/>
                <w:sz w:val="15"/>
                <w:szCs w:val="15"/>
              </w:rPr>
            </w:pPr>
          </w:p>
        </w:tc>
        <w:tc>
          <w:tcPr>
            <w:tcW w:w="839" w:type="dxa"/>
            <w:vMerge w:val="continue"/>
            <w:shd w:val="clear" w:color="auto" w:fill="CFCECE" w:themeFill="background2" w:themeFillShade="E5"/>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241"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839"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p>
        </w:tc>
        <w:tc>
          <w:tcPr>
            <w:tcW w:w="1938"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Government spending</w:t>
            </w:r>
          </w:p>
        </w:tc>
        <w:tc>
          <w:tcPr>
            <w:tcW w:w="1079"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Calibri"/>
                <w:sz w:val="15"/>
                <w:szCs w:val="15"/>
              </w:rPr>
            </w:pPr>
            <w:r>
              <w:rPr>
                <w:rFonts w:cs="Calibri"/>
                <w:color w:val="000000"/>
                <w:kern w:val="0"/>
                <w:sz w:val="15"/>
                <w:szCs w:val="15"/>
                <w:lang w:bidi="ar"/>
              </w:rPr>
              <w:t>25.00%</w:t>
            </w:r>
          </w:p>
        </w:tc>
        <w:tc>
          <w:tcPr>
            <w:tcW w:w="175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cs="Calibri"/>
                <w:sz w:val="15"/>
                <w:szCs w:val="15"/>
              </w:rPr>
            </w:pPr>
            <w:r>
              <w:rPr>
                <w:rFonts w:eastAsia="等线" w:cs="Calibri"/>
                <w:color w:val="000000"/>
                <w:kern w:val="0"/>
                <w:sz w:val="15"/>
                <w:szCs w:val="15"/>
                <w:lang w:bidi="ar"/>
              </w:rPr>
              <w:t>From third partner database</w:t>
            </w:r>
          </w:p>
        </w:tc>
      </w:tr>
    </w:tbl>
    <w:p>
      <w:pPr>
        <w:pStyle w:val="8"/>
        <w:keepNext w:val="0"/>
        <w:keepLines w:val="0"/>
        <w:pageBreakBefore w:val="0"/>
        <w:kinsoku/>
        <w:wordWrap/>
        <w:overflowPunct/>
        <w:topLinePunct w:val="0"/>
        <w:autoSpaceDE/>
        <w:autoSpaceDN/>
        <w:bidi w:val="0"/>
        <w:adjustRightInd w:val="0"/>
        <w:snapToGrid w:val="0"/>
        <w:spacing w:line="240" w:lineRule="auto"/>
        <w:ind w:firstLine="0" w:firstLineChars="0"/>
        <w:rPr>
          <w:rFonts w:ascii="Times New Roman" w:hAnsi="Times New Roman" w:eastAsia="仿宋"/>
          <w:sz w:val="30"/>
          <w:szCs w:val="30"/>
        </w:rPr>
      </w:pPr>
    </w:p>
    <w:p>
      <w:pPr>
        <w:keepNext w:val="0"/>
        <w:keepLines w:val="0"/>
        <w:pageBreakBefore w:val="0"/>
        <w:kinsoku/>
        <w:wordWrap/>
        <w:overflowPunct/>
        <w:topLinePunct w:val="0"/>
        <w:autoSpaceDE/>
        <w:autoSpaceDN/>
        <w:bidi w:val="0"/>
        <w:adjustRightInd w:val="0"/>
        <w:snapToGrid w:val="0"/>
        <w:spacing w:line="240" w:lineRule="auto"/>
        <w:rPr>
          <w:rFonts w:hint="eastAsia"/>
        </w:rPr>
      </w:pPr>
    </w:p>
    <w:p>
      <w:pPr>
        <w:pStyle w:val="8"/>
        <w:keepNext w:val="0"/>
        <w:keepLines w:val="0"/>
        <w:pageBreakBefore w:val="0"/>
        <w:kinsoku/>
        <w:wordWrap/>
        <w:overflowPunct/>
        <w:topLinePunct w:val="0"/>
        <w:autoSpaceDE/>
        <w:autoSpaceDN/>
        <w:bidi w:val="0"/>
        <w:adjustRightInd w:val="0"/>
        <w:snapToGrid w:val="0"/>
        <w:spacing w:line="240" w:lineRule="auto"/>
        <w:rPr>
          <w:rFonts w:ascii="Times New Roman" w:hAnsi="Times New Roman" w:eastAsia="仿宋"/>
          <w:szCs w:val="21"/>
        </w:rPr>
      </w:pPr>
    </w:p>
    <w:p>
      <w:pPr>
        <w:keepNext w:val="0"/>
        <w:keepLines w:val="0"/>
        <w:pageBreakBefore w:val="0"/>
        <w:kinsoku/>
        <w:wordWrap/>
        <w:overflowPunct/>
        <w:topLinePunct w:val="0"/>
        <w:autoSpaceDE/>
        <w:autoSpaceDN/>
        <w:bidi w:val="0"/>
        <w:adjustRightInd w:val="0"/>
        <w:snapToGrid w:val="0"/>
        <w:spacing w:line="240" w:lineRule="auto"/>
        <w:rPr>
          <w:rFonts w:hint="eastAsia" w:ascii="Calibri" w:hAnsi="Calibri" w:eastAsia="宋体" w:cs="Times New Roman"/>
          <w:b/>
          <w:bCs/>
          <w:kern w:val="2"/>
          <w:sz w:val="21"/>
          <w:szCs w:val="24"/>
          <w:lang w:val="en-US" w:eastAsia="zh-CN" w:bidi="ar-SA"/>
        </w:rPr>
      </w:pPr>
      <w:r>
        <w:rPr>
          <w:rFonts w:hint="eastAsia" w:cs="Times New Roman"/>
          <w:b/>
          <w:bCs/>
          <w:kern w:val="2"/>
          <w:sz w:val="21"/>
          <w:szCs w:val="24"/>
          <w:lang w:val="en-US" w:eastAsia="zh" w:bidi="ar-SA"/>
        </w:rPr>
        <w:t>1.</w:t>
      </w:r>
      <w:r>
        <w:rPr>
          <w:rFonts w:hint="eastAsia" w:cs="Times New Roman"/>
          <w:b/>
          <w:bCs/>
          <w:kern w:val="2"/>
          <w:sz w:val="21"/>
          <w:szCs w:val="24"/>
          <w:lang w:val="en-US" w:eastAsia="zh-CN" w:bidi="ar-SA"/>
        </w:rPr>
        <w:t>4</w:t>
      </w:r>
      <w:r>
        <w:rPr>
          <w:rFonts w:hint="eastAsia" w:cs="Times New Roman"/>
          <w:b/>
          <w:bCs/>
          <w:kern w:val="2"/>
          <w:sz w:val="21"/>
          <w:szCs w:val="24"/>
          <w:lang w:val="en-US" w:eastAsia="zh" w:bidi="ar-SA"/>
        </w:rPr>
        <w:t xml:space="preserve"> </w:t>
      </w:r>
      <w:r>
        <w:rPr>
          <w:rFonts w:hint="eastAsia" w:ascii="Calibri" w:hAnsi="Calibri" w:eastAsia="宋体" w:cs="Times New Roman"/>
          <w:b/>
          <w:bCs/>
          <w:kern w:val="2"/>
          <w:sz w:val="21"/>
          <w:szCs w:val="24"/>
          <w:lang w:val="en-US" w:eastAsia="zh-CN" w:bidi="ar-SA"/>
        </w:rPr>
        <w:t>Limitations</w:t>
      </w:r>
    </w:p>
    <w:p>
      <w:pPr>
        <w:pStyle w:val="8"/>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ascii="Times New Roman" w:hAnsi="Times New Roman" w:eastAsia="仿宋"/>
          <w:szCs w:val="21"/>
          <w:lang w:val="en-US" w:eastAsia="zh"/>
        </w:rPr>
      </w:pPr>
      <w:r>
        <w:rPr>
          <w:rFonts w:hint="eastAsia" w:ascii="Times New Roman" w:hAnsi="Times New Roman" w:eastAsia="仿宋"/>
          <w:szCs w:val="21"/>
        </w:rPr>
        <w:t>The World Health Organization, WB, SDG data, European CDC, World Health Organization, national CDC and other multi-party databases are international well-known organizations or large country databases. Therefore, the data of developed countries are relatively complete, while some data of developing countries are missing. Secondly, there are only data of nearly 1-2 years for many indicators, and there is a lack of continuous and dynamic change results in the evaluation. In the future, we will continue to optimize various indicators and increase the collection of missing data</w:t>
      </w:r>
      <w:r>
        <w:rPr>
          <w:rFonts w:hint="eastAsia" w:ascii="Times New Roman" w:hAnsi="Times New Roman" w:eastAsia="仿宋"/>
          <w:szCs w:val="21"/>
          <w:lang w:val="en-US" w:eastAsia="zh"/>
        </w:rPr>
        <w:t xml:space="preserve"> to make </w:t>
      </w:r>
      <w:r>
        <w:rPr>
          <w:rFonts w:hint="eastAsia" w:ascii="Times New Roman" w:hAnsi="Times New Roman" w:eastAsia="仿宋"/>
          <w:szCs w:val="21"/>
        </w:rPr>
        <w:t>version</w:t>
      </w:r>
      <w:r>
        <w:rPr>
          <w:rFonts w:hint="eastAsia" w:ascii="Times New Roman" w:hAnsi="Times New Roman" w:eastAsia="仿宋"/>
          <w:szCs w:val="21"/>
          <w:lang w:val="en-US" w:eastAsia="zh"/>
        </w:rPr>
        <w:t xml:space="preserve"> of OHGI</w:t>
      </w:r>
      <w:r>
        <w:rPr>
          <w:rFonts w:hint="eastAsia" w:ascii="Times New Roman" w:hAnsi="Times New Roman" w:eastAsia="仿宋"/>
          <w:szCs w:val="21"/>
        </w:rPr>
        <w:t xml:space="preserve"> update</w:t>
      </w:r>
      <w:r>
        <w:rPr>
          <w:rFonts w:hint="eastAsia" w:ascii="Times New Roman" w:hAnsi="Times New Roman" w:eastAsia="仿宋"/>
          <w:szCs w:val="21"/>
          <w:lang w:val="en-US" w:eastAsia="zh"/>
        </w:rPr>
        <w:t>d</w:t>
      </w:r>
      <w:r>
        <w:rPr>
          <w:rFonts w:hint="eastAsia" w:ascii="Times New Roman" w:hAnsi="Times New Roman" w:eastAsia="仿宋"/>
          <w:szCs w:val="21"/>
        </w:rPr>
        <w:t xml:space="preserve">. On the other hand, there is still a lack of data from a country on the </w:t>
      </w:r>
      <w:r>
        <w:rPr>
          <w:rFonts w:hint="eastAsia" w:ascii="Times New Roman" w:hAnsi="Times New Roman" w:eastAsia="仿宋"/>
          <w:szCs w:val="21"/>
          <w:lang w:eastAsia="zh-CN"/>
        </w:rPr>
        <w:t>One Health</w:t>
      </w:r>
      <w:r>
        <w:rPr>
          <w:rFonts w:hint="eastAsia" w:ascii="Times New Roman" w:hAnsi="Times New Roman" w:eastAsia="仿宋"/>
          <w:szCs w:val="21"/>
        </w:rPr>
        <w:t xml:space="preserve"> global governance and </w:t>
      </w:r>
      <w:r>
        <w:rPr>
          <w:rFonts w:hint="eastAsia" w:ascii="Times New Roman" w:hAnsi="Times New Roman" w:eastAsia="仿宋"/>
          <w:szCs w:val="21"/>
          <w:lang w:val="en-US" w:eastAsia="zh"/>
        </w:rPr>
        <w:t>local</w:t>
      </w:r>
      <w:r>
        <w:rPr>
          <w:rFonts w:hint="eastAsia" w:ascii="Times New Roman" w:hAnsi="Times New Roman" w:eastAsia="仿宋"/>
          <w:szCs w:val="21"/>
        </w:rPr>
        <w:t xml:space="preserve"> governance. Because the </w:t>
      </w:r>
      <w:r>
        <w:rPr>
          <w:rFonts w:hint="eastAsia" w:ascii="Times New Roman" w:hAnsi="Times New Roman" w:eastAsia="仿宋"/>
          <w:szCs w:val="21"/>
          <w:lang w:eastAsia="zh-CN"/>
        </w:rPr>
        <w:t>One Health</w:t>
      </w:r>
      <w:r>
        <w:rPr>
          <w:rFonts w:hint="eastAsia" w:ascii="Times New Roman" w:hAnsi="Times New Roman" w:eastAsia="仿宋"/>
          <w:szCs w:val="21"/>
        </w:rPr>
        <w:t xml:space="preserve"> includes the important connotation of global health, this part of data collection is quite difficult. Even if the data are comparable, it is worth discussing. Therefore, the scientifi</w:t>
      </w:r>
      <w:r>
        <w:rPr>
          <w:rFonts w:ascii="Times New Roman" w:hAnsi="Times New Roman" w:eastAsia="仿宋"/>
          <w:szCs w:val="21"/>
        </w:rPr>
        <w:t>ci</w:t>
      </w:r>
      <w:r>
        <w:rPr>
          <w:rFonts w:hint="eastAsia" w:ascii="Times New Roman" w:hAnsi="Times New Roman" w:eastAsia="仿宋"/>
          <w:szCs w:val="21"/>
        </w:rPr>
        <w:t>ty and universality of the indicators will be optimized</w:t>
      </w:r>
      <w:r>
        <w:rPr>
          <w:rFonts w:hint="eastAsia" w:ascii="Times New Roman" w:hAnsi="Times New Roman" w:eastAsia="仿宋"/>
          <w:szCs w:val="21"/>
          <w:lang w:val="en-US" w:eastAsia="zh"/>
        </w:rPr>
        <w:t xml:space="preserve"> </w:t>
      </w:r>
      <w:r>
        <w:rPr>
          <w:rFonts w:hint="eastAsia" w:ascii="Times New Roman" w:hAnsi="Times New Roman" w:eastAsia="仿宋"/>
          <w:szCs w:val="21"/>
        </w:rPr>
        <w:t>in the future</w:t>
      </w:r>
      <w:r>
        <w:rPr>
          <w:rFonts w:hint="eastAsia" w:ascii="Times New Roman" w:hAnsi="Times New Roman" w:eastAsia="仿宋"/>
          <w:szCs w:val="21"/>
          <w:lang w:val="en-US" w:eastAsia="zh"/>
        </w:rPr>
        <w:t>.</w:t>
      </w:r>
    </w:p>
    <w:p>
      <w:pPr>
        <w:pStyle w:val="8"/>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ascii="Times New Roman" w:hAnsi="Times New Roman" w:eastAsia="仿宋"/>
          <w:szCs w:val="21"/>
          <w:lang w:val="en-US" w:eastAsia="zh"/>
        </w:rPr>
      </w:pPr>
    </w:p>
    <w:p>
      <w:pPr>
        <w:pStyle w:val="8"/>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ascii="Times New Roman" w:hAnsi="Times New Roman" w:eastAsia="仿宋"/>
          <w:szCs w:val="21"/>
          <w:lang w:val="en-US" w:eastAsia="zh"/>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FEEB5"/>
    <w:multiLevelType w:val="multilevel"/>
    <w:tmpl w:val="FF1FEEB5"/>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false"/>
  <w:bordersDoNotSurroundFooter w:val="false"/>
  <w:documentProtection w:enforcement="0"/>
  <w:defaultTabStop w:val="420"/>
  <w:displayHorizontalDrawingGridEvery w:val="1"/>
  <w:displayVerticalDrawingGridEvery w:val="1"/>
  <w:noPunctuationKerning w:val="true"/>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1OWNjYzA4MDY5OWZiOTFhMDdhZTk4MjE1NzBmZTIifQ=="/>
  </w:docVars>
  <w:rsids>
    <w:rsidRoot w:val="00861E83"/>
    <w:rsid w:val="000008B0"/>
    <w:rsid w:val="00002734"/>
    <w:rsid w:val="00005DE4"/>
    <w:rsid w:val="000072C3"/>
    <w:rsid w:val="000108B1"/>
    <w:rsid w:val="0001555F"/>
    <w:rsid w:val="0001596A"/>
    <w:rsid w:val="00016E1D"/>
    <w:rsid w:val="00020677"/>
    <w:rsid w:val="0002122A"/>
    <w:rsid w:val="000224B5"/>
    <w:rsid w:val="00022B1B"/>
    <w:rsid w:val="000237A0"/>
    <w:rsid w:val="00023BEF"/>
    <w:rsid w:val="0002597B"/>
    <w:rsid w:val="0003055A"/>
    <w:rsid w:val="00031B69"/>
    <w:rsid w:val="00035FC5"/>
    <w:rsid w:val="000361FB"/>
    <w:rsid w:val="00036474"/>
    <w:rsid w:val="00037D24"/>
    <w:rsid w:val="00043A89"/>
    <w:rsid w:val="00043D21"/>
    <w:rsid w:val="00046222"/>
    <w:rsid w:val="000474EE"/>
    <w:rsid w:val="00050211"/>
    <w:rsid w:val="0005220A"/>
    <w:rsid w:val="000533CB"/>
    <w:rsid w:val="00057371"/>
    <w:rsid w:val="00057B31"/>
    <w:rsid w:val="00063599"/>
    <w:rsid w:val="000647D1"/>
    <w:rsid w:val="000660D1"/>
    <w:rsid w:val="00067020"/>
    <w:rsid w:val="00070007"/>
    <w:rsid w:val="00071427"/>
    <w:rsid w:val="00071908"/>
    <w:rsid w:val="000723F4"/>
    <w:rsid w:val="00076AE6"/>
    <w:rsid w:val="00076BE7"/>
    <w:rsid w:val="000837B8"/>
    <w:rsid w:val="000845A2"/>
    <w:rsid w:val="00091BF5"/>
    <w:rsid w:val="0009453C"/>
    <w:rsid w:val="000A1562"/>
    <w:rsid w:val="000A740B"/>
    <w:rsid w:val="000B22BE"/>
    <w:rsid w:val="000B22E2"/>
    <w:rsid w:val="000B30C7"/>
    <w:rsid w:val="000B351B"/>
    <w:rsid w:val="000C10C6"/>
    <w:rsid w:val="000C18AA"/>
    <w:rsid w:val="000C2B4B"/>
    <w:rsid w:val="000C673F"/>
    <w:rsid w:val="000D2A0B"/>
    <w:rsid w:val="000D46ED"/>
    <w:rsid w:val="000D55B5"/>
    <w:rsid w:val="000D56DF"/>
    <w:rsid w:val="000F2F87"/>
    <w:rsid w:val="000F4295"/>
    <w:rsid w:val="000F77AF"/>
    <w:rsid w:val="00102814"/>
    <w:rsid w:val="00102CB6"/>
    <w:rsid w:val="00103339"/>
    <w:rsid w:val="001046FE"/>
    <w:rsid w:val="00104DAA"/>
    <w:rsid w:val="00110184"/>
    <w:rsid w:val="001112A6"/>
    <w:rsid w:val="00111917"/>
    <w:rsid w:val="00111D3C"/>
    <w:rsid w:val="00112E51"/>
    <w:rsid w:val="00117455"/>
    <w:rsid w:val="00117CCF"/>
    <w:rsid w:val="001204F3"/>
    <w:rsid w:val="00124CB0"/>
    <w:rsid w:val="00126B24"/>
    <w:rsid w:val="001319FB"/>
    <w:rsid w:val="00140630"/>
    <w:rsid w:val="0014324F"/>
    <w:rsid w:val="00143B71"/>
    <w:rsid w:val="001446E7"/>
    <w:rsid w:val="001447D8"/>
    <w:rsid w:val="00146AFB"/>
    <w:rsid w:val="0015027B"/>
    <w:rsid w:val="001506D2"/>
    <w:rsid w:val="00151B7B"/>
    <w:rsid w:val="001567EB"/>
    <w:rsid w:val="0015716C"/>
    <w:rsid w:val="001604D5"/>
    <w:rsid w:val="00162109"/>
    <w:rsid w:val="00162443"/>
    <w:rsid w:val="001636D8"/>
    <w:rsid w:val="001716E5"/>
    <w:rsid w:val="001719FF"/>
    <w:rsid w:val="00172213"/>
    <w:rsid w:val="00187E45"/>
    <w:rsid w:val="00190F2D"/>
    <w:rsid w:val="0019484B"/>
    <w:rsid w:val="00195F67"/>
    <w:rsid w:val="001B4246"/>
    <w:rsid w:val="001B6682"/>
    <w:rsid w:val="001C0CD6"/>
    <w:rsid w:val="001C2B81"/>
    <w:rsid w:val="001C4AF7"/>
    <w:rsid w:val="001C56AE"/>
    <w:rsid w:val="001D2E2D"/>
    <w:rsid w:val="001D471B"/>
    <w:rsid w:val="001D53FB"/>
    <w:rsid w:val="001D621E"/>
    <w:rsid w:val="001E0703"/>
    <w:rsid w:val="001E0F9E"/>
    <w:rsid w:val="001F18A9"/>
    <w:rsid w:val="001F1E4A"/>
    <w:rsid w:val="001F2735"/>
    <w:rsid w:val="001F4546"/>
    <w:rsid w:val="0020211B"/>
    <w:rsid w:val="00202410"/>
    <w:rsid w:val="00204C93"/>
    <w:rsid w:val="002054E4"/>
    <w:rsid w:val="00211AB7"/>
    <w:rsid w:val="002125E0"/>
    <w:rsid w:val="0021364F"/>
    <w:rsid w:val="0022089E"/>
    <w:rsid w:val="00220A03"/>
    <w:rsid w:val="00223F2C"/>
    <w:rsid w:val="0022425D"/>
    <w:rsid w:val="00231C91"/>
    <w:rsid w:val="00231EED"/>
    <w:rsid w:val="00232C05"/>
    <w:rsid w:val="00237349"/>
    <w:rsid w:val="0023750E"/>
    <w:rsid w:val="00242EAA"/>
    <w:rsid w:val="00244B1E"/>
    <w:rsid w:val="00245614"/>
    <w:rsid w:val="00246FE4"/>
    <w:rsid w:val="002522EF"/>
    <w:rsid w:val="002530E4"/>
    <w:rsid w:val="00260A90"/>
    <w:rsid w:val="00260B5B"/>
    <w:rsid w:val="0026183F"/>
    <w:rsid w:val="002620BB"/>
    <w:rsid w:val="0026245C"/>
    <w:rsid w:val="00263EE2"/>
    <w:rsid w:val="00264427"/>
    <w:rsid w:val="00264EEC"/>
    <w:rsid w:val="002662B6"/>
    <w:rsid w:val="00266332"/>
    <w:rsid w:val="00270D56"/>
    <w:rsid w:val="00272C90"/>
    <w:rsid w:val="00272FE3"/>
    <w:rsid w:val="00274A39"/>
    <w:rsid w:val="0027567D"/>
    <w:rsid w:val="0027641E"/>
    <w:rsid w:val="002814DA"/>
    <w:rsid w:val="002820C7"/>
    <w:rsid w:val="00283D40"/>
    <w:rsid w:val="002862CA"/>
    <w:rsid w:val="0029026F"/>
    <w:rsid w:val="00291A88"/>
    <w:rsid w:val="002936FD"/>
    <w:rsid w:val="002941FB"/>
    <w:rsid w:val="00294E39"/>
    <w:rsid w:val="002B05C4"/>
    <w:rsid w:val="002B3A6D"/>
    <w:rsid w:val="002B41E6"/>
    <w:rsid w:val="002B4AE9"/>
    <w:rsid w:val="002C60B2"/>
    <w:rsid w:val="002C653C"/>
    <w:rsid w:val="002C686B"/>
    <w:rsid w:val="002D2320"/>
    <w:rsid w:val="002D266C"/>
    <w:rsid w:val="002D2DF2"/>
    <w:rsid w:val="002D3B17"/>
    <w:rsid w:val="002D3E34"/>
    <w:rsid w:val="002D4559"/>
    <w:rsid w:val="002D58D2"/>
    <w:rsid w:val="002E05AE"/>
    <w:rsid w:val="002E5791"/>
    <w:rsid w:val="002E733F"/>
    <w:rsid w:val="002F0E62"/>
    <w:rsid w:val="002F3A8C"/>
    <w:rsid w:val="002F3B5C"/>
    <w:rsid w:val="002F7441"/>
    <w:rsid w:val="00305230"/>
    <w:rsid w:val="00305CF0"/>
    <w:rsid w:val="00307F00"/>
    <w:rsid w:val="00310A62"/>
    <w:rsid w:val="003126D2"/>
    <w:rsid w:val="003127EB"/>
    <w:rsid w:val="0031435D"/>
    <w:rsid w:val="00315E8E"/>
    <w:rsid w:val="00316400"/>
    <w:rsid w:val="0031706A"/>
    <w:rsid w:val="003221C4"/>
    <w:rsid w:val="00323152"/>
    <w:rsid w:val="0032390E"/>
    <w:rsid w:val="0032505B"/>
    <w:rsid w:val="00325BBB"/>
    <w:rsid w:val="00327187"/>
    <w:rsid w:val="003307BB"/>
    <w:rsid w:val="00331613"/>
    <w:rsid w:val="003337B9"/>
    <w:rsid w:val="003369DE"/>
    <w:rsid w:val="0034409E"/>
    <w:rsid w:val="00345AB3"/>
    <w:rsid w:val="003530B3"/>
    <w:rsid w:val="00354405"/>
    <w:rsid w:val="00355F35"/>
    <w:rsid w:val="00356C34"/>
    <w:rsid w:val="003603C2"/>
    <w:rsid w:val="00360AF3"/>
    <w:rsid w:val="00360C25"/>
    <w:rsid w:val="00361F58"/>
    <w:rsid w:val="003626B5"/>
    <w:rsid w:val="00366580"/>
    <w:rsid w:val="00366B3D"/>
    <w:rsid w:val="0037320A"/>
    <w:rsid w:val="003738E1"/>
    <w:rsid w:val="00374B09"/>
    <w:rsid w:val="00375FAD"/>
    <w:rsid w:val="00381BDB"/>
    <w:rsid w:val="003820B0"/>
    <w:rsid w:val="003834A8"/>
    <w:rsid w:val="00384332"/>
    <w:rsid w:val="00384C0D"/>
    <w:rsid w:val="00385934"/>
    <w:rsid w:val="003866E2"/>
    <w:rsid w:val="00390DDC"/>
    <w:rsid w:val="003911D1"/>
    <w:rsid w:val="0039371F"/>
    <w:rsid w:val="003A05D7"/>
    <w:rsid w:val="003A3134"/>
    <w:rsid w:val="003A4BE5"/>
    <w:rsid w:val="003B7526"/>
    <w:rsid w:val="003B7A08"/>
    <w:rsid w:val="003C15E5"/>
    <w:rsid w:val="003C5266"/>
    <w:rsid w:val="003C7F7C"/>
    <w:rsid w:val="003D044E"/>
    <w:rsid w:val="003D425B"/>
    <w:rsid w:val="003E0407"/>
    <w:rsid w:val="003E0485"/>
    <w:rsid w:val="003E0F41"/>
    <w:rsid w:val="003E20FD"/>
    <w:rsid w:val="003E3DF6"/>
    <w:rsid w:val="003E422A"/>
    <w:rsid w:val="003E47D9"/>
    <w:rsid w:val="003E5889"/>
    <w:rsid w:val="003F06F3"/>
    <w:rsid w:val="003F139B"/>
    <w:rsid w:val="003F17B8"/>
    <w:rsid w:val="003F1C15"/>
    <w:rsid w:val="003F3C52"/>
    <w:rsid w:val="003F448D"/>
    <w:rsid w:val="003F525D"/>
    <w:rsid w:val="003F62E4"/>
    <w:rsid w:val="003F7E31"/>
    <w:rsid w:val="003F7FD4"/>
    <w:rsid w:val="00402FC2"/>
    <w:rsid w:val="0040382A"/>
    <w:rsid w:val="004053E0"/>
    <w:rsid w:val="00406329"/>
    <w:rsid w:val="00406A23"/>
    <w:rsid w:val="00410166"/>
    <w:rsid w:val="00411188"/>
    <w:rsid w:val="00412BE8"/>
    <w:rsid w:val="00413EF0"/>
    <w:rsid w:val="00414A56"/>
    <w:rsid w:val="00415A98"/>
    <w:rsid w:val="00415B64"/>
    <w:rsid w:val="00416AFF"/>
    <w:rsid w:val="00416C04"/>
    <w:rsid w:val="00422E35"/>
    <w:rsid w:val="00424105"/>
    <w:rsid w:val="00427288"/>
    <w:rsid w:val="0043260C"/>
    <w:rsid w:val="00434346"/>
    <w:rsid w:val="004349C0"/>
    <w:rsid w:val="00440EF4"/>
    <w:rsid w:val="00446E97"/>
    <w:rsid w:val="004534E5"/>
    <w:rsid w:val="00462182"/>
    <w:rsid w:val="004652CD"/>
    <w:rsid w:val="00466F61"/>
    <w:rsid w:val="0046720A"/>
    <w:rsid w:val="004725BF"/>
    <w:rsid w:val="004726EE"/>
    <w:rsid w:val="00472897"/>
    <w:rsid w:val="00473C84"/>
    <w:rsid w:val="00474076"/>
    <w:rsid w:val="004742A8"/>
    <w:rsid w:val="00474A5F"/>
    <w:rsid w:val="00476041"/>
    <w:rsid w:val="004764CC"/>
    <w:rsid w:val="00476A3E"/>
    <w:rsid w:val="00477947"/>
    <w:rsid w:val="00481765"/>
    <w:rsid w:val="00482278"/>
    <w:rsid w:val="00482DD5"/>
    <w:rsid w:val="004873EB"/>
    <w:rsid w:val="00487A18"/>
    <w:rsid w:val="004940E1"/>
    <w:rsid w:val="00495337"/>
    <w:rsid w:val="004A18AC"/>
    <w:rsid w:val="004A7F6F"/>
    <w:rsid w:val="004B249A"/>
    <w:rsid w:val="004C043D"/>
    <w:rsid w:val="004C07F2"/>
    <w:rsid w:val="004C515F"/>
    <w:rsid w:val="004C5519"/>
    <w:rsid w:val="004C78E4"/>
    <w:rsid w:val="004D459B"/>
    <w:rsid w:val="004D5454"/>
    <w:rsid w:val="004D6F44"/>
    <w:rsid w:val="004E2314"/>
    <w:rsid w:val="004F0144"/>
    <w:rsid w:val="004F2880"/>
    <w:rsid w:val="004F3E21"/>
    <w:rsid w:val="004F4E36"/>
    <w:rsid w:val="004F549E"/>
    <w:rsid w:val="004F75D5"/>
    <w:rsid w:val="00503F6D"/>
    <w:rsid w:val="005068D6"/>
    <w:rsid w:val="0051097E"/>
    <w:rsid w:val="00512578"/>
    <w:rsid w:val="00512C19"/>
    <w:rsid w:val="00513375"/>
    <w:rsid w:val="00515294"/>
    <w:rsid w:val="00515333"/>
    <w:rsid w:val="0052112D"/>
    <w:rsid w:val="00522D28"/>
    <w:rsid w:val="00522EF0"/>
    <w:rsid w:val="00526828"/>
    <w:rsid w:val="0052687B"/>
    <w:rsid w:val="00526FFA"/>
    <w:rsid w:val="00530816"/>
    <w:rsid w:val="00535ACB"/>
    <w:rsid w:val="00536FD9"/>
    <w:rsid w:val="00537730"/>
    <w:rsid w:val="0054042E"/>
    <w:rsid w:val="00541805"/>
    <w:rsid w:val="00542996"/>
    <w:rsid w:val="00543187"/>
    <w:rsid w:val="00543F44"/>
    <w:rsid w:val="0054441E"/>
    <w:rsid w:val="005452F4"/>
    <w:rsid w:val="00546B30"/>
    <w:rsid w:val="005500AC"/>
    <w:rsid w:val="005532D3"/>
    <w:rsid w:val="005552DB"/>
    <w:rsid w:val="00556C6D"/>
    <w:rsid w:val="00562F27"/>
    <w:rsid w:val="00563F91"/>
    <w:rsid w:val="00571705"/>
    <w:rsid w:val="005718B5"/>
    <w:rsid w:val="00572047"/>
    <w:rsid w:val="005727F5"/>
    <w:rsid w:val="00572C1D"/>
    <w:rsid w:val="00573A4B"/>
    <w:rsid w:val="0057682F"/>
    <w:rsid w:val="00576FD3"/>
    <w:rsid w:val="00577C83"/>
    <w:rsid w:val="00582BF6"/>
    <w:rsid w:val="00583463"/>
    <w:rsid w:val="005845E5"/>
    <w:rsid w:val="00584B60"/>
    <w:rsid w:val="0058526C"/>
    <w:rsid w:val="00585A91"/>
    <w:rsid w:val="00593DB0"/>
    <w:rsid w:val="005964EB"/>
    <w:rsid w:val="0059737D"/>
    <w:rsid w:val="005A09BC"/>
    <w:rsid w:val="005A10E9"/>
    <w:rsid w:val="005A1794"/>
    <w:rsid w:val="005A2528"/>
    <w:rsid w:val="005A41B5"/>
    <w:rsid w:val="005A55AB"/>
    <w:rsid w:val="005B1121"/>
    <w:rsid w:val="005B7A41"/>
    <w:rsid w:val="005C0129"/>
    <w:rsid w:val="005C3D03"/>
    <w:rsid w:val="005D05F9"/>
    <w:rsid w:val="005D1ED4"/>
    <w:rsid w:val="005D683D"/>
    <w:rsid w:val="005D710D"/>
    <w:rsid w:val="005E102C"/>
    <w:rsid w:val="005E2CD5"/>
    <w:rsid w:val="005E7B32"/>
    <w:rsid w:val="005F25A5"/>
    <w:rsid w:val="005F28DA"/>
    <w:rsid w:val="005F5E9A"/>
    <w:rsid w:val="005F785B"/>
    <w:rsid w:val="006017F1"/>
    <w:rsid w:val="0060226B"/>
    <w:rsid w:val="00610445"/>
    <w:rsid w:val="00613B58"/>
    <w:rsid w:val="00615FD1"/>
    <w:rsid w:val="00621486"/>
    <w:rsid w:val="00622DB9"/>
    <w:rsid w:val="00623C49"/>
    <w:rsid w:val="00624E68"/>
    <w:rsid w:val="00625042"/>
    <w:rsid w:val="00627514"/>
    <w:rsid w:val="00630FAC"/>
    <w:rsid w:val="006316DE"/>
    <w:rsid w:val="00635FCF"/>
    <w:rsid w:val="00637547"/>
    <w:rsid w:val="00640485"/>
    <w:rsid w:val="006423F6"/>
    <w:rsid w:val="006439F0"/>
    <w:rsid w:val="00656312"/>
    <w:rsid w:val="00657FAD"/>
    <w:rsid w:val="0066285C"/>
    <w:rsid w:val="00663083"/>
    <w:rsid w:val="00664E7B"/>
    <w:rsid w:val="006651F5"/>
    <w:rsid w:val="00665B8D"/>
    <w:rsid w:val="00665E74"/>
    <w:rsid w:val="0067294A"/>
    <w:rsid w:val="006737F5"/>
    <w:rsid w:val="00673B45"/>
    <w:rsid w:val="006808D7"/>
    <w:rsid w:val="006815D1"/>
    <w:rsid w:val="006830D0"/>
    <w:rsid w:val="006834A9"/>
    <w:rsid w:val="0068545B"/>
    <w:rsid w:val="0068671F"/>
    <w:rsid w:val="006868E7"/>
    <w:rsid w:val="00686C88"/>
    <w:rsid w:val="006903CA"/>
    <w:rsid w:val="006909CD"/>
    <w:rsid w:val="00690CCD"/>
    <w:rsid w:val="00696B1F"/>
    <w:rsid w:val="00696E4E"/>
    <w:rsid w:val="00696E67"/>
    <w:rsid w:val="006A16EC"/>
    <w:rsid w:val="006A233A"/>
    <w:rsid w:val="006A4FB8"/>
    <w:rsid w:val="006B5607"/>
    <w:rsid w:val="006C008F"/>
    <w:rsid w:val="006C141F"/>
    <w:rsid w:val="006C2389"/>
    <w:rsid w:val="006C27D3"/>
    <w:rsid w:val="006C50FA"/>
    <w:rsid w:val="006C5EA3"/>
    <w:rsid w:val="006D25C4"/>
    <w:rsid w:val="006D2965"/>
    <w:rsid w:val="006D51B6"/>
    <w:rsid w:val="006D56E2"/>
    <w:rsid w:val="006D7E08"/>
    <w:rsid w:val="006E1DD2"/>
    <w:rsid w:val="006E24C2"/>
    <w:rsid w:val="006E3F45"/>
    <w:rsid w:val="006F01A5"/>
    <w:rsid w:val="006F4A2C"/>
    <w:rsid w:val="006F4F11"/>
    <w:rsid w:val="006F694B"/>
    <w:rsid w:val="00700207"/>
    <w:rsid w:val="00702105"/>
    <w:rsid w:val="00705D01"/>
    <w:rsid w:val="007065E7"/>
    <w:rsid w:val="0071017C"/>
    <w:rsid w:val="00711C57"/>
    <w:rsid w:val="00714321"/>
    <w:rsid w:val="00715555"/>
    <w:rsid w:val="00716179"/>
    <w:rsid w:val="0071717A"/>
    <w:rsid w:val="0072041C"/>
    <w:rsid w:val="00721C00"/>
    <w:rsid w:val="00721FF5"/>
    <w:rsid w:val="00723717"/>
    <w:rsid w:val="00726B64"/>
    <w:rsid w:val="00730454"/>
    <w:rsid w:val="0073220A"/>
    <w:rsid w:val="007325B2"/>
    <w:rsid w:val="007346A5"/>
    <w:rsid w:val="00734CBA"/>
    <w:rsid w:val="0073662A"/>
    <w:rsid w:val="007366AD"/>
    <w:rsid w:val="00737C9D"/>
    <w:rsid w:val="00742E31"/>
    <w:rsid w:val="00743D70"/>
    <w:rsid w:val="00745765"/>
    <w:rsid w:val="007470C7"/>
    <w:rsid w:val="007533B7"/>
    <w:rsid w:val="007557E4"/>
    <w:rsid w:val="00755CAA"/>
    <w:rsid w:val="00760455"/>
    <w:rsid w:val="00761AAF"/>
    <w:rsid w:val="00761C6E"/>
    <w:rsid w:val="00763160"/>
    <w:rsid w:val="00764D35"/>
    <w:rsid w:val="007671E8"/>
    <w:rsid w:val="0077075D"/>
    <w:rsid w:val="00770797"/>
    <w:rsid w:val="007740B1"/>
    <w:rsid w:val="00780D8F"/>
    <w:rsid w:val="0078117F"/>
    <w:rsid w:val="00783805"/>
    <w:rsid w:val="00783FEA"/>
    <w:rsid w:val="007849FC"/>
    <w:rsid w:val="00786732"/>
    <w:rsid w:val="00790690"/>
    <w:rsid w:val="00794E69"/>
    <w:rsid w:val="007A19C3"/>
    <w:rsid w:val="007A30B2"/>
    <w:rsid w:val="007A42C2"/>
    <w:rsid w:val="007A5C74"/>
    <w:rsid w:val="007A5D6C"/>
    <w:rsid w:val="007B2707"/>
    <w:rsid w:val="007B3318"/>
    <w:rsid w:val="007B34A0"/>
    <w:rsid w:val="007B434D"/>
    <w:rsid w:val="007B5F6A"/>
    <w:rsid w:val="007C01C8"/>
    <w:rsid w:val="007C1A42"/>
    <w:rsid w:val="007C3A94"/>
    <w:rsid w:val="007C3FCD"/>
    <w:rsid w:val="007C4251"/>
    <w:rsid w:val="007D4511"/>
    <w:rsid w:val="007D57E0"/>
    <w:rsid w:val="007E073C"/>
    <w:rsid w:val="007E1532"/>
    <w:rsid w:val="007E3A68"/>
    <w:rsid w:val="007E6D9E"/>
    <w:rsid w:val="007E6F8E"/>
    <w:rsid w:val="007E7EBF"/>
    <w:rsid w:val="007F1BA7"/>
    <w:rsid w:val="007F441A"/>
    <w:rsid w:val="007F47CF"/>
    <w:rsid w:val="007F61D0"/>
    <w:rsid w:val="00812D1E"/>
    <w:rsid w:val="00813806"/>
    <w:rsid w:val="00814BEA"/>
    <w:rsid w:val="00816146"/>
    <w:rsid w:val="00821E1D"/>
    <w:rsid w:val="00823778"/>
    <w:rsid w:val="00824625"/>
    <w:rsid w:val="008306F6"/>
    <w:rsid w:val="00831CEF"/>
    <w:rsid w:val="008333F4"/>
    <w:rsid w:val="00834203"/>
    <w:rsid w:val="00834ACC"/>
    <w:rsid w:val="008418A9"/>
    <w:rsid w:val="00841933"/>
    <w:rsid w:val="00847FF8"/>
    <w:rsid w:val="00850D06"/>
    <w:rsid w:val="00854BA1"/>
    <w:rsid w:val="00857686"/>
    <w:rsid w:val="00860CF4"/>
    <w:rsid w:val="00861E83"/>
    <w:rsid w:val="0086348F"/>
    <w:rsid w:val="00865948"/>
    <w:rsid w:val="00865BF7"/>
    <w:rsid w:val="0086726A"/>
    <w:rsid w:val="00872E0C"/>
    <w:rsid w:val="008746DA"/>
    <w:rsid w:val="00874DAE"/>
    <w:rsid w:val="008774B1"/>
    <w:rsid w:val="00881331"/>
    <w:rsid w:val="00884888"/>
    <w:rsid w:val="00885AD7"/>
    <w:rsid w:val="00893569"/>
    <w:rsid w:val="00893AA2"/>
    <w:rsid w:val="00894053"/>
    <w:rsid w:val="00894393"/>
    <w:rsid w:val="00896AC8"/>
    <w:rsid w:val="008A1AFF"/>
    <w:rsid w:val="008A5BDD"/>
    <w:rsid w:val="008B1A60"/>
    <w:rsid w:val="008B4327"/>
    <w:rsid w:val="008C159B"/>
    <w:rsid w:val="008C69F4"/>
    <w:rsid w:val="008D1626"/>
    <w:rsid w:val="008D35FD"/>
    <w:rsid w:val="008D50DF"/>
    <w:rsid w:val="008D529D"/>
    <w:rsid w:val="008D5C7C"/>
    <w:rsid w:val="008D7AA3"/>
    <w:rsid w:val="008E0E9A"/>
    <w:rsid w:val="008F1E32"/>
    <w:rsid w:val="008F1FB5"/>
    <w:rsid w:val="008F7213"/>
    <w:rsid w:val="00900BE0"/>
    <w:rsid w:val="009016B6"/>
    <w:rsid w:val="00901CE4"/>
    <w:rsid w:val="009027F4"/>
    <w:rsid w:val="00903BD0"/>
    <w:rsid w:val="009057A3"/>
    <w:rsid w:val="0090625C"/>
    <w:rsid w:val="00913E27"/>
    <w:rsid w:val="0091448D"/>
    <w:rsid w:val="00916A40"/>
    <w:rsid w:val="009223F5"/>
    <w:rsid w:val="00923E77"/>
    <w:rsid w:val="00925A3A"/>
    <w:rsid w:val="00926220"/>
    <w:rsid w:val="009263DF"/>
    <w:rsid w:val="009272F0"/>
    <w:rsid w:val="00931DF2"/>
    <w:rsid w:val="009336D6"/>
    <w:rsid w:val="00933972"/>
    <w:rsid w:val="009360DB"/>
    <w:rsid w:val="009361F8"/>
    <w:rsid w:val="0093710C"/>
    <w:rsid w:val="00937C6D"/>
    <w:rsid w:val="009410FD"/>
    <w:rsid w:val="00941B46"/>
    <w:rsid w:val="00943E71"/>
    <w:rsid w:val="00943FBC"/>
    <w:rsid w:val="0094417F"/>
    <w:rsid w:val="0094457F"/>
    <w:rsid w:val="00944E5E"/>
    <w:rsid w:val="00947E3E"/>
    <w:rsid w:val="00950E5A"/>
    <w:rsid w:val="00957C6B"/>
    <w:rsid w:val="009604C9"/>
    <w:rsid w:val="00971004"/>
    <w:rsid w:val="00971676"/>
    <w:rsid w:val="0097175C"/>
    <w:rsid w:val="00974272"/>
    <w:rsid w:val="00975DA9"/>
    <w:rsid w:val="009853E4"/>
    <w:rsid w:val="0099105B"/>
    <w:rsid w:val="00991861"/>
    <w:rsid w:val="0099658A"/>
    <w:rsid w:val="00997FC2"/>
    <w:rsid w:val="009A2707"/>
    <w:rsid w:val="009B32B8"/>
    <w:rsid w:val="009B43B6"/>
    <w:rsid w:val="009B5DB3"/>
    <w:rsid w:val="009B66C4"/>
    <w:rsid w:val="009C03D7"/>
    <w:rsid w:val="009C0562"/>
    <w:rsid w:val="009C3D42"/>
    <w:rsid w:val="009C57AB"/>
    <w:rsid w:val="009C57E3"/>
    <w:rsid w:val="009D001E"/>
    <w:rsid w:val="009D2B8D"/>
    <w:rsid w:val="009D7DCD"/>
    <w:rsid w:val="009E124C"/>
    <w:rsid w:val="009E3DC5"/>
    <w:rsid w:val="009E42F6"/>
    <w:rsid w:val="009E5732"/>
    <w:rsid w:val="009F0EFD"/>
    <w:rsid w:val="009F13FC"/>
    <w:rsid w:val="009F172C"/>
    <w:rsid w:val="009F3A0F"/>
    <w:rsid w:val="00A0066D"/>
    <w:rsid w:val="00A024CE"/>
    <w:rsid w:val="00A02B4C"/>
    <w:rsid w:val="00A05114"/>
    <w:rsid w:val="00A051AC"/>
    <w:rsid w:val="00A07E11"/>
    <w:rsid w:val="00A1282F"/>
    <w:rsid w:val="00A12991"/>
    <w:rsid w:val="00A16BC8"/>
    <w:rsid w:val="00A22259"/>
    <w:rsid w:val="00A250D0"/>
    <w:rsid w:val="00A301E4"/>
    <w:rsid w:val="00A3099B"/>
    <w:rsid w:val="00A310D0"/>
    <w:rsid w:val="00A31D9D"/>
    <w:rsid w:val="00A36FC2"/>
    <w:rsid w:val="00A4054E"/>
    <w:rsid w:val="00A4089B"/>
    <w:rsid w:val="00A4093A"/>
    <w:rsid w:val="00A411EF"/>
    <w:rsid w:val="00A41B39"/>
    <w:rsid w:val="00A42F15"/>
    <w:rsid w:val="00A432FB"/>
    <w:rsid w:val="00A45922"/>
    <w:rsid w:val="00A4698A"/>
    <w:rsid w:val="00A50BD3"/>
    <w:rsid w:val="00A51499"/>
    <w:rsid w:val="00A546FA"/>
    <w:rsid w:val="00A5491C"/>
    <w:rsid w:val="00A54EE3"/>
    <w:rsid w:val="00A56669"/>
    <w:rsid w:val="00A6064D"/>
    <w:rsid w:val="00A60A0C"/>
    <w:rsid w:val="00A6151B"/>
    <w:rsid w:val="00A61A03"/>
    <w:rsid w:val="00A61E07"/>
    <w:rsid w:val="00A67763"/>
    <w:rsid w:val="00A73372"/>
    <w:rsid w:val="00A74C65"/>
    <w:rsid w:val="00A76AE6"/>
    <w:rsid w:val="00A7747F"/>
    <w:rsid w:val="00A77A79"/>
    <w:rsid w:val="00A8266D"/>
    <w:rsid w:val="00A82D4F"/>
    <w:rsid w:val="00A85B45"/>
    <w:rsid w:val="00A85CCD"/>
    <w:rsid w:val="00A90168"/>
    <w:rsid w:val="00A90528"/>
    <w:rsid w:val="00A9117E"/>
    <w:rsid w:val="00AA090E"/>
    <w:rsid w:val="00AA1960"/>
    <w:rsid w:val="00AA2648"/>
    <w:rsid w:val="00AA2A5D"/>
    <w:rsid w:val="00AA4762"/>
    <w:rsid w:val="00AB2DFD"/>
    <w:rsid w:val="00AB40BD"/>
    <w:rsid w:val="00AB5FC8"/>
    <w:rsid w:val="00AB7CC3"/>
    <w:rsid w:val="00AC2273"/>
    <w:rsid w:val="00AC5C2B"/>
    <w:rsid w:val="00AC6D9A"/>
    <w:rsid w:val="00AC7494"/>
    <w:rsid w:val="00AD219F"/>
    <w:rsid w:val="00AE21A8"/>
    <w:rsid w:val="00AE4F7E"/>
    <w:rsid w:val="00AE5603"/>
    <w:rsid w:val="00AF3E3B"/>
    <w:rsid w:val="00AF45CB"/>
    <w:rsid w:val="00AF75F9"/>
    <w:rsid w:val="00B01EC1"/>
    <w:rsid w:val="00B02461"/>
    <w:rsid w:val="00B06323"/>
    <w:rsid w:val="00B064E1"/>
    <w:rsid w:val="00B06BEE"/>
    <w:rsid w:val="00B07B0F"/>
    <w:rsid w:val="00B10D91"/>
    <w:rsid w:val="00B11121"/>
    <w:rsid w:val="00B129BB"/>
    <w:rsid w:val="00B13409"/>
    <w:rsid w:val="00B14695"/>
    <w:rsid w:val="00B17ADF"/>
    <w:rsid w:val="00B21222"/>
    <w:rsid w:val="00B21923"/>
    <w:rsid w:val="00B234AE"/>
    <w:rsid w:val="00B24761"/>
    <w:rsid w:val="00B24C35"/>
    <w:rsid w:val="00B266D4"/>
    <w:rsid w:val="00B3403E"/>
    <w:rsid w:val="00B36DC4"/>
    <w:rsid w:val="00B37811"/>
    <w:rsid w:val="00B37BC7"/>
    <w:rsid w:val="00B427A3"/>
    <w:rsid w:val="00B44C3C"/>
    <w:rsid w:val="00B44CFA"/>
    <w:rsid w:val="00B53A23"/>
    <w:rsid w:val="00B5791B"/>
    <w:rsid w:val="00B57BD1"/>
    <w:rsid w:val="00B57D67"/>
    <w:rsid w:val="00B62F8F"/>
    <w:rsid w:val="00B65587"/>
    <w:rsid w:val="00B65934"/>
    <w:rsid w:val="00B66691"/>
    <w:rsid w:val="00B67ACF"/>
    <w:rsid w:val="00B7176E"/>
    <w:rsid w:val="00B71CAE"/>
    <w:rsid w:val="00B721E9"/>
    <w:rsid w:val="00B72211"/>
    <w:rsid w:val="00B73D57"/>
    <w:rsid w:val="00B75687"/>
    <w:rsid w:val="00B763C1"/>
    <w:rsid w:val="00B774B1"/>
    <w:rsid w:val="00B877E2"/>
    <w:rsid w:val="00B87C40"/>
    <w:rsid w:val="00B90B54"/>
    <w:rsid w:val="00B91CE7"/>
    <w:rsid w:val="00B92322"/>
    <w:rsid w:val="00B93201"/>
    <w:rsid w:val="00BA0683"/>
    <w:rsid w:val="00BA0A18"/>
    <w:rsid w:val="00BA1232"/>
    <w:rsid w:val="00BA2424"/>
    <w:rsid w:val="00BA7FB5"/>
    <w:rsid w:val="00BB14F4"/>
    <w:rsid w:val="00BB73C5"/>
    <w:rsid w:val="00BC0536"/>
    <w:rsid w:val="00BC12F5"/>
    <w:rsid w:val="00BC25FF"/>
    <w:rsid w:val="00BC518B"/>
    <w:rsid w:val="00BC5FC0"/>
    <w:rsid w:val="00BD0B7F"/>
    <w:rsid w:val="00BD3E8B"/>
    <w:rsid w:val="00BD6848"/>
    <w:rsid w:val="00BD6928"/>
    <w:rsid w:val="00BD7817"/>
    <w:rsid w:val="00BE005F"/>
    <w:rsid w:val="00BE13E6"/>
    <w:rsid w:val="00BE23C4"/>
    <w:rsid w:val="00BE3DAE"/>
    <w:rsid w:val="00BE53B5"/>
    <w:rsid w:val="00BF37D6"/>
    <w:rsid w:val="00BF3B09"/>
    <w:rsid w:val="00BF3E30"/>
    <w:rsid w:val="00BF41C3"/>
    <w:rsid w:val="00BF4F6A"/>
    <w:rsid w:val="00C04C7C"/>
    <w:rsid w:val="00C068F7"/>
    <w:rsid w:val="00C06F8C"/>
    <w:rsid w:val="00C073B0"/>
    <w:rsid w:val="00C11C20"/>
    <w:rsid w:val="00C13CCD"/>
    <w:rsid w:val="00C1656D"/>
    <w:rsid w:val="00C17808"/>
    <w:rsid w:val="00C20E7C"/>
    <w:rsid w:val="00C217C4"/>
    <w:rsid w:val="00C25BBC"/>
    <w:rsid w:val="00C2675E"/>
    <w:rsid w:val="00C30759"/>
    <w:rsid w:val="00C30B5B"/>
    <w:rsid w:val="00C3232D"/>
    <w:rsid w:val="00C40C1A"/>
    <w:rsid w:val="00C44BAA"/>
    <w:rsid w:val="00C45388"/>
    <w:rsid w:val="00C502B7"/>
    <w:rsid w:val="00C50B51"/>
    <w:rsid w:val="00C50C92"/>
    <w:rsid w:val="00C521D2"/>
    <w:rsid w:val="00C544A7"/>
    <w:rsid w:val="00C55559"/>
    <w:rsid w:val="00C5588B"/>
    <w:rsid w:val="00C55F17"/>
    <w:rsid w:val="00C56BF0"/>
    <w:rsid w:val="00C56D50"/>
    <w:rsid w:val="00C602EE"/>
    <w:rsid w:val="00C60A98"/>
    <w:rsid w:val="00C62F31"/>
    <w:rsid w:val="00C66953"/>
    <w:rsid w:val="00C71B7F"/>
    <w:rsid w:val="00C8187D"/>
    <w:rsid w:val="00C8217C"/>
    <w:rsid w:val="00C83448"/>
    <w:rsid w:val="00C8466D"/>
    <w:rsid w:val="00C85353"/>
    <w:rsid w:val="00C85C2B"/>
    <w:rsid w:val="00C9215D"/>
    <w:rsid w:val="00C9278E"/>
    <w:rsid w:val="00C9395D"/>
    <w:rsid w:val="00C93C73"/>
    <w:rsid w:val="00C94C7C"/>
    <w:rsid w:val="00C952E6"/>
    <w:rsid w:val="00C95476"/>
    <w:rsid w:val="00C958B2"/>
    <w:rsid w:val="00C95B24"/>
    <w:rsid w:val="00C96E62"/>
    <w:rsid w:val="00CA04E0"/>
    <w:rsid w:val="00CA6102"/>
    <w:rsid w:val="00CA7026"/>
    <w:rsid w:val="00CA7297"/>
    <w:rsid w:val="00CB0226"/>
    <w:rsid w:val="00CB3E90"/>
    <w:rsid w:val="00CB5D03"/>
    <w:rsid w:val="00CB7B64"/>
    <w:rsid w:val="00CC0981"/>
    <w:rsid w:val="00CC550A"/>
    <w:rsid w:val="00CC5759"/>
    <w:rsid w:val="00CD28B3"/>
    <w:rsid w:val="00CD3D67"/>
    <w:rsid w:val="00CD4B17"/>
    <w:rsid w:val="00CE3335"/>
    <w:rsid w:val="00CE3BE4"/>
    <w:rsid w:val="00CE51F2"/>
    <w:rsid w:val="00CE5557"/>
    <w:rsid w:val="00CE787E"/>
    <w:rsid w:val="00CF006D"/>
    <w:rsid w:val="00CF140B"/>
    <w:rsid w:val="00CF3A7C"/>
    <w:rsid w:val="00CF3E50"/>
    <w:rsid w:val="00CF519E"/>
    <w:rsid w:val="00CF783B"/>
    <w:rsid w:val="00D011C6"/>
    <w:rsid w:val="00D04863"/>
    <w:rsid w:val="00D06D94"/>
    <w:rsid w:val="00D071B9"/>
    <w:rsid w:val="00D1053F"/>
    <w:rsid w:val="00D1076A"/>
    <w:rsid w:val="00D109AF"/>
    <w:rsid w:val="00D12CFF"/>
    <w:rsid w:val="00D13045"/>
    <w:rsid w:val="00D14DF2"/>
    <w:rsid w:val="00D15CC6"/>
    <w:rsid w:val="00D206BB"/>
    <w:rsid w:val="00D21E40"/>
    <w:rsid w:val="00D23C2D"/>
    <w:rsid w:val="00D24489"/>
    <w:rsid w:val="00D269F5"/>
    <w:rsid w:val="00D329FE"/>
    <w:rsid w:val="00D33FBA"/>
    <w:rsid w:val="00D3406E"/>
    <w:rsid w:val="00D37222"/>
    <w:rsid w:val="00D409F5"/>
    <w:rsid w:val="00D43E3B"/>
    <w:rsid w:val="00D46187"/>
    <w:rsid w:val="00D479AB"/>
    <w:rsid w:val="00D51DB6"/>
    <w:rsid w:val="00D5542F"/>
    <w:rsid w:val="00D56283"/>
    <w:rsid w:val="00D57486"/>
    <w:rsid w:val="00D613BB"/>
    <w:rsid w:val="00D64B8E"/>
    <w:rsid w:val="00D64EC7"/>
    <w:rsid w:val="00D66EB3"/>
    <w:rsid w:val="00D7219E"/>
    <w:rsid w:val="00D73D66"/>
    <w:rsid w:val="00D74D02"/>
    <w:rsid w:val="00D764B6"/>
    <w:rsid w:val="00D7692B"/>
    <w:rsid w:val="00D808BB"/>
    <w:rsid w:val="00D82209"/>
    <w:rsid w:val="00D83274"/>
    <w:rsid w:val="00D87620"/>
    <w:rsid w:val="00D902BB"/>
    <w:rsid w:val="00D97C02"/>
    <w:rsid w:val="00DA1361"/>
    <w:rsid w:val="00DA3E4C"/>
    <w:rsid w:val="00DA720C"/>
    <w:rsid w:val="00DB22C6"/>
    <w:rsid w:val="00DB2696"/>
    <w:rsid w:val="00DB34A0"/>
    <w:rsid w:val="00DB3BCA"/>
    <w:rsid w:val="00DB4381"/>
    <w:rsid w:val="00DB43A1"/>
    <w:rsid w:val="00DB54F7"/>
    <w:rsid w:val="00DC42B5"/>
    <w:rsid w:val="00DC485B"/>
    <w:rsid w:val="00DC7D25"/>
    <w:rsid w:val="00DD0230"/>
    <w:rsid w:val="00DD33CF"/>
    <w:rsid w:val="00DD4A25"/>
    <w:rsid w:val="00DD4EF8"/>
    <w:rsid w:val="00DD6FE7"/>
    <w:rsid w:val="00DE01DC"/>
    <w:rsid w:val="00DE051E"/>
    <w:rsid w:val="00DE151D"/>
    <w:rsid w:val="00DE1DF3"/>
    <w:rsid w:val="00DE5CF0"/>
    <w:rsid w:val="00DE78BF"/>
    <w:rsid w:val="00DE7A2D"/>
    <w:rsid w:val="00DF1161"/>
    <w:rsid w:val="00DF1177"/>
    <w:rsid w:val="00DF279B"/>
    <w:rsid w:val="00DF2ED8"/>
    <w:rsid w:val="00DF44DE"/>
    <w:rsid w:val="00DF5B48"/>
    <w:rsid w:val="00DF78B4"/>
    <w:rsid w:val="00DF7F9E"/>
    <w:rsid w:val="00E0019B"/>
    <w:rsid w:val="00E030FB"/>
    <w:rsid w:val="00E04E32"/>
    <w:rsid w:val="00E053A8"/>
    <w:rsid w:val="00E14DA2"/>
    <w:rsid w:val="00E260CE"/>
    <w:rsid w:val="00E26839"/>
    <w:rsid w:val="00E26FB2"/>
    <w:rsid w:val="00E3082D"/>
    <w:rsid w:val="00E308D6"/>
    <w:rsid w:val="00E30B45"/>
    <w:rsid w:val="00E32E8D"/>
    <w:rsid w:val="00E34B62"/>
    <w:rsid w:val="00E36B2C"/>
    <w:rsid w:val="00E37636"/>
    <w:rsid w:val="00E376F3"/>
    <w:rsid w:val="00E41566"/>
    <w:rsid w:val="00E42668"/>
    <w:rsid w:val="00E47A0E"/>
    <w:rsid w:val="00E505DA"/>
    <w:rsid w:val="00E509DE"/>
    <w:rsid w:val="00E51902"/>
    <w:rsid w:val="00E526BF"/>
    <w:rsid w:val="00E52817"/>
    <w:rsid w:val="00E534E6"/>
    <w:rsid w:val="00E5651D"/>
    <w:rsid w:val="00E56E03"/>
    <w:rsid w:val="00E6131A"/>
    <w:rsid w:val="00E622B1"/>
    <w:rsid w:val="00E63494"/>
    <w:rsid w:val="00E643C6"/>
    <w:rsid w:val="00E658FC"/>
    <w:rsid w:val="00E659BD"/>
    <w:rsid w:val="00E65D0C"/>
    <w:rsid w:val="00E66E11"/>
    <w:rsid w:val="00E713B1"/>
    <w:rsid w:val="00E731D3"/>
    <w:rsid w:val="00E750D4"/>
    <w:rsid w:val="00E761D5"/>
    <w:rsid w:val="00E83195"/>
    <w:rsid w:val="00E835FB"/>
    <w:rsid w:val="00E86526"/>
    <w:rsid w:val="00E912B6"/>
    <w:rsid w:val="00E922C1"/>
    <w:rsid w:val="00E96A93"/>
    <w:rsid w:val="00E97236"/>
    <w:rsid w:val="00EA0485"/>
    <w:rsid w:val="00EA11F7"/>
    <w:rsid w:val="00EA121D"/>
    <w:rsid w:val="00EA1526"/>
    <w:rsid w:val="00EA3525"/>
    <w:rsid w:val="00EA641F"/>
    <w:rsid w:val="00EA6EF9"/>
    <w:rsid w:val="00EB1203"/>
    <w:rsid w:val="00EC0FFC"/>
    <w:rsid w:val="00EC3404"/>
    <w:rsid w:val="00EC3605"/>
    <w:rsid w:val="00ED53A7"/>
    <w:rsid w:val="00ED54D6"/>
    <w:rsid w:val="00ED55A9"/>
    <w:rsid w:val="00ED6DE1"/>
    <w:rsid w:val="00EE0C48"/>
    <w:rsid w:val="00EE2F13"/>
    <w:rsid w:val="00EE4EE2"/>
    <w:rsid w:val="00EE5B61"/>
    <w:rsid w:val="00EF0B7C"/>
    <w:rsid w:val="00EF14F5"/>
    <w:rsid w:val="00EF6674"/>
    <w:rsid w:val="00EF75D8"/>
    <w:rsid w:val="00F01668"/>
    <w:rsid w:val="00F03BF1"/>
    <w:rsid w:val="00F05CF9"/>
    <w:rsid w:val="00F05DDA"/>
    <w:rsid w:val="00F07B68"/>
    <w:rsid w:val="00F10059"/>
    <w:rsid w:val="00F11795"/>
    <w:rsid w:val="00F11B51"/>
    <w:rsid w:val="00F17786"/>
    <w:rsid w:val="00F30076"/>
    <w:rsid w:val="00F31988"/>
    <w:rsid w:val="00F31E71"/>
    <w:rsid w:val="00F3217A"/>
    <w:rsid w:val="00F34553"/>
    <w:rsid w:val="00F4513D"/>
    <w:rsid w:val="00F46F49"/>
    <w:rsid w:val="00F519C5"/>
    <w:rsid w:val="00F54818"/>
    <w:rsid w:val="00F64F89"/>
    <w:rsid w:val="00F7185F"/>
    <w:rsid w:val="00F72C53"/>
    <w:rsid w:val="00F7434D"/>
    <w:rsid w:val="00F74C13"/>
    <w:rsid w:val="00F76FA5"/>
    <w:rsid w:val="00F77323"/>
    <w:rsid w:val="00F83481"/>
    <w:rsid w:val="00F84E77"/>
    <w:rsid w:val="00F909DF"/>
    <w:rsid w:val="00F91092"/>
    <w:rsid w:val="00F917F5"/>
    <w:rsid w:val="00F9574F"/>
    <w:rsid w:val="00F95A05"/>
    <w:rsid w:val="00F95A25"/>
    <w:rsid w:val="00F96F19"/>
    <w:rsid w:val="00F9724D"/>
    <w:rsid w:val="00FA521D"/>
    <w:rsid w:val="00FB195F"/>
    <w:rsid w:val="00FB27E2"/>
    <w:rsid w:val="00FB36D1"/>
    <w:rsid w:val="00FB4DAB"/>
    <w:rsid w:val="00FC65F7"/>
    <w:rsid w:val="00FC6805"/>
    <w:rsid w:val="00FC74A8"/>
    <w:rsid w:val="00FD1416"/>
    <w:rsid w:val="00FD1705"/>
    <w:rsid w:val="00FD41A4"/>
    <w:rsid w:val="00FD567C"/>
    <w:rsid w:val="00FD628B"/>
    <w:rsid w:val="00FD7AA3"/>
    <w:rsid w:val="00FE013C"/>
    <w:rsid w:val="00FE422E"/>
    <w:rsid w:val="00FE4CAE"/>
    <w:rsid w:val="00FE6CD0"/>
    <w:rsid w:val="00FF1F00"/>
    <w:rsid w:val="00FF2491"/>
    <w:rsid w:val="00FF3CFA"/>
    <w:rsid w:val="00FF5692"/>
    <w:rsid w:val="00FF56DB"/>
    <w:rsid w:val="00FF5A4A"/>
    <w:rsid w:val="00FF6398"/>
    <w:rsid w:val="00FF6874"/>
    <w:rsid w:val="0E745B1A"/>
    <w:rsid w:val="10044A9B"/>
    <w:rsid w:val="133010A8"/>
    <w:rsid w:val="16885919"/>
    <w:rsid w:val="1D1335D1"/>
    <w:rsid w:val="1F245840"/>
    <w:rsid w:val="232F284B"/>
    <w:rsid w:val="25BC3375"/>
    <w:rsid w:val="25BD0EEC"/>
    <w:rsid w:val="27B5050A"/>
    <w:rsid w:val="2CFF1F0A"/>
    <w:rsid w:val="2FA12251"/>
    <w:rsid w:val="304E3E65"/>
    <w:rsid w:val="30D77A69"/>
    <w:rsid w:val="335B3838"/>
    <w:rsid w:val="33DE3519"/>
    <w:rsid w:val="35B9E20C"/>
    <w:rsid w:val="37C44EBB"/>
    <w:rsid w:val="3B4E0E59"/>
    <w:rsid w:val="3BFFD167"/>
    <w:rsid w:val="3D1D1419"/>
    <w:rsid w:val="3E854E75"/>
    <w:rsid w:val="3F3F602C"/>
    <w:rsid w:val="3F8E1DC7"/>
    <w:rsid w:val="3FDF80BD"/>
    <w:rsid w:val="3FFF72FC"/>
    <w:rsid w:val="40D97F25"/>
    <w:rsid w:val="46E77AD6"/>
    <w:rsid w:val="48581688"/>
    <w:rsid w:val="48A91728"/>
    <w:rsid w:val="4BBB8C7E"/>
    <w:rsid w:val="4D7F0A59"/>
    <w:rsid w:val="55DF1390"/>
    <w:rsid w:val="5BDA5436"/>
    <w:rsid w:val="5E746520"/>
    <w:rsid w:val="5EB1AAE2"/>
    <w:rsid w:val="5F970F2A"/>
    <w:rsid w:val="5FCB569F"/>
    <w:rsid w:val="65DD7F54"/>
    <w:rsid w:val="66FD1C3C"/>
    <w:rsid w:val="6A6A5ADF"/>
    <w:rsid w:val="6BE6693E"/>
    <w:rsid w:val="6C78104A"/>
    <w:rsid w:val="6EDECD9A"/>
    <w:rsid w:val="6FFD32BF"/>
    <w:rsid w:val="6FFF6C2C"/>
    <w:rsid w:val="720A29C0"/>
    <w:rsid w:val="74B1359D"/>
    <w:rsid w:val="758E00E6"/>
    <w:rsid w:val="75FFC92C"/>
    <w:rsid w:val="762322A2"/>
    <w:rsid w:val="76FFEC70"/>
    <w:rsid w:val="77F76BE5"/>
    <w:rsid w:val="77F9F3E9"/>
    <w:rsid w:val="77FA0E7A"/>
    <w:rsid w:val="79654980"/>
    <w:rsid w:val="799F2493"/>
    <w:rsid w:val="79FA3297"/>
    <w:rsid w:val="7B7F0C2D"/>
    <w:rsid w:val="7C6F7A73"/>
    <w:rsid w:val="7DFC3600"/>
    <w:rsid w:val="7E97CC42"/>
    <w:rsid w:val="7F9F247F"/>
    <w:rsid w:val="7FCD47B7"/>
    <w:rsid w:val="7FEFB712"/>
    <w:rsid w:val="7FF34C8B"/>
    <w:rsid w:val="7FF73A83"/>
    <w:rsid w:val="7FFE32FF"/>
    <w:rsid w:val="827E9867"/>
    <w:rsid w:val="8FF82F71"/>
    <w:rsid w:val="9F75787D"/>
    <w:rsid w:val="9F7D21F7"/>
    <w:rsid w:val="AF773B5C"/>
    <w:rsid w:val="B3EF09D2"/>
    <w:rsid w:val="B77D906C"/>
    <w:rsid w:val="BF6F2533"/>
    <w:rsid w:val="BFEC10A9"/>
    <w:rsid w:val="BFF740E0"/>
    <w:rsid w:val="BFFCD78A"/>
    <w:rsid w:val="CFDB75BE"/>
    <w:rsid w:val="D15E8511"/>
    <w:rsid w:val="D5F3ECBF"/>
    <w:rsid w:val="DC8721F3"/>
    <w:rsid w:val="DDB71188"/>
    <w:rsid w:val="DF5B75B2"/>
    <w:rsid w:val="DF5DA00D"/>
    <w:rsid w:val="DF7F0C6B"/>
    <w:rsid w:val="DFDF3883"/>
    <w:rsid w:val="DFF51A45"/>
    <w:rsid w:val="DFF7D789"/>
    <w:rsid w:val="DFFF7925"/>
    <w:rsid w:val="E7BFC3BD"/>
    <w:rsid w:val="EAFBBB50"/>
    <w:rsid w:val="EDF33579"/>
    <w:rsid w:val="EEA6631E"/>
    <w:rsid w:val="EEF541D3"/>
    <w:rsid w:val="EFD38205"/>
    <w:rsid w:val="F6EC2AB0"/>
    <w:rsid w:val="F73E867F"/>
    <w:rsid w:val="FAE69DA7"/>
    <w:rsid w:val="FBEF51FC"/>
    <w:rsid w:val="FCFCA8E1"/>
    <w:rsid w:val="FDDFB6E1"/>
    <w:rsid w:val="FEDDBDFB"/>
    <w:rsid w:val="FEF9E200"/>
    <w:rsid w:val="FF663C29"/>
    <w:rsid w:val="FF797B8B"/>
    <w:rsid w:val="FF7F0108"/>
    <w:rsid w:val="FF7FCA5C"/>
    <w:rsid w:val="FF9F1FC7"/>
    <w:rsid w:val="FF9FFB38"/>
    <w:rsid w:val="FFF7B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basedOn w:val="6"/>
    <w:qFormat/>
    <w:uiPriority w:val="20"/>
    <w:rPr>
      <w:i/>
    </w:rPr>
  </w:style>
  <w:style w:type="paragraph" w:styleId="8">
    <w:name w:val="List Paragraph"/>
    <w:basedOn w:val="1"/>
    <w:qFormat/>
    <w:uiPriority w:val="34"/>
    <w:pPr>
      <w:ind w:firstLine="420" w:firstLineChars="200"/>
    </w:pPr>
  </w:style>
  <w:style w:type="character" w:customStyle="1" w:styleId="9">
    <w:name w:val="font11"/>
    <w:basedOn w:val="6"/>
    <w:qFormat/>
    <w:uiPriority w:val="0"/>
    <w:rPr>
      <w:rFonts w:hint="default" w:ascii="Times New Roman" w:hAnsi="Times New Roman" w:cs="Times New Roman"/>
      <w:color w:val="000000"/>
      <w:sz w:val="22"/>
      <w:szCs w:val="22"/>
      <w:u w:val="none"/>
    </w:rPr>
  </w:style>
  <w:style w:type="character" w:customStyle="1" w:styleId="10">
    <w:name w:val="font21"/>
    <w:basedOn w:val="6"/>
    <w:qFormat/>
    <w:uiPriority w:val="0"/>
    <w:rPr>
      <w:rFonts w:hint="default" w:ascii="Times New Roman" w:hAnsi="Times New Roman" w:cs="Times New Roman"/>
      <w:color w:val="000000"/>
      <w:sz w:val="22"/>
      <w:szCs w:val="22"/>
      <w:u w:val="none"/>
    </w:rPr>
  </w:style>
  <w:style w:type="character" w:customStyle="1" w:styleId="11">
    <w:name w:val="页眉 字符"/>
    <w:basedOn w:val="6"/>
    <w:link w:val="3"/>
    <w:qFormat/>
    <w:uiPriority w:val="99"/>
    <w:rPr>
      <w:rFonts w:ascii="Calibri" w:hAnsi="Calibri" w:eastAsia="宋体" w:cs="Times New Roman"/>
      <w:kern w:val="2"/>
      <w:sz w:val="18"/>
      <w:szCs w:val="18"/>
    </w:rPr>
  </w:style>
  <w:style w:type="character" w:customStyle="1" w:styleId="12">
    <w:name w:val="页脚 字符"/>
    <w:basedOn w:val="6"/>
    <w:link w:val="2"/>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1348</Words>
  <Characters>8104</Characters>
  <Lines>90</Lines>
  <Paragraphs>25</Paragraphs>
  <TotalTime>0</TotalTime>
  <ScaleCrop>false</ScaleCrop>
  <LinksUpToDate>false</LinksUpToDate>
  <CharactersWithSpaces>9387</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2022-04-11T03:23:00Z</dcterms:created>
  <dc:creator>XN Zhou</dc:creator>
  <cp:lastModifiedBy>odel</cp:lastModifiedBy>
  <dcterms:modified xsi:type="dcterms:W3CDTF">2022-09-01T23:35:02Z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EF37BD63CABD481580FFB01682698CDE</vt:lpwstr>
  </property>
</Properties>
</file>