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C318F2" w14:textId="77777777" w:rsidR="00226777" w:rsidRPr="000A773E" w:rsidRDefault="000A773E" w:rsidP="00226777">
      <w:pPr>
        <w:tabs>
          <w:tab w:val="left" w:pos="6804"/>
        </w:tabs>
        <w:spacing w:after="0" w:line="240" w:lineRule="auto"/>
        <w:jc w:val="both"/>
        <w:rPr>
          <w:rFonts w:ascii="Times New Roman" w:hAnsi="Times New Roman" w:cs="Times New Roman"/>
          <w:sz w:val="36"/>
          <w:szCs w:val="36"/>
        </w:rPr>
      </w:pPr>
      <w:r>
        <w:rPr>
          <w:rFonts w:ascii="Times New Roman" w:hAnsi="Times New Roman" w:cs="Times New Roman"/>
          <w:sz w:val="36"/>
          <w:szCs w:val="36"/>
        </w:rPr>
        <w:t>Supplementary Information</w:t>
      </w:r>
    </w:p>
    <w:p w14:paraId="2DA0DED2" w14:textId="77777777" w:rsidR="00226777" w:rsidRDefault="00226777" w:rsidP="00226777">
      <w:pPr>
        <w:rPr>
          <w:rFonts w:ascii="Times New Roman" w:eastAsia="CharisSIL" w:hAnsi="Times New Roman" w:cs="Times New Roman"/>
          <w:color w:val="000000"/>
        </w:rPr>
      </w:pPr>
    </w:p>
    <w:p w14:paraId="0F90EF24" w14:textId="77777777" w:rsidR="00226777" w:rsidRDefault="00226777" w:rsidP="00226777">
      <w:pPr>
        <w:spacing w:after="0" w:line="300" w:lineRule="auto"/>
        <w:jc w:val="both"/>
        <w:rPr>
          <w:rFonts w:ascii="Times New Roman" w:eastAsia="CharisSIL" w:hAnsi="Times New Roman" w:cs="Times New Roman"/>
          <w:color w:val="000000"/>
        </w:rPr>
      </w:pPr>
    </w:p>
    <w:p w14:paraId="4632EB2E" w14:textId="3F4DA965" w:rsidR="00226777" w:rsidRDefault="00053BBB" w:rsidP="00226777">
      <w:pPr>
        <w:autoSpaceDE w:val="0"/>
        <w:autoSpaceDN w:val="0"/>
        <w:adjustRightInd w:val="0"/>
        <w:spacing w:after="0" w:line="240" w:lineRule="auto"/>
        <w:jc w:val="both"/>
        <w:rPr>
          <w:rFonts w:ascii="Times New Roman" w:eastAsia="CharisSIL" w:hAnsi="Times New Roman" w:cs="Times New Roman"/>
          <w:color w:val="000000"/>
        </w:rPr>
      </w:pPr>
      <w:r>
        <w:rPr>
          <w:noProof/>
        </w:rPr>
        <w:drawing>
          <wp:inline distT="0" distB="0" distL="0" distR="0" wp14:anchorId="6CB473E1" wp14:editId="6439DBC8">
            <wp:extent cx="3143441" cy="2655736"/>
            <wp:effectExtent l="0" t="0" r="0" b="0"/>
            <wp:docPr id="1132604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46442" cy="2658271"/>
                    </a:xfrm>
                    <a:prstGeom prst="rect">
                      <a:avLst/>
                    </a:prstGeom>
                    <a:noFill/>
                    <a:ln>
                      <a:noFill/>
                    </a:ln>
                  </pic:spPr>
                </pic:pic>
              </a:graphicData>
            </a:graphic>
          </wp:inline>
        </w:drawing>
      </w:r>
    </w:p>
    <w:p w14:paraId="2A7518E8" w14:textId="2D1519CE" w:rsidR="00226777" w:rsidRDefault="009426AE" w:rsidP="00226777">
      <w:pPr>
        <w:pStyle w:val="Caption"/>
        <w:spacing w:after="80"/>
        <w:jc w:val="both"/>
        <w:rPr>
          <w:rFonts w:cs="Times New Roman"/>
          <w:i w:val="0"/>
          <w:color w:val="auto"/>
          <w:sz w:val="22"/>
          <w:szCs w:val="22"/>
        </w:rPr>
      </w:pPr>
      <w:r>
        <w:rPr>
          <w:rFonts w:cs="Times New Roman"/>
          <w:b/>
          <w:i w:val="0"/>
          <w:color w:val="auto"/>
          <w:sz w:val="22"/>
          <w:szCs w:val="22"/>
        </w:rPr>
        <w:t>Fig</w:t>
      </w:r>
      <w:r w:rsidR="00226777" w:rsidRPr="00226777">
        <w:rPr>
          <w:rFonts w:cs="Times New Roman"/>
          <w:b/>
          <w:i w:val="0"/>
          <w:color w:val="auto"/>
          <w:sz w:val="22"/>
          <w:szCs w:val="22"/>
        </w:rPr>
        <w:t xml:space="preserve">. S1 </w:t>
      </w:r>
      <w:r w:rsidR="00226777" w:rsidRPr="0028344F">
        <w:rPr>
          <w:rFonts w:cs="Times New Roman"/>
          <w:i w:val="0"/>
          <w:color w:val="auto"/>
          <w:sz w:val="22"/>
          <w:szCs w:val="22"/>
        </w:rPr>
        <w:t xml:space="preserve">Graph representing the series of </w:t>
      </w:r>
      <w:r w:rsidR="00226777" w:rsidRPr="0028344F">
        <w:rPr>
          <w:rFonts w:cs="Times New Roman"/>
          <w:color w:val="auto"/>
          <w:sz w:val="22"/>
          <w:szCs w:val="22"/>
        </w:rPr>
        <w:t>S</w:t>
      </w:r>
      <w:r w:rsidR="00B062FC" w:rsidRPr="0028344F">
        <w:rPr>
          <w:rFonts w:cs="Times New Roman"/>
          <w:color w:val="auto"/>
          <w:sz w:val="22"/>
          <w:szCs w:val="22"/>
        </w:rPr>
        <w:t>chistosoma</w:t>
      </w:r>
      <w:r w:rsidR="00226777" w:rsidRPr="0028344F">
        <w:rPr>
          <w:rFonts w:cs="Times New Roman"/>
          <w:color w:val="auto"/>
          <w:sz w:val="22"/>
          <w:szCs w:val="22"/>
        </w:rPr>
        <w:t xml:space="preserve"> mansoni</w:t>
      </w:r>
      <w:r w:rsidR="00226777" w:rsidRPr="0028344F">
        <w:rPr>
          <w:rFonts w:cs="Times New Roman"/>
          <w:i w:val="0"/>
          <w:color w:val="auto"/>
          <w:sz w:val="22"/>
          <w:szCs w:val="22"/>
        </w:rPr>
        <w:t xml:space="preserve"> egg DNA inputs of the standard curve with </w:t>
      </w:r>
      <w:r w:rsidR="00226777" w:rsidRPr="0028344F">
        <w:rPr>
          <w:rFonts w:cs="Times New Roman"/>
          <w:color w:val="auto"/>
          <w:sz w:val="22"/>
          <w:szCs w:val="22"/>
        </w:rPr>
        <w:t>Sm1-7</w:t>
      </w:r>
      <w:r w:rsidR="00226777" w:rsidRPr="0028344F">
        <w:rPr>
          <w:rFonts w:cs="Times New Roman"/>
          <w:i w:val="0"/>
          <w:color w:val="auto"/>
          <w:sz w:val="22"/>
          <w:szCs w:val="22"/>
        </w:rPr>
        <w:t>-qPCR Ct values.</w:t>
      </w:r>
      <w:r w:rsidR="00226777" w:rsidRPr="00E53A02">
        <w:t xml:space="preserve"> </w:t>
      </w:r>
      <w:r w:rsidR="00226777" w:rsidRPr="00E53A02">
        <w:rPr>
          <w:rFonts w:cs="Times New Roman"/>
          <w:i w:val="0"/>
          <w:color w:val="auto"/>
          <w:sz w:val="22"/>
          <w:szCs w:val="22"/>
        </w:rPr>
        <w:t xml:space="preserve">All error bars are calculated based on results obtained </w:t>
      </w:r>
      <w:r w:rsidR="00226777">
        <w:rPr>
          <w:rFonts w:cs="Times New Roman"/>
          <w:i w:val="0"/>
          <w:color w:val="auto"/>
          <w:sz w:val="22"/>
          <w:szCs w:val="22"/>
        </w:rPr>
        <w:t>from</w:t>
      </w:r>
      <w:r w:rsidR="00226777" w:rsidRPr="00E53A02">
        <w:rPr>
          <w:rFonts w:cs="Times New Roman"/>
          <w:i w:val="0"/>
          <w:color w:val="auto"/>
          <w:sz w:val="22"/>
          <w:szCs w:val="22"/>
        </w:rPr>
        <w:t xml:space="preserve"> three replicate</w:t>
      </w:r>
      <w:r w:rsidR="00226777">
        <w:rPr>
          <w:rFonts w:cs="Times New Roman"/>
          <w:i w:val="0"/>
          <w:color w:val="auto"/>
          <w:sz w:val="22"/>
          <w:szCs w:val="22"/>
        </w:rPr>
        <w:t>s</w:t>
      </w:r>
      <w:r w:rsidR="00226777" w:rsidRPr="00E53A02">
        <w:rPr>
          <w:rFonts w:cs="Times New Roman"/>
          <w:i w:val="0"/>
          <w:color w:val="auto"/>
          <w:sz w:val="22"/>
          <w:szCs w:val="22"/>
        </w:rPr>
        <w:t>. R</w:t>
      </w:r>
      <w:r w:rsidR="00226777" w:rsidRPr="00E53A02">
        <w:rPr>
          <w:rFonts w:cs="Times New Roman"/>
          <w:i w:val="0"/>
          <w:color w:val="auto"/>
          <w:sz w:val="22"/>
          <w:szCs w:val="22"/>
          <w:vertAlign w:val="superscript"/>
        </w:rPr>
        <w:t>2</w:t>
      </w:r>
      <w:r w:rsidR="00226777" w:rsidRPr="00E53A02">
        <w:rPr>
          <w:rFonts w:cs="Times New Roman"/>
          <w:i w:val="0"/>
          <w:color w:val="auto"/>
          <w:sz w:val="22"/>
          <w:szCs w:val="22"/>
        </w:rPr>
        <w:t> = coefficient of deter</w:t>
      </w:r>
      <w:bookmarkStart w:id="0" w:name="_GoBack"/>
      <w:bookmarkEnd w:id="0"/>
      <w:r w:rsidR="00226777" w:rsidRPr="00E53A02">
        <w:rPr>
          <w:rFonts w:cs="Times New Roman"/>
          <w:i w:val="0"/>
          <w:color w:val="auto"/>
          <w:sz w:val="22"/>
          <w:szCs w:val="22"/>
        </w:rPr>
        <w:t>mination</w:t>
      </w:r>
      <w:r w:rsidR="00226777">
        <w:rPr>
          <w:rFonts w:cs="Times New Roman"/>
          <w:i w:val="0"/>
          <w:color w:val="auto"/>
          <w:sz w:val="22"/>
          <w:szCs w:val="22"/>
        </w:rPr>
        <w:t xml:space="preserve"> and</w:t>
      </w:r>
      <w:r w:rsidR="00226777" w:rsidRPr="00D15155">
        <w:rPr>
          <w:rFonts w:cs="Times New Roman"/>
          <w:i w:val="0"/>
          <w:color w:val="auto"/>
          <w:sz w:val="22"/>
          <w:szCs w:val="22"/>
        </w:rPr>
        <w:t xml:space="preserve"> </w:t>
      </w:r>
      <w:r w:rsidR="00226777">
        <w:rPr>
          <w:rFonts w:cs="Times New Roman"/>
          <w:i w:val="0"/>
          <w:color w:val="auto"/>
          <w:sz w:val="22"/>
          <w:szCs w:val="22"/>
        </w:rPr>
        <w:t>E = reaction efficiency.</w:t>
      </w:r>
    </w:p>
    <w:p w14:paraId="694943E9" w14:textId="77777777" w:rsidR="00226777" w:rsidRDefault="00226777" w:rsidP="00226777">
      <w:pPr>
        <w:rPr>
          <w:lang w:val="en-AU"/>
        </w:rPr>
      </w:pPr>
    </w:p>
    <w:p w14:paraId="3ABF345C" w14:textId="20023BAF" w:rsidR="006A5279" w:rsidRDefault="006B5395" w:rsidP="008C7E2F">
      <w:pPr>
        <w:spacing w:after="0"/>
        <w:rPr>
          <w:lang w:val="en-AU"/>
        </w:rPr>
      </w:pPr>
      <w:r w:rsidRPr="006B5395">
        <w:rPr>
          <w:noProof/>
        </w:rPr>
        <w:drawing>
          <wp:inline distT="0" distB="0" distL="0" distR="0" wp14:anchorId="24D456FE" wp14:editId="6BB39232">
            <wp:extent cx="4316819" cy="2653495"/>
            <wp:effectExtent l="0" t="0" r="7620" b="0"/>
            <wp:docPr id="2" name="Picture 2" descr="D:\Sm PCR\MS\Figure\Fig S\S2\s2-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m PCR\MS\Figure\Fig S\S2\s2-6.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30371" cy="2661825"/>
                    </a:xfrm>
                    <a:prstGeom prst="rect">
                      <a:avLst/>
                    </a:prstGeom>
                    <a:noFill/>
                    <a:ln>
                      <a:noFill/>
                    </a:ln>
                  </pic:spPr>
                </pic:pic>
              </a:graphicData>
            </a:graphic>
          </wp:inline>
        </w:drawing>
      </w:r>
    </w:p>
    <w:p w14:paraId="54488AC8" w14:textId="788DC892" w:rsidR="00226777" w:rsidRDefault="009426AE" w:rsidP="00226777">
      <w:pPr>
        <w:pStyle w:val="Caption"/>
        <w:spacing w:after="80"/>
        <w:jc w:val="both"/>
        <w:rPr>
          <w:rFonts w:eastAsia="CharisSIL" w:cs="Times New Roman"/>
          <w:i w:val="0"/>
          <w:color w:val="000000"/>
          <w:sz w:val="22"/>
          <w:szCs w:val="22"/>
        </w:rPr>
      </w:pPr>
      <w:r>
        <w:rPr>
          <w:rFonts w:cs="Times New Roman"/>
          <w:b/>
          <w:i w:val="0"/>
          <w:color w:val="auto"/>
          <w:sz w:val="22"/>
          <w:szCs w:val="22"/>
        </w:rPr>
        <w:t>Fig.</w:t>
      </w:r>
      <w:r w:rsidR="00226777" w:rsidRPr="00226777">
        <w:rPr>
          <w:rFonts w:cs="Times New Roman"/>
          <w:b/>
          <w:i w:val="0"/>
          <w:color w:val="auto"/>
          <w:sz w:val="22"/>
          <w:szCs w:val="22"/>
        </w:rPr>
        <w:t xml:space="preserve"> S2 </w:t>
      </w:r>
      <w:r w:rsidR="00226777" w:rsidRPr="0028344F">
        <w:rPr>
          <w:rFonts w:eastAsia="CharisSIL" w:cs="Times New Roman"/>
          <w:i w:val="0"/>
          <w:color w:val="000000"/>
          <w:sz w:val="22"/>
          <w:szCs w:val="22"/>
        </w:rPr>
        <w:t>DNA concentration analysis.</w:t>
      </w:r>
      <w:r w:rsidR="00226777" w:rsidRPr="00F5657A">
        <w:rPr>
          <w:rFonts w:eastAsia="CharisSIL" w:cs="Times New Roman"/>
          <w:i w:val="0"/>
          <w:color w:val="000000"/>
          <w:sz w:val="22"/>
          <w:szCs w:val="22"/>
        </w:rPr>
        <w:t xml:space="preserve"> </w:t>
      </w:r>
      <w:r w:rsidR="00226777" w:rsidRPr="008F4678">
        <w:rPr>
          <w:rFonts w:eastAsia="CharisSIL" w:cs="Times New Roman"/>
          <w:b/>
          <w:i w:val="0"/>
          <w:color w:val="000000"/>
          <w:sz w:val="22"/>
          <w:szCs w:val="22"/>
        </w:rPr>
        <w:t>A</w:t>
      </w:r>
      <w:r w:rsidR="00226777" w:rsidRPr="00F5657A">
        <w:rPr>
          <w:rFonts w:eastAsia="CharisSIL" w:cs="Times New Roman"/>
          <w:i w:val="0"/>
          <w:color w:val="000000"/>
          <w:sz w:val="22"/>
          <w:szCs w:val="22"/>
        </w:rPr>
        <w:t xml:space="preserve"> Comparison of DNA concentration </w:t>
      </w:r>
      <w:r w:rsidR="00226777">
        <w:rPr>
          <w:rFonts w:eastAsia="CharisSIL" w:cs="Times New Roman"/>
          <w:i w:val="0"/>
          <w:color w:val="000000"/>
          <w:sz w:val="22"/>
          <w:szCs w:val="22"/>
        </w:rPr>
        <w:t>of samples (</w:t>
      </w:r>
      <w:r w:rsidR="00226777" w:rsidRPr="006B5395">
        <w:rPr>
          <w:rFonts w:eastAsia="CharisSIL" w:cs="Times New Roman"/>
          <w:color w:val="000000"/>
          <w:sz w:val="22"/>
          <w:szCs w:val="22"/>
        </w:rPr>
        <w:t>n</w:t>
      </w:r>
      <w:r w:rsidR="00226777">
        <w:rPr>
          <w:rFonts w:eastAsia="CharisSIL" w:cs="Times New Roman"/>
          <w:i w:val="0"/>
          <w:color w:val="000000"/>
          <w:sz w:val="22"/>
          <w:szCs w:val="22"/>
        </w:rPr>
        <w:t xml:space="preserve"> = 482) extracted using </w:t>
      </w:r>
      <w:r w:rsidR="00226777" w:rsidRPr="00F5657A">
        <w:rPr>
          <w:rFonts w:eastAsia="CharisSIL" w:cs="Times New Roman"/>
          <w:i w:val="0"/>
          <w:color w:val="000000"/>
          <w:sz w:val="22"/>
          <w:szCs w:val="22"/>
        </w:rPr>
        <w:t xml:space="preserve">Maxwell </w:t>
      </w:r>
      <w:r w:rsidR="00226777">
        <w:rPr>
          <w:rFonts w:eastAsia="CharisSIL" w:cs="Times New Roman"/>
          <w:i w:val="0"/>
          <w:color w:val="000000"/>
          <w:sz w:val="22"/>
          <w:szCs w:val="22"/>
        </w:rPr>
        <w:t>kit</w:t>
      </w:r>
      <w:r w:rsidR="00226777" w:rsidRPr="00F5657A">
        <w:rPr>
          <w:rFonts w:eastAsia="CharisSIL" w:cs="Times New Roman"/>
          <w:i w:val="0"/>
          <w:color w:val="000000"/>
          <w:sz w:val="22"/>
          <w:szCs w:val="22"/>
        </w:rPr>
        <w:t>-</w:t>
      </w:r>
      <w:r w:rsidR="00226777">
        <w:rPr>
          <w:rFonts w:eastAsia="CharisSIL" w:cs="Times New Roman"/>
          <w:i w:val="0"/>
          <w:color w:val="000000"/>
          <w:sz w:val="22"/>
          <w:szCs w:val="22"/>
        </w:rPr>
        <w:t>based and</w:t>
      </w:r>
      <w:r w:rsidR="00226777" w:rsidRPr="00F5657A">
        <w:rPr>
          <w:rFonts w:eastAsia="CharisSIL" w:cs="Times New Roman"/>
          <w:i w:val="0"/>
          <w:color w:val="000000"/>
          <w:sz w:val="22"/>
          <w:szCs w:val="22"/>
        </w:rPr>
        <w:t xml:space="preserve"> </w:t>
      </w:r>
      <w:r w:rsidR="00226777">
        <w:rPr>
          <w:rFonts w:eastAsia="CharisSIL" w:cs="Times New Roman"/>
          <w:i w:val="0"/>
          <w:color w:val="000000"/>
          <w:sz w:val="22"/>
          <w:szCs w:val="22"/>
        </w:rPr>
        <w:t>NaOH-based methods</w:t>
      </w:r>
      <w:r w:rsidR="00226777" w:rsidRPr="00F5657A">
        <w:rPr>
          <w:rFonts w:eastAsia="CharisSIL" w:cs="Times New Roman"/>
          <w:i w:val="0"/>
          <w:color w:val="000000"/>
          <w:sz w:val="22"/>
          <w:szCs w:val="22"/>
        </w:rPr>
        <w:t xml:space="preserve"> (</w:t>
      </w:r>
      <w:r w:rsidR="00226777" w:rsidRPr="007B7F7B">
        <w:rPr>
          <w:rFonts w:eastAsia="CharisSIL" w:cs="Times New Roman"/>
          <w:color w:val="000000"/>
          <w:sz w:val="22"/>
          <w:szCs w:val="22"/>
        </w:rPr>
        <w:t xml:space="preserve">P </w:t>
      </w:r>
      <w:r w:rsidR="00226777" w:rsidRPr="00F5657A">
        <w:rPr>
          <w:rFonts w:eastAsia="CharisSIL" w:cs="Times New Roman"/>
          <w:i w:val="0"/>
          <w:color w:val="000000"/>
          <w:sz w:val="22"/>
          <w:szCs w:val="22"/>
        </w:rPr>
        <w:t>&lt; 0.0001,</w:t>
      </w:r>
      <w:r w:rsidR="00226777">
        <w:rPr>
          <w:rFonts w:eastAsia="CharisSIL" w:cs="Times New Roman"/>
          <w:i w:val="0"/>
          <w:color w:val="000000"/>
          <w:sz w:val="22"/>
          <w:szCs w:val="22"/>
        </w:rPr>
        <w:t xml:space="preserve"> </w:t>
      </w:r>
      <w:r w:rsidR="00226777" w:rsidRPr="00F5657A">
        <w:rPr>
          <w:rFonts w:eastAsia="CharisSIL" w:cs="Times New Roman"/>
          <w:i w:val="0"/>
          <w:color w:val="000000"/>
          <w:sz w:val="22"/>
          <w:szCs w:val="22"/>
        </w:rPr>
        <w:t xml:space="preserve">Wilcoxon signed-rank test). The boxes represent the interquartile range of the data, while the lines across the boxes indicate the median values. The hash marks positioned below and above the boxes represent the 5th and 95th percentiles for each group, respectively. </w:t>
      </w:r>
      <w:r w:rsidR="00226777" w:rsidRPr="008F4678">
        <w:rPr>
          <w:rFonts w:eastAsia="CharisSIL" w:cs="Times New Roman"/>
          <w:b/>
          <w:i w:val="0"/>
          <w:color w:val="000000"/>
          <w:sz w:val="22"/>
          <w:szCs w:val="22"/>
        </w:rPr>
        <w:fldChar w:fldCharType="begin"/>
      </w:r>
      <w:r w:rsidR="00226777" w:rsidRPr="008F4678">
        <w:rPr>
          <w:rFonts w:eastAsia="CharisSIL" w:cs="Times New Roman"/>
          <w:b/>
          <w:i w:val="0"/>
          <w:color w:val="000000"/>
          <w:sz w:val="22"/>
          <w:szCs w:val="22"/>
        </w:rPr>
        <w:instrText xml:space="preserve"> ADDIN </w:instrText>
      </w:r>
      <w:r w:rsidR="00226777" w:rsidRPr="008F4678">
        <w:rPr>
          <w:rFonts w:eastAsia="CharisSIL" w:cs="Times New Roman"/>
          <w:b/>
          <w:i w:val="0"/>
          <w:color w:val="000000"/>
          <w:sz w:val="22"/>
          <w:szCs w:val="22"/>
        </w:rPr>
        <w:fldChar w:fldCharType="end"/>
      </w:r>
      <w:r w:rsidR="00226777" w:rsidRPr="008F4678">
        <w:rPr>
          <w:rFonts w:eastAsia="CharisSIL" w:cs="Times New Roman"/>
          <w:b/>
          <w:i w:val="0"/>
          <w:color w:val="000000"/>
          <w:sz w:val="22"/>
          <w:szCs w:val="22"/>
        </w:rPr>
        <w:t>B</w:t>
      </w:r>
      <w:r w:rsidR="00226777" w:rsidRPr="00F5657A">
        <w:rPr>
          <w:rFonts w:eastAsia="CharisSIL" w:cs="Times New Roman"/>
          <w:i w:val="0"/>
          <w:color w:val="000000"/>
          <w:sz w:val="22"/>
          <w:szCs w:val="22"/>
        </w:rPr>
        <w:t xml:space="preserve"> Correlation of DNA concentration between the </w:t>
      </w:r>
      <w:r w:rsidR="00226777" w:rsidRPr="00D223BB">
        <w:rPr>
          <w:rFonts w:eastAsia="CharisSIL" w:cs="Times New Roman"/>
          <w:i w:val="0"/>
          <w:color w:val="000000"/>
          <w:sz w:val="22"/>
          <w:szCs w:val="22"/>
        </w:rPr>
        <w:t>two methods</w:t>
      </w:r>
      <w:r w:rsidR="00226777" w:rsidRPr="00F5657A">
        <w:rPr>
          <w:rFonts w:eastAsia="CharisSIL" w:cs="Times New Roman"/>
          <w:i w:val="0"/>
          <w:color w:val="000000"/>
          <w:sz w:val="22"/>
          <w:szCs w:val="22"/>
        </w:rPr>
        <w:t xml:space="preserve"> was measured using Spearman's rank</w:t>
      </w:r>
      <w:r w:rsidR="00226777">
        <w:rPr>
          <w:rFonts w:eastAsia="CharisSIL" w:cs="Times New Roman"/>
          <w:i w:val="0"/>
          <w:color w:val="000000"/>
          <w:sz w:val="22"/>
          <w:szCs w:val="22"/>
        </w:rPr>
        <w:t xml:space="preserve"> c</w:t>
      </w:r>
      <w:r w:rsidR="00226777" w:rsidRPr="00F5657A">
        <w:rPr>
          <w:rFonts w:eastAsia="CharisSIL" w:cs="Times New Roman"/>
          <w:i w:val="0"/>
          <w:color w:val="000000"/>
          <w:sz w:val="22"/>
          <w:szCs w:val="22"/>
        </w:rPr>
        <w:t>orrelation</w:t>
      </w:r>
      <w:r w:rsidR="00226777">
        <w:rPr>
          <w:rFonts w:eastAsia="CharisSIL" w:cs="Times New Roman"/>
          <w:i w:val="0"/>
          <w:color w:val="000000"/>
          <w:sz w:val="22"/>
          <w:szCs w:val="22"/>
        </w:rPr>
        <w:t xml:space="preserve"> </w:t>
      </w:r>
      <w:r w:rsidR="00226777" w:rsidRPr="00AB63EE">
        <w:rPr>
          <w:rFonts w:eastAsia="CharisSIL" w:cs="Times New Roman"/>
          <w:i w:val="0"/>
          <w:color w:val="000000"/>
          <w:sz w:val="22"/>
          <w:szCs w:val="22"/>
        </w:rPr>
        <w:t>coefficient</w:t>
      </w:r>
      <w:r w:rsidR="00226777" w:rsidRPr="00F5657A">
        <w:rPr>
          <w:rFonts w:eastAsia="CharisSIL" w:cs="Times New Roman"/>
          <w:i w:val="0"/>
          <w:color w:val="000000"/>
          <w:sz w:val="22"/>
          <w:szCs w:val="22"/>
        </w:rPr>
        <w:t>.</w:t>
      </w:r>
      <w:r w:rsidR="001D7B24">
        <w:rPr>
          <w:rFonts w:eastAsia="CharisSIL" w:cs="Times New Roman"/>
          <w:i w:val="0"/>
          <w:color w:val="000000"/>
          <w:sz w:val="22"/>
          <w:szCs w:val="22"/>
        </w:rPr>
        <w:t xml:space="preserve"> Pink and blue cycles represent </w:t>
      </w:r>
      <w:r w:rsidR="007D18A9">
        <w:rPr>
          <w:rFonts w:eastAsia="CharisSIL" w:cs="Times New Roman"/>
          <w:i w:val="0"/>
          <w:color w:val="000000"/>
          <w:sz w:val="22"/>
          <w:szCs w:val="22"/>
        </w:rPr>
        <w:t xml:space="preserve">KK-positive and </w:t>
      </w:r>
      <w:r w:rsidR="001D7B24" w:rsidRPr="001D7B24">
        <w:rPr>
          <w:rFonts w:eastAsia="CharisSIL" w:cs="Times New Roman"/>
          <w:i w:val="0"/>
          <w:color w:val="000000"/>
          <w:sz w:val="22"/>
          <w:szCs w:val="22"/>
        </w:rPr>
        <w:t>KK-negative</w:t>
      </w:r>
      <w:r w:rsidR="007D18A9">
        <w:rPr>
          <w:rFonts w:eastAsia="CharisSIL" w:cs="Times New Roman"/>
          <w:i w:val="0"/>
          <w:color w:val="000000"/>
          <w:sz w:val="22"/>
          <w:szCs w:val="22"/>
        </w:rPr>
        <w:t xml:space="preserve"> samples, respectively.</w:t>
      </w:r>
    </w:p>
    <w:p w14:paraId="7E0100EE" w14:textId="77777777" w:rsidR="00455E1C" w:rsidRDefault="00455E1C"/>
    <w:sectPr w:rsidR="00455E1C" w:rsidSect="006B539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29A6F4" w14:textId="77777777" w:rsidR="005E00DC" w:rsidRDefault="005E00DC">
      <w:pPr>
        <w:spacing w:after="0" w:line="240" w:lineRule="auto"/>
      </w:pPr>
      <w:r>
        <w:separator/>
      </w:r>
    </w:p>
  </w:endnote>
  <w:endnote w:type="continuationSeparator" w:id="0">
    <w:p w14:paraId="3AAF8D53" w14:textId="77777777" w:rsidR="005E00DC" w:rsidRDefault="005E0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harisSIL">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8199971"/>
      <w:docPartObj>
        <w:docPartGallery w:val="Page Numbers (Bottom of Page)"/>
        <w:docPartUnique/>
      </w:docPartObj>
    </w:sdtPr>
    <w:sdtEndPr>
      <w:rPr>
        <w:noProof/>
      </w:rPr>
    </w:sdtEndPr>
    <w:sdtContent>
      <w:p w14:paraId="6753E315" w14:textId="12818F85" w:rsidR="00455E1C" w:rsidRDefault="00226777">
        <w:pPr>
          <w:pStyle w:val="Footer"/>
          <w:jc w:val="center"/>
        </w:pPr>
        <w:r>
          <w:fldChar w:fldCharType="begin"/>
        </w:r>
        <w:r>
          <w:instrText xml:space="preserve"> PAGE   \* MERGEFORMAT </w:instrText>
        </w:r>
        <w:r>
          <w:fldChar w:fldCharType="separate"/>
        </w:r>
        <w:r w:rsidR="0028344F">
          <w:rPr>
            <w:noProof/>
          </w:rPr>
          <w:t>1</w:t>
        </w:r>
        <w:r>
          <w:rPr>
            <w:noProof/>
          </w:rPr>
          <w:fldChar w:fldCharType="end"/>
        </w:r>
      </w:p>
    </w:sdtContent>
  </w:sdt>
  <w:p w14:paraId="183B9A36" w14:textId="77777777" w:rsidR="00455E1C" w:rsidRDefault="00455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567C4" w14:textId="77777777" w:rsidR="005E00DC" w:rsidRDefault="005E00DC">
      <w:pPr>
        <w:spacing w:after="0" w:line="240" w:lineRule="auto"/>
      </w:pPr>
      <w:r>
        <w:separator/>
      </w:r>
    </w:p>
  </w:footnote>
  <w:footnote w:type="continuationSeparator" w:id="0">
    <w:p w14:paraId="2B145D9A" w14:textId="77777777" w:rsidR="005E00DC" w:rsidRDefault="005E00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3DF"/>
    <w:rsid w:val="00053BBB"/>
    <w:rsid w:val="000A773E"/>
    <w:rsid w:val="00154206"/>
    <w:rsid w:val="0018147C"/>
    <w:rsid w:val="0019704B"/>
    <w:rsid w:val="001D7B24"/>
    <w:rsid w:val="00226777"/>
    <w:rsid w:val="00273F62"/>
    <w:rsid w:val="0028344F"/>
    <w:rsid w:val="004041BE"/>
    <w:rsid w:val="00455E1C"/>
    <w:rsid w:val="00497B83"/>
    <w:rsid w:val="005433F7"/>
    <w:rsid w:val="00585FFD"/>
    <w:rsid w:val="005E00DC"/>
    <w:rsid w:val="005F7619"/>
    <w:rsid w:val="0069043F"/>
    <w:rsid w:val="006A5279"/>
    <w:rsid w:val="006B5395"/>
    <w:rsid w:val="0070245C"/>
    <w:rsid w:val="007A043F"/>
    <w:rsid w:val="007D18A9"/>
    <w:rsid w:val="008C7E2F"/>
    <w:rsid w:val="008F4678"/>
    <w:rsid w:val="009426AE"/>
    <w:rsid w:val="009E24D9"/>
    <w:rsid w:val="00A676C7"/>
    <w:rsid w:val="00B062FC"/>
    <w:rsid w:val="00B613DF"/>
    <w:rsid w:val="00BA0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B99C0"/>
  <w15:chartTrackingRefBased/>
  <w15:docId w15:val="{41B76100-E1A4-496D-A9EF-B047C887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7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26777"/>
    <w:pPr>
      <w:spacing w:after="200" w:line="240" w:lineRule="auto"/>
    </w:pPr>
    <w:rPr>
      <w:rFonts w:ascii="Times New Roman" w:hAnsi="Times New Roman"/>
      <w:i/>
      <w:iCs/>
      <w:color w:val="44546A" w:themeColor="text2"/>
      <w:kern w:val="2"/>
      <w:sz w:val="18"/>
      <w:szCs w:val="18"/>
      <w:lang w:val="en-AU"/>
      <w14:ligatures w14:val="standardContextual"/>
    </w:rPr>
  </w:style>
  <w:style w:type="paragraph" w:styleId="Footer">
    <w:name w:val="footer"/>
    <w:basedOn w:val="Normal"/>
    <w:link w:val="FooterChar"/>
    <w:uiPriority w:val="99"/>
    <w:unhideWhenUsed/>
    <w:rsid w:val="002267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777"/>
  </w:style>
  <w:style w:type="character" w:styleId="LineNumber">
    <w:name w:val="line number"/>
    <w:basedOn w:val="DefaultParagraphFont"/>
    <w:uiPriority w:val="99"/>
    <w:semiHidden/>
    <w:unhideWhenUsed/>
    <w:rsid w:val="00226777"/>
  </w:style>
  <w:style w:type="paragraph" w:customStyle="1" w:styleId="Default">
    <w:name w:val="Default"/>
    <w:link w:val="DefaultChar"/>
    <w:rsid w:val="000A773E"/>
    <w:pPr>
      <w:autoSpaceDE w:val="0"/>
      <w:autoSpaceDN w:val="0"/>
      <w:adjustRightInd w:val="0"/>
      <w:spacing w:after="0" w:line="240" w:lineRule="auto"/>
    </w:pPr>
    <w:rPr>
      <w:rFonts w:ascii="Verdana" w:hAnsi="Verdana" w:cs="Verdana"/>
      <w:color w:val="000000"/>
      <w:sz w:val="24"/>
      <w:szCs w:val="24"/>
    </w:rPr>
  </w:style>
  <w:style w:type="character" w:customStyle="1" w:styleId="DefaultChar">
    <w:name w:val="Default Char"/>
    <w:basedOn w:val="DefaultParagraphFont"/>
    <w:link w:val="Default"/>
    <w:rsid w:val="000A773E"/>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1614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140</Words>
  <Characters>799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QIMR Berghofer</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Pengfei Cai</dc:creator>
  <cp:keywords/>
  <dc:description/>
  <cp:lastModifiedBy>Pengfei Cai</cp:lastModifiedBy>
  <cp:revision>17</cp:revision>
  <dcterms:created xsi:type="dcterms:W3CDTF">2026-01-09T01:33:00Z</dcterms:created>
  <dcterms:modified xsi:type="dcterms:W3CDTF">2026-04-12T01:31:00Z</dcterms:modified>
</cp:coreProperties>
</file>