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77" w:type="dxa"/>
        <w:jc w:val="center"/>
        <w:tblLook w:val="04A0" w:firstRow="1" w:lastRow="0" w:firstColumn="1" w:lastColumn="0" w:noHBand="0" w:noVBand="1"/>
      </w:tblPr>
      <w:tblGrid>
        <w:gridCol w:w="816"/>
        <w:gridCol w:w="1576"/>
        <w:gridCol w:w="2625"/>
        <w:gridCol w:w="2074"/>
        <w:gridCol w:w="1512"/>
        <w:gridCol w:w="1474"/>
      </w:tblGrid>
      <w:tr w:rsidR="00D91A63" w14:paraId="22558747" w14:textId="77777777">
        <w:trPr>
          <w:tblHeader/>
          <w:jc w:val="center"/>
        </w:trPr>
        <w:tc>
          <w:tcPr>
            <w:tcW w:w="10077" w:type="dxa"/>
            <w:gridSpan w:val="6"/>
            <w:vAlign w:val="center"/>
          </w:tcPr>
          <w:p w14:paraId="558C0D83" w14:textId="77777777" w:rsidR="00D91A63" w:rsidRDefault="004A41FB">
            <w:pPr>
              <w:snapToGrid w:val="0"/>
              <w:jc w:val="center"/>
              <w:rPr>
                <w:rFonts w:ascii="Times New Roman" w:eastAsia="SimSun" w:hAnsi="Times New Roman" w:cs="Times New Roman"/>
                <w:b/>
                <w:bCs/>
                <w:i/>
                <w:kern w:val="0"/>
                <w:sz w:val="18"/>
                <w:szCs w:val="18"/>
              </w:rPr>
            </w:pPr>
            <w:bookmarkStart w:id="0" w:name="_GoBack"/>
            <w:r>
              <w:rPr>
                <w:rFonts w:ascii="Times New Roman" w:eastAsia="SimSun" w:hAnsi="Times New Roman" w:cs="Times New Roman"/>
                <w:b/>
                <w:bCs/>
                <w:i/>
                <w:kern w:val="0"/>
                <w:szCs w:val="21"/>
              </w:rPr>
              <w:t xml:space="preserve">Supplementary Table </w:t>
            </w:r>
            <w:r>
              <w:rPr>
                <w:rFonts w:ascii="Times New Roman" w:eastAsia="SimSun" w:hAnsi="Times New Roman" w:cs="Times New Roman" w:hint="eastAsia"/>
                <w:b/>
                <w:bCs/>
                <w:i/>
                <w:kern w:val="0"/>
                <w:szCs w:val="21"/>
              </w:rPr>
              <w:t xml:space="preserve">1. </w:t>
            </w:r>
            <w:r>
              <w:rPr>
                <w:rFonts w:ascii="Times New Roman" w:eastAsia="SimSun" w:hAnsi="Times New Roman" w:cs="Times New Roman"/>
                <w:b/>
                <w:bCs/>
                <w:i/>
                <w:kern w:val="0"/>
                <w:szCs w:val="21"/>
              </w:rPr>
              <w:t xml:space="preserve">Operational definitions, calculation methods, units, and directionality of the final </w:t>
            </w:r>
            <w:r>
              <w:rPr>
                <w:rFonts w:ascii="Times New Roman" w:eastAsia="SimSun" w:hAnsi="Times New Roman" w:cs="Times New Roman" w:hint="eastAsia"/>
                <w:b/>
                <w:bCs/>
                <w:i/>
                <w:kern w:val="0"/>
                <w:szCs w:val="21"/>
              </w:rPr>
              <w:t>t</w:t>
            </w:r>
            <w:r>
              <w:rPr>
                <w:rFonts w:ascii="Times New Roman" w:eastAsia="SimSun" w:hAnsi="Times New Roman" w:cs="Times New Roman"/>
                <w:b/>
                <w:bCs/>
                <w:i/>
                <w:kern w:val="0"/>
                <w:szCs w:val="21"/>
              </w:rPr>
              <w:t>hird-level indicators in the county-level schistosomiasis transmission risk assessment framework</w:t>
            </w:r>
          </w:p>
        </w:tc>
      </w:tr>
      <w:tr w:rsidR="00D91A63" w14:paraId="53E5EBEC" w14:textId="77777777">
        <w:trPr>
          <w:tblHeader/>
          <w:jc w:val="center"/>
        </w:trPr>
        <w:tc>
          <w:tcPr>
            <w:tcW w:w="0" w:type="auto"/>
            <w:vAlign w:val="center"/>
          </w:tcPr>
          <w:p w14:paraId="0B05204B"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hint="eastAsia"/>
                <w:b/>
                <w:bCs/>
                <w:i/>
                <w:kern w:val="0"/>
                <w:sz w:val="18"/>
                <w:szCs w:val="18"/>
              </w:rPr>
              <w:t>C</w:t>
            </w:r>
            <w:r>
              <w:rPr>
                <w:rFonts w:ascii="Times New Roman" w:eastAsia="SimSun" w:hAnsi="Times New Roman" w:cs="Times New Roman"/>
                <w:b/>
                <w:bCs/>
                <w:i/>
                <w:kern w:val="0"/>
                <w:sz w:val="18"/>
                <w:szCs w:val="18"/>
              </w:rPr>
              <w:t>ode</w:t>
            </w:r>
          </w:p>
        </w:tc>
        <w:tc>
          <w:tcPr>
            <w:tcW w:w="1576" w:type="dxa"/>
            <w:vAlign w:val="center"/>
          </w:tcPr>
          <w:p w14:paraId="2D963796"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b/>
                <w:bCs/>
                <w:i/>
                <w:kern w:val="0"/>
                <w:sz w:val="18"/>
                <w:szCs w:val="18"/>
              </w:rPr>
              <w:t>T</w:t>
            </w:r>
            <w:r>
              <w:rPr>
                <w:rFonts w:ascii="Times New Roman" w:eastAsia="SimSun" w:hAnsi="Times New Roman" w:cs="Times New Roman"/>
                <w:b/>
                <w:bCs/>
                <w:i/>
                <w:kern w:val="0"/>
                <w:sz w:val="18"/>
                <w:szCs w:val="18"/>
              </w:rPr>
              <w:t>hird-level</w:t>
            </w:r>
            <w:r>
              <w:rPr>
                <w:rFonts w:ascii="Times New Roman" w:eastAsia="SimSun" w:hAnsi="Times New Roman" w:cs="Times New Roman"/>
                <w:b/>
                <w:bCs/>
                <w:i/>
                <w:kern w:val="0"/>
                <w:sz w:val="18"/>
                <w:szCs w:val="18"/>
              </w:rPr>
              <w:t xml:space="preserve"> i</w:t>
            </w:r>
            <w:r>
              <w:rPr>
                <w:rFonts w:ascii="Times New Roman" w:eastAsia="SimSun" w:hAnsi="Times New Roman" w:cs="Times New Roman"/>
                <w:b/>
                <w:bCs/>
                <w:i/>
                <w:kern w:val="0"/>
                <w:sz w:val="18"/>
                <w:szCs w:val="18"/>
              </w:rPr>
              <w:t>ndicator</w:t>
            </w:r>
          </w:p>
        </w:tc>
        <w:tc>
          <w:tcPr>
            <w:tcW w:w="2625" w:type="dxa"/>
            <w:vAlign w:val="center"/>
          </w:tcPr>
          <w:p w14:paraId="46AFCBA2"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b/>
                <w:bCs/>
                <w:i/>
                <w:kern w:val="0"/>
                <w:sz w:val="18"/>
                <w:szCs w:val="18"/>
              </w:rPr>
              <w:t xml:space="preserve">Operational </w:t>
            </w:r>
            <w:r>
              <w:rPr>
                <w:rFonts w:ascii="Times New Roman" w:eastAsia="SimSun" w:hAnsi="Times New Roman" w:cs="Times New Roman"/>
                <w:b/>
                <w:bCs/>
                <w:i/>
                <w:kern w:val="0"/>
                <w:sz w:val="18"/>
                <w:szCs w:val="18"/>
              </w:rPr>
              <w:t>description</w:t>
            </w:r>
          </w:p>
        </w:tc>
        <w:tc>
          <w:tcPr>
            <w:tcW w:w="0" w:type="auto"/>
            <w:vAlign w:val="center"/>
          </w:tcPr>
          <w:p w14:paraId="0578EDCB"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b/>
                <w:bCs/>
                <w:i/>
                <w:kern w:val="0"/>
                <w:sz w:val="18"/>
                <w:szCs w:val="18"/>
              </w:rPr>
              <w:t xml:space="preserve">Formula/ </w:t>
            </w:r>
            <w:r>
              <w:rPr>
                <w:rFonts w:ascii="Times New Roman" w:eastAsia="SimSun" w:hAnsi="Times New Roman" w:cs="Times New Roman" w:hint="eastAsia"/>
                <w:b/>
                <w:bCs/>
                <w:i/>
                <w:kern w:val="0"/>
                <w:sz w:val="18"/>
                <w:szCs w:val="18"/>
              </w:rPr>
              <w:t>C</w:t>
            </w:r>
            <w:r>
              <w:rPr>
                <w:rFonts w:ascii="Times New Roman" w:eastAsia="SimSun" w:hAnsi="Times New Roman" w:cs="Times New Roman"/>
                <w:b/>
                <w:bCs/>
                <w:i/>
                <w:kern w:val="0"/>
                <w:sz w:val="18"/>
                <w:szCs w:val="18"/>
              </w:rPr>
              <w:t>alculation</w:t>
            </w:r>
          </w:p>
        </w:tc>
        <w:tc>
          <w:tcPr>
            <w:tcW w:w="0" w:type="auto"/>
            <w:vAlign w:val="center"/>
          </w:tcPr>
          <w:p w14:paraId="41682D06"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b/>
                <w:bCs/>
                <w:i/>
                <w:kern w:val="0"/>
                <w:sz w:val="18"/>
                <w:szCs w:val="18"/>
              </w:rPr>
              <w:t>Unit</w:t>
            </w:r>
          </w:p>
        </w:tc>
        <w:tc>
          <w:tcPr>
            <w:tcW w:w="1474" w:type="dxa"/>
            <w:vAlign w:val="center"/>
          </w:tcPr>
          <w:p w14:paraId="20609D8F" w14:textId="77777777" w:rsidR="00D91A63" w:rsidRDefault="004A41FB">
            <w:pPr>
              <w:snapToGrid w:val="0"/>
              <w:jc w:val="center"/>
              <w:rPr>
                <w:rFonts w:ascii="Times New Roman" w:eastAsia="SimSun" w:hAnsi="Times New Roman" w:cs="Times New Roman"/>
                <w:b/>
                <w:bCs/>
                <w:i/>
                <w:kern w:val="0"/>
                <w:sz w:val="18"/>
                <w:szCs w:val="18"/>
              </w:rPr>
            </w:pPr>
            <w:r>
              <w:rPr>
                <w:rFonts w:ascii="Times New Roman" w:eastAsia="SimSun" w:hAnsi="Times New Roman" w:cs="Times New Roman"/>
                <w:b/>
                <w:bCs/>
                <w:i/>
                <w:kern w:val="0"/>
                <w:sz w:val="18"/>
                <w:szCs w:val="18"/>
              </w:rPr>
              <w:t>Directionality</w:t>
            </w:r>
          </w:p>
        </w:tc>
      </w:tr>
      <w:tr w:rsidR="00D91A63" w14:paraId="7A6A13EF" w14:textId="77777777">
        <w:trPr>
          <w:jc w:val="center"/>
        </w:trPr>
        <w:tc>
          <w:tcPr>
            <w:tcW w:w="0" w:type="auto"/>
            <w:vAlign w:val="center"/>
          </w:tcPr>
          <w:p w14:paraId="3133B17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A1.1</w:t>
            </w:r>
          </w:p>
        </w:tc>
        <w:tc>
          <w:tcPr>
            <w:tcW w:w="1576" w:type="dxa"/>
            <w:vAlign w:val="center"/>
          </w:tcPr>
          <w:p w14:paraId="1E30E06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Coverage of fecal examination in local livestock</w:t>
            </w:r>
          </w:p>
        </w:tc>
        <w:tc>
          <w:tcPr>
            <w:tcW w:w="2625" w:type="dxa"/>
            <w:vAlign w:val="center"/>
          </w:tcPr>
          <w:p w14:paraId="7154E653"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Proportion of locally raised livestock (e.g., cattle and sheep/goats) within the surveillance area that underwent </w:t>
            </w:r>
            <w:r>
              <w:rPr>
                <w:rStyle w:val="Strong"/>
                <w:rFonts w:ascii="Times New Roman" w:eastAsia="SimSun" w:hAnsi="Times New Roman" w:cs="Times New Roman"/>
                <w:b w:val="0"/>
                <w:bCs/>
                <w:sz w:val="15"/>
                <w:szCs w:val="15"/>
              </w:rPr>
              <w:t xml:space="preserve">etiological examination by </w:t>
            </w:r>
            <w:proofErr w:type="spellStart"/>
            <w:r>
              <w:rPr>
                <w:rStyle w:val="Strong"/>
                <w:rFonts w:ascii="Times New Roman" w:eastAsia="SimSun" w:hAnsi="Times New Roman" w:cs="Times New Roman"/>
                <w:b w:val="0"/>
                <w:bCs/>
                <w:sz w:val="15"/>
                <w:szCs w:val="15"/>
              </w:rPr>
              <w:t>miracidial</w:t>
            </w:r>
            <w:proofErr w:type="spellEnd"/>
            <w:r>
              <w:rPr>
                <w:rStyle w:val="Strong"/>
                <w:rFonts w:ascii="Times New Roman" w:eastAsia="SimSun" w:hAnsi="Times New Roman" w:cs="Times New Roman"/>
                <w:b w:val="0"/>
                <w:bCs/>
                <w:sz w:val="15"/>
                <w:szCs w:val="15"/>
              </w:rPr>
              <w:t xml:space="preserve"> hatching test</w:t>
            </w:r>
            <w:r>
              <w:rPr>
                <w:rFonts w:ascii="Times New Roman" w:eastAsia="SimSun" w:hAnsi="Times New Roman" w:cs="Times New Roman"/>
                <w:sz w:val="15"/>
                <w:szCs w:val="15"/>
              </w:rPr>
              <w:t xml:space="preserve"> for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infection during the reporting year.</w:t>
            </w:r>
          </w:p>
        </w:tc>
        <w:tc>
          <w:tcPr>
            <w:tcW w:w="0" w:type="auto"/>
            <w:vAlign w:val="center"/>
          </w:tcPr>
          <w:p w14:paraId="1F3C4839"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Number of local livestock examined by </w:t>
            </w:r>
            <w:proofErr w:type="spellStart"/>
            <w:r>
              <w:rPr>
                <w:rFonts w:ascii="Times New Roman" w:eastAsia="SimSun" w:hAnsi="Times New Roman" w:cs="Times New Roman"/>
                <w:sz w:val="15"/>
                <w:szCs w:val="15"/>
              </w:rPr>
              <w:t>miracidial</w:t>
            </w:r>
            <w:proofErr w:type="spellEnd"/>
            <w:r>
              <w:rPr>
                <w:rFonts w:ascii="Times New Roman" w:eastAsia="SimSun" w:hAnsi="Times New Roman" w:cs="Times New Roman"/>
                <w:sz w:val="15"/>
                <w:szCs w:val="15"/>
              </w:rPr>
              <w:t xml:space="preserve"> hatching test / total number of local livestock in stock (cattle + sheep/goats) × 100%</w:t>
            </w:r>
          </w:p>
        </w:tc>
        <w:tc>
          <w:tcPr>
            <w:tcW w:w="0" w:type="auto"/>
            <w:vAlign w:val="center"/>
          </w:tcPr>
          <w:p w14:paraId="5D6CA8E7"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w:t>
            </w:r>
          </w:p>
        </w:tc>
        <w:tc>
          <w:tcPr>
            <w:tcW w:w="1474" w:type="dxa"/>
            <w:vAlign w:val="center"/>
          </w:tcPr>
          <w:p w14:paraId="67091166"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2CC816F4" w14:textId="77777777">
        <w:trPr>
          <w:jc w:val="center"/>
        </w:trPr>
        <w:tc>
          <w:tcPr>
            <w:tcW w:w="0" w:type="auto"/>
            <w:vAlign w:val="center"/>
          </w:tcPr>
          <w:p w14:paraId="57DDE6F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A1.2</w:t>
            </w:r>
          </w:p>
        </w:tc>
        <w:tc>
          <w:tcPr>
            <w:tcW w:w="1576" w:type="dxa"/>
            <w:vAlign w:val="center"/>
          </w:tcPr>
          <w:p w14:paraId="2CFEAF3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Coverage of fecal </w:t>
            </w:r>
            <w:r>
              <w:rPr>
                <w:rFonts w:ascii="Times New Roman" w:eastAsia="SimSun" w:hAnsi="Times New Roman" w:cs="Times New Roman"/>
                <w:color w:val="000000"/>
                <w:kern w:val="0"/>
                <w:sz w:val="15"/>
                <w:szCs w:val="15"/>
                <w:lang w:bidi="ar"/>
              </w:rPr>
              <w:t>examination in introduced livestock</w:t>
            </w:r>
          </w:p>
        </w:tc>
        <w:tc>
          <w:tcPr>
            <w:tcW w:w="2625" w:type="dxa"/>
            <w:vAlign w:val="center"/>
          </w:tcPr>
          <w:p w14:paraId="110A4512"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Proportion of livestock introduced from schistosomiasis-endemic areas that underwent </w:t>
            </w:r>
            <w:r>
              <w:rPr>
                <w:rStyle w:val="Strong"/>
                <w:rFonts w:ascii="Times New Roman" w:eastAsia="SimSun" w:hAnsi="Times New Roman" w:cs="Times New Roman"/>
                <w:b w:val="0"/>
                <w:bCs/>
                <w:sz w:val="15"/>
                <w:szCs w:val="15"/>
              </w:rPr>
              <w:t xml:space="preserve">etiological examination by </w:t>
            </w:r>
            <w:proofErr w:type="spellStart"/>
            <w:r>
              <w:rPr>
                <w:rStyle w:val="Strong"/>
                <w:rFonts w:ascii="Times New Roman" w:eastAsia="SimSun" w:hAnsi="Times New Roman" w:cs="Times New Roman"/>
                <w:b w:val="0"/>
                <w:bCs/>
                <w:sz w:val="15"/>
                <w:szCs w:val="15"/>
              </w:rPr>
              <w:t>miracidial</w:t>
            </w:r>
            <w:proofErr w:type="spellEnd"/>
            <w:r>
              <w:rPr>
                <w:rStyle w:val="Strong"/>
                <w:rFonts w:ascii="Times New Roman" w:eastAsia="SimSun" w:hAnsi="Times New Roman" w:cs="Times New Roman"/>
                <w:b w:val="0"/>
                <w:bCs/>
                <w:sz w:val="15"/>
                <w:szCs w:val="15"/>
              </w:rPr>
              <w:t xml:space="preserve"> hatching test</w:t>
            </w:r>
            <w:r>
              <w:rPr>
                <w:rFonts w:ascii="Times New Roman" w:eastAsia="SimSun" w:hAnsi="Times New Roman" w:cs="Times New Roman"/>
                <w:sz w:val="15"/>
                <w:szCs w:val="15"/>
              </w:rPr>
              <w:t xml:space="preserve"> for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infection during the reporting year.</w:t>
            </w:r>
          </w:p>
        </w:tc>
        <w:tc>
          <w:tcPr>
            <w:tcW w:w="0" w:type="auto"/>
            <w:vAlign w:val="center"/>
          </w:tcPr>
          <w:p w14:paraId="7390254A"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Number of introduced livestock</w:t>
            </w:r>
            <w:r>
              <w:rPr>
                <w:rFonts w:ascii="Times New Roman" w:eastAsia="SimSun" w:hAnsi="Times New Roman" w:cs="Times New Roman"/>
                <w:sz w:val="15"/>
                <w:szCs w:val="15"/>
              </w:rPr>
              <w:t xml:space="preserve"> examined by </w:t>
            </w:r>
            <w:proofErr w:type="spellStart"/>
            <w:r>
              <w:rPr>
                <w:rFonts w:ascii="Times New Roman" w:eastAsia="SimSun" w:hAnsi="Times New Roman" w:cs="Times New Roman"/>
                <w:sz w:val="15"/>
                <w:szCs w:val="15"/>
              </w:rPr>
              <w:t>miracidial</w:t>
            </w:r>
            <w:proofErr w:type="spellEnd"/>
            <w:r>
              <w:rPr>
                <w:rFonts w:ascii="Times New Roman" w:eastAsia="SimSun" w:hAnsi="Times New Roman" w:cs="Times New Roman"/>
                <w:sz w:val="15"/>
                <w:szCs w:val="15"/>
              </w:rPr>
              <w:t xml:space="preserve"> hatching test / total number of introduced livestock (cattle + sheep/goats) × 100%</w:t>
            </w:r>
          </w:p>
        </w:tc>
        <w:tc>
          <w:tcPr>
            <w:tcW w:w="0" w:type="auto"/>
            <w:vAlign w:val="center"/>
          </w:tcPr>
          <w:p w14:paraId="45E551EC"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w:t>
            </w:r>
          </w:p>
        </w:tc>
        <w:tc>
          <w:tcPr>
            <w:tcW w:w="1474" w:type="dxa"/>
            <w:vAlign w:val="center"/>
          </w:tcPr>
          <w:p w14:paraId="4AAF6CB9"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6E6669D7" w14:textId="77777777">
        <w:trPr>
          <w:jc w:val="center"/>
        </w:trPr>
        <w:tc>
          <w:tcPr>
            <w:tcW w:w="0" w:type="auto"/>
            <w:vAlign w:val="center"/>
          </w:tcPr>
          <w:p w14:paraId="08C50C0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A1.3</w:t>
            </w:r>
          </w:p>
        </w:tc>
        <w:tc>
          <w:tcPr>
            <w:tcW w:w="1576" w:type="dxa"/>
            <w:vAlign w:val="center"/>
          </w:tcPr>
          <w:p w14:paraId="5B700FD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Positivity rate of wild feces samples</w:t>
            </w:r>
          </w:p>
        </w:tc>
        <w:tc>
          <w:tcPr>
            <w:tcW w:w="2625" w:type="dxa"/>
            <w:vAlign w:val="center"/>
          </w:tcPr>
          <w:p w14:paraId="4146F8E4"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Proportion of fecal samples collected from free-ranging mammals in snail-infested environ</w:t>
            </w:r>
            <w:r>
              <w:rPr>
                <w:rFonts w:ascii="Times New Roman" w:eastAsia="SimSun" w:hAnsi="Times New Roman" w:cs="Times New Roman"/>
                <w:sz w:val="15"/>
                <w:szCs w:val="15"/>
              </w:rPr>
              <w:t xml:space="preserve">ments with frequent human or animal activity that tested positive for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eggs; pen-collected feces were excluded.</w:t>
            </w:r>
          </w:p>
        </w:tc>
        <w:tc>
          <w:tcPr>
            <w:tcW w:w="0" w:type="auto"/>
            <w:vAlign w:val="center"/>
          </w:tcPr>
          <w:p w14:paraId="59E5BBF2"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Number of wild feces positive for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eggs / total number of wild fecal samples collected × 100%</w:t>
            </w:r>
          </w:p>
        </w:tc>
        <w:tc>
          <w:tcPr>
            <w:tcW w:w="0" w:type="auto"/>
            <w:vAlign w:val="center"/>
          </w:tcPr>
          <w:p w14:paraId="0C8650C6"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w:t>
            </w:r>
          </w:p>
        </w:tc>
        <w:tc>
          <w:tcPr>
            <w:tcW w:w="1474" w:type="dxa"/>
            <w:vAlign w:val="center"/>
          </w:tcPr>
          <w:p w14:paraId="097A9338"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2E41FFF0" w14:textId="77777777">
        <w:trPr>
          <w:jc w:val="center"/>
        </w:trPr>
        <w:tc>
          <w:tcPr>
            <w:tcW w:w="0" w:type="auto"/>
            <w:vAlign w:val="center"/>
          </w:tcPr>
          <w:p w14:paraId="3F9D50E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A2.1</w:t>
            </w:r>
          </w:p>
        </w:tc>
        <w:tc>
          <w:tcPr>
            <w:tcW w:w="1576" w:type="dxa"/>
            <w:vAlign w:val="center"/>
          </w:tcPr>
          <w:p w14:paraId="3C6A1F1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Infection rate in wild rodents</w:t>
            </w:r>
          </w:p>
        </w:tc>
        <w:tc>
          <w:tcPr>
            <w:tcW w:w="2625" w:type="dxa"/>
            <w:vAlign w:val="center"/>
          </w:tcPr>
          <w:p w14:paraId="5157923D"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Wild rodent surveillance is an important component of risk monitoring, as rodents may serve as a potential infection source under low-endemic conditions. Rodents were trapped in snail-infested environments or suspected snail </w:t>
            </w:r>
            <w:r>
              <w:rPr>
                <w:rFonts w:ascii="Times New Roman" w:eastAsia="SimSun" w:hAnsi="Times New Roman" w:cs="Times New Roman"/>
                <w:sz w:val="15"/>
                <w:szCs w:val="15"/>
              </w:rPr>
              <w:t xml:space="preserve">habitats accessible to humans or livestock, and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infection was determined by laboratory examination.</w:t>
            </w:r>
          </w:p>
        </w:tc>
        <w:tc>
          <w:tcPr>
            <w:tcW w:w="0" w:type="auto"/>
            <w:vAlign w:val="center"/>
          </w:tcPr>
          <w:p w14:paraId="16721AD3"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Number of wild rodents positive for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infection / total number of wild rodents examined × 100%</w:t>
            </w:r>
          </w:p>
        </w:tc>
        <w:tc>
          <w:tcPr>
            <w:tcW w:w="0" w:type="auto"/>
            <w:vAlign w:val="center"/>
          </w:tcPr>
          <w:p w14:paraId="53713278"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w:t>
            </w:r>
          </w:p>
        </w:tc>
        <w:tc>
          <w:tcPr>
            <w:tcW w:w="1474" w:type="dxa"/>
            <w:vAlign w:val="center"/>
          </w:tcPr>
          <w:p w14:paraId="14AA5532"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32FF2B30" w14:textId="77777777">
        <w:trPr>
          <w:jc w:val="center"/>
        </w:trPr>
        <w:tc>
          <w:tcPr>
            <w:tcW w:w="0" w:type="auto"/>
            <w:vAlign w:val="center"/>
          </w:tcPr>
          <w:p w14:paraId="01087B1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A2.2</w:t>
            </w:r>
          </w:p>
        </w:tc>
        <w:tc>
          <w:tcPr>
            <w:tcW w:w="1576" w:type="dxa"/>
            <w:vAlign w:val="center"/>
          </w:tcPr>
          <w:p w14:paraId="5D22AEA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Infection status </w:t>
            </w:r>
            <w:r>
              <w:rPr>
                <w:rFonts w:ascii="Times New Roman" w:eastAsia="SimSun" w:hAnsi="Times New Roman" w:cs="Times New Roman"/>
                <w:color w:val="000000"/>
                <w:kern w:val="0"/>
                <w:sz w:val="15"/>
                <w:szCs w:val="15"/>
                <w:lang w:bidi="ar"/>
              </w:rPr>
              <w:t>of other wild animals</w:t>
            </w:r>
          </w:p>
        </w:tc>
        <w:tc>
          <w:tcPr>
            <w:tcW w:w="2625" w:type="dxa"/>
            <w:vAlign w:val="center"/>
          </w:tcPr>
          <w:p w14:paraId="6E6E1F80"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With ecological protection and habitat restoration, wild animals may act as potential sources of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 xml:space="preserve"> infection. Detection of infected wild animals during rodent surveillance helps identify and assess their potential role in </w:t>
            </w:r>
            <w:r>
              <w:rPr>
                <w:rFonts w:ascii="Times New Roman" w:eastAsia="SimSun" w:hAnsi="Times New Roman" w:cs="Times New Roman"/>
                <w:sz w:val="15"/>
                <w:szCs w:val="15"/>
              </w:rPr>
              <w:t>transmission risk.</w:t>
            </w:r>
          </w:p>
        </w:tc>
        <w:tc>
          <w:tcPr>
            <w:tcW w:w="0" w:type="auto"/>
            <w:vAlign w:val="center"/>
          </w:tcPr>
          <w:p w14:paraId="4E393217"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Presence of </w:t>
            </w:r>
            <w:proofErr w:type="spellStart"/>
            <w:r>
              <w:rPr>
                <w:rFonts w:ascii="Times New Roman" w:eastAsia="SimSun" w:hAnsi="Times New Roman" w:cs="Times New Roman"/>
                <w:sz w:val="15"/>
                <w:szCs w:val="15"/>
              </w:rPr>
              <w:t>schistosome</w:t>
            </w:r>
            <w:proofErr w:type="spellEnd"/>
            <w:r>
              <w:rPr>
                <w:rFonts w:ascii="Times New Roman" w:eastAsia="SimSun" w:hAnsi="Times New Roman" w:cs="Times New Roman"/>
                <w:sz w:val="15"/>
                <w:szCs w:val="15"/>
              </w:rPr>
              <w:t>-infected wild animals detected (yes = 1; no = 0)</w:t>
            </w:r>
          </w:p>
        </w:tc>
        <w:tc>
          <w:tcPr>
            <w:tcW w:w="0" w:type="auto"/>
            <w:vAlign w:val="center"/>
          </w:tcPr>
          <w:p w14:paraId="5FA8E2B9"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(0/1)</w:t>
            </w:r>
          </w:p>
        </w:tc>
        <w:tc>
          <w:tcPr>
            <w:tcW w:w="1474" w:type="dxa"/>
            <w:vAlign w:val="center"/>
          </w:tcPr>
          <w:p w14:paraId="3A8DA5A2"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57A847D1" w14:textId="77777777">
        <w:trPr>
          <w:jc w:val="center"/>
        </w:trPr>
        <w:tc>
          <w:tcPr>
            <w:tcW w:w="0" w:type="auto"/>
            <w:vAlign w:val="center"/>
          </w:tcPr>
          <w:p w14:paraId="4A55E88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A3.1</w:t>
            </w:r>
          </w:p>
        </w:tc>
        <w:tc>
          <w:tcPr>
            <w:tcW w:w="1576" w:type="dxa"/>
            <w:vAlign w:val="center"/>
          </w:tcPr>
          <w:p w14:paraId="5BCBBA5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Detection rate of existing snail habitats</w:t>
            </w:r>
          </w:p>
        </w:tc>
        <w:tc>
          <w:tcPr>
            <w:tcW w:w="2625" w:type="dxa"/>
            <w:vAlign w:val="center"/>
          </w:tcPr>
          <w:p w14:paraId="641C7B8C"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Proportion of the surveyed snail-search area in which living </w:t>
            </w:r>
            <w:proofErr w:type="spellStart"/>
            <w:r>
              <w:rPr>
                <w:rStyle w:val="Emphasis"/>
                <w:rFonts w:ascii="Times New Roman" w:eastAsia="SimSun" w:hAnsi="Times New Roman" w:cs="Times New Roman"/>
                <w:sz w:val="15"/>
                <w:szCs w:val="15"/>
              </w:rPr>
              <w:t>Oncomelania</w:t>
            </w:r>
            <w:proofErr w:type="spellEnd"/>
            <w:r>
              <w:rPr>
                <w:rFonts w:ascii="Times New Roman" w:eastAsia="SimSun" w:hAnsi="Times New Roman" w:cs="Times New Roman"/>
                <w:sz w:val="15"/>
                <w:szCs w:val="15"/>
              </w:rPr>
              <w:t xml:space="preserve"> snails were detected during the reporting year, reflecting the persistence and distribution intensity of snail habitats.</w:t>
            </w:r>
          </w:p>
        </w:tc>
        <w:tc>
          <w:tcPr>
            <w:tcW w:w="0" w:type="auto"/>
            <w:vAlign w:val="center"/>
          </w:tcPr>
          <w:p w14:paraId="398FD38F"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Total area with snails detected in the reporting year / total area surveyed for snails in the same year × 100%</w:t>
            </w:r>
          </w:p>
        </w:tc>
        <w:tc>
          <w:tcPr>
            <w:tcW w:w="0" w:type="auto"/>
            <w:vAlign w:val="center"/>
          </w:tcPr>
          <w:p w14:paraId="43926E66"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w:t>
            </w:r>
          </w:p>
        </w:tc>
        <w:tc>
          <w:tcPr>
            <w:tcW w:w="1474" w:type="dxa"/>
            <w:vAlign w:val="center"/>
          </w:tcPr>
          <w:p w14:paraId="61035A35"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12665331" w14:textId="77777777">
        <w:trPr>
          <w:jc w:val="center"/>
        </w:trPr>
        <w:tc>
          <w:tcPr>
            <w:tcW w:w="0" w:type="auto"/>
            <w:vAlign w:val="center"/>
          </w:tcPr>
          <w:p w14:paraId="42A569A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A3.2</w:t>
            </w:r>
          </w:p>
        </w:tc>
        <w:tc>
          <w:tcPr>
            <w:tcW w:w="1576" w:type="dxa"/>
            <w:vAlign w:val="center"/>
          </w:tcPr>
          <w:p w14:paraId="2B577EA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w:t>
            </w:r>
            <w:r>
              <w:rPr>
                <w:rFonts w:ascii="Times New Roman" w:eastAsia="SimSun" w:hAnsi="Times New Roman" w:cs="Times New Roman"/>
                <w:color w:val="000000"/>
                <w:kern w:val="0"/>
                <w:sz w:val="15"/>
                <w:szCs w:val="15"/>
                <w:lang w:bidi="ar"/>
              </w:rPr>
              <w:t>rea of newly detected snail habitats</w:t>
            </w:r>
          </w:p>
        </w:tc>
        <w:tc>
          <w:tcPr>
            <w:tcW w:w="2625" w:type="dxa"/>
            <w:vAlign w:val="center"/>
          </w:tcPr>
          <w:p w14:paraId="4EB21B81"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Area of snail habitats where </w:t>
            </w:r>
            <w:proofErr w:type="spellStart"/>
            <w:r>
              <w:rPr>
                <w:rStyle w:val="Emphasis"/>
                <w:rFonts w:ascii="Times New Roman" w:eastAsia="SimSun" w:hAnsi="Times New Roman" w:cs="Times New Roman"/>
                <w:sz w:val="15"/>
                <w:szCs w:val="15"/>
              </w:rPr>
              <w:t>Oncomelania</w:t>
            </w:r>
            <w:proofErr w:type="spellEnd"/>
            <w:r>
              <w:rPr>
                <w:rFonts w:ascii="Times New Roman" w:eastAsia="SimSun" w:hAnsi="Times New Roman" w:cs="Times New Roman"/>
                <w:sz w:val="15"/>
                <w:szCs w:val="15"/>
              </w:rPr>
              <w:t xml:space="preserve"> snails were detected for the first time in environments with no previous history of snail occurrence during the reporting year.</w:t>
            </w:r>
          </w:p>
        </w:tc>
        <w:tc>
          <w:tcPr>
            <w:tcW w:w="0" w:type="auto"/>
            <w:vAlign w:val="center"/>
          </w:tcPr>
          <w:p w14:paraId="42E5FED0"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Total area of habitats newly found to contain snai</w:t>
            </w:r>
            <w:r>
              <w:rPr>
                <w:rFonts w:ascii="Times New Roman" w:eastAsia="SimSun" w:hAnsi="Times New Roman" w:cs="Times New Roman"/>
                <w:sz w:val="15"/>
                <w:szCs w:val="15"/>
              </w:rPr>
              <w:t>ls in the reporting year</w:t>
            </w:r>
          </w:p>
        </w:tc>
        <w:tc>
          <w:tcPr>
            <w:tcW w:w="0" w:type="auto"/>
            <w:vAlign w:val="center"/>
          </w:tcPr>
          <w:p w14:paraId="4FBA5F46"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m²</w:t>
            </w:r>
          </w:p>
        </w:tc>
        <w:tc>
          <w:tcPr>
            <w:tcW w:w="1474" w:type="dxa"/>
            <w:vAlign w:val="center"/>
          </w:tcPr>
          <w:p w14:paraId="144546FE"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37BAD6E4" w14:textId="77777777">
        <w:trPr>
          <w:jc w:val="center"/>
        </w:trPr>
        <w:tc>
          <w:tcPr>
            <w:tcW w:w="0" w:type="auto"/>
            <w:vAlign w:val="center"/>
          </w:tcPr>
          <w:p w14:paraId="4B12AB6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A3.3</w:t>
            </w:r>
          </w:p>
        </w:tc>
        <w:tc>
          <w:tcPr>
            <w:tcW w:w="1576" w:type="dxa"/>
            <w:vAlign w:val="center"/>
          </w:tcPr>
          <w:p w14:paraId="151AF01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Area of reemerged snail habitats</w:t>
            </w:r>
          </w:p>
        </w:tc>
        <w:tc>
          <w:tcPr>
            <w:tcW w:w="2625" w:type="dxa"/>
            <w:vAlign w:val="center"/>
          </w:tcPr>
          <w:p w14:paraId="04A6A5C3"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Area of historical snail habitats where snails had previously been declared eliminated but were detected again after at least two consecutive years of absence during the </w:t>
            </w:r>
            <w:r>
              <w:rPr>
                <w:rFonts w:ascii="Times New Roman" w:eastAsia="SimSun" w:hAnsi="Times New Roman" w:cs="Times New Roman"/>
                <w:sz w:val="15"/>
                <w:szCs w:val="15"/>
              </w:rPr>
              <w:t>reporting year.</w:t>
            </w:r>
          </w:p>
        </w:tc>
        <w:tc>
          <w:tcPr>
            <w:tcW w:w="0" w:type="auto"/>
            <w:vAlign w:val="center"/>
          </w:tcPr>
          <w:p w14:paraId="1BCA52AA"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Total area of re-emergent snail habitats detected in the reporting year</w:t>
            </w:r>
          </w:p>
        </w:tc>
        <w:tc>
          <w:tcPr>
            <w:tcW w:w="0" w:type="auto"/>
            <w:vAlign w:val="center"/>
          </w:tcPr>
          <w:p w14:paraId="3766FAE7"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m²</w:t>
            </w:r>
          </w:p>
        </w:tc>
        <w:tc>
          <w:tcPr>
            <w:tcW w:w="1474" w:type="dxa"/>
            <w:vAlign w:val="center"/>
          </w:tcPr>
          <w:p w14:paraId="125F819D"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0D9C98D3" w14:textId="77777777">
        <w:trPr>
          <w:jc w:val="center"/>
        </w:trPr>
        <w:tc>
          <w:tcPr>
            <w:tcW w:w="0" w:type="auto"/>
            <w:vAlign w:val="center"/>
          </w:tcPr>
          <w:p w14:paraId="290A1E2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A3.4</w:t>
            </w:r>
          </w:p>
        </w:tc>
        <w:tc>
          <w:tcPr>
            <w:tcW w:w="1576" w:type="dxa"/>
            <w:vAlign w:val="center"/>
          </w:tcPr>
          <w:p w14:paraId="71D402D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Mean density of live snails</w:t>
            </w:r>
          </w:p>
        </w:tc>
        <w:tc>
          <w:tcPr>
            <w:tcW w:w="2625" w:type="dxa"/>
            <w:vAlign w:val="center"/>
          </w:tcPr>
          <w:p w14:paraId="47B78733"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Annual average number of living </w:t>
            </w:r>
            <w:proofErr w:type="spellStart"/>
            <w:r>
              <w:rPr>
                <w:rStyle w:val="Emphasis"/>
                <w:rFonts w:ascii="Times New Roman" w:eastAsia="SimSun" w:hAnsi="Times New Roman" w:cs="Times New Roman"/>
                <w:sz w:val="15"/>
                <w:szCs w:val="15"/>
              </w:rPr>
              <w:t>Oncomelania</w:t>
            </w:r>
            <w:proofErr w:type="spellEnd"/>
            <w:r>
              <w:rPr>
                <w:rFonts w:ascii="Times New Roman" w:eastAsia="SimSun" w:hAnsi="Times New Roman" w:cs="Times New Roman"/>
                <w:sz w:val="15"/>
                <w:szCs w:val="15"/>
              </w:rPr>
              <w:t xml:space="preserve"> snails detected per survey frame within the surveillance area, based on r</w:t>
            </w:r>
            <w:r>
              <w:rPr>
                <w:rFonts w:ascii="Times New Roman" w:eastAsia="SimSun" w:hAnsi="Times New Roman" w:cs="Times New Roman"/>
                <w:sz w:val="15"/>
                <w:szCs w:val="15"/>
              </w:rPr>
              <w:t>outine snail surveys.</w:t>
            </w:r>
          </w:p>
        </w:tc>
        <w:tc>
          <w:tcPr>
            <w:tcW w:w="0" w:type="auto"/>
            <w:vAlign w:val="center"/>
          </w:tcPr>
          <w:p w14:paraId="48B754F5"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Number of living snails captured / number of survey frames examined</w:t>
            </w:r>
          </w:p>
        </w:tc>
        <w:tc>
          <w:tcPr>
            <w:tcW w:w="0" w:type="auto"/>
            <w:vAlign w:val="center"/>
          </w:tcPr>
          <w:p w14:paraId="11AB2A2F"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snails/0.1 m² frame</w:t>
            </w:r>
          </w:p>
        </w:tc>
        <w:tc>
          <w:tcPr>
            <w:tcW w:w="1474" w:type="dxa"/>
            <w:vAlign w:val="center"/>
          </w:tcPr>
          <w:p w14:paraId="139732F1"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3F7A364E" w14:textId="77777777">
        <w:trPr>
          <w:jc w:val="center"/>
        </w:trPr>
        <w:tc>
          <w:tcPr>
            <w:tcW w:w="0" w:type="auto"/>
            <w:vAlign w:val="center"/>
          </w:tcPr>
          <w:p w14:paraId="407234C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A3.5</w:t>
            </w:r>
          </w:p>
        </w:tc>
        <w:tc>
          <w:tcPr>
            <w:tcW w:w="1576" w:type="dxa"/>
            <w:vAlign w:val="center"/>
          </w:tcPr>
          <w:p w14:paraId="12F9743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Nucleic acid-positive snail habitats</w:t>
            </w:r>
          </w:p>
        </w:tc>
        <w:tc>
          <w:tcPr>
            <w:tcW w:w="2625" w:type="dxa"/>
            <w:vAlign w:val="center"/>
          </w:tcPr>
          <w:p w14:paraId="4BF0EF56"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 xml:space="preserve">Number of environmental sites where snail samples tested positive by nucleic acid </w:t>
            </w:r>
            <w:r>
              <w:rPr>
                <w:rFonts w:ascii="Times New Roman" w:eastAsia="SimSun" w:hAnsi="Times New Roman" w:cs="Times New Roman"/>
                <w:sz w:val="15"/>
                <w:szCs w:val="15"/>
              </w:rPr>
              <w:t>detection methods (e.g., LAMP) during routine or risk-based surveillance in the reporting year.</w:t>
            </w:r>
          </w:p>
        </w:tc>
        <w:tc>
          <w:tcPr>
            <w:tcW w:w="0" w:type="auto"/>
            <w:vAlign w:val="center"/>
          </w:tcPr>
          <w:p w14:paraId="57508CF9"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Number of environments with positive snail nucleic acid detection</w:t>
            </w:r>
          </w:p>
        </w:tc>
        <w:tc>
          <w:tcPr>
            <w:tcW w:w="0" w:type="auto"/>
            <w:vAlign w:val="center"/>
          </w:tcPr>
          <w:p w14:paraId="47852D91"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No.</w:t>
            </w:r>
          </w:p>
        </w:tc>
        <w:tc>
          <w:tcPr>
            <w:tcW w:w="1474" w:type="dxa"/>
            <w:vAlign w:val="center"/>
          </w:tcPr>
          <w:p w14:paraId="0D80DA2F"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1EFE4B58" w14:textId="77777777">
        <w:trPr>
          <w:jc w:val="center"/>
        </w:trPr>
        <w:tc>
          <w:tcPr>
            <w:tcW w:w="0" w:type="auto"/>
            <w:vAlign w:val="center"/>
          </w:tcPr>
          <w:p w14:paraId="313197C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A4.1</w:t>
            </w:r>
          </w:p>
        </w:tc>
        <w:tc>
          <w:tcPr>
            <w:tcW w:w="1576" w:type="dxa"/>
            <w:vAlign w:val="center"/>
          </w:tcPr>
          <w:p w14:paraId="7C53EE6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Water-contact exposure rate</w:t>
            </w:r>
          </w:p>
        </w:tc>
        <w:tc>
          <w:tcPr>
            <w:tcW w:w="2625" w:type="dxa"/>
            <w:vAlign w:val="center"/>
          </w:tcPr>
          <w:p w14:paraId="797E6D4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Proportion of individuals with positive sc</w:t>
            </w:r>
            <w:r>
              <w:rPr>
                <w:rFonts w:ascii="Times New Roman" w:eastAsia="SimSun" w:hAnsi="Times New Roman" w:cs="Times New Roman"/>
                <w:color w:val="000000"/>
                <w:kern w:val="0"/>
                <w:sz w:val="15"/>
                <w:szCs w:val="15"/>
                <w:lang w:bidi="ar"/>
              </w:rPr>
              <w:t>histosomiasis questionnaire screening results among occupational groups with frequent water contact (e.g., rice farmers and aquaculture workers), reflecting the contribution of high-exposure groups to local transmission risk.</w:t>
            </w:r>
          </w:p>
        </w:tc>
        <w:tc>
          <w:tcPr>
            <w:tcW w:w="0" w:type="auto"/>
            <w:vAlign w:val="center"/>
          </w:tcPr>
          <w:p w14:paraId="417DA4D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individuals positive</w:t>
            </w:r>
            <w:r>
              <w:rPr>
                <w:rFonts w:ascii="Times New Roman" w:eastAsia="SimSun" w:hAnsi="Times New Roman" w:cs="Times New Roman"/>
                <w:color w:val="000000"/>
                <w:kern w:val="0"/>
                <w:sz w:val="15"/>
                <w:szCs w:val="15"/>
                <w:lang w:bidi="ar"/>
              </w:rPr>
              <w:t xml:space="preserve"> by schistosomiasis questionnaire screening / total number of individuals screened by questionnaire </w:t>
            </w:r>
            <w:r>
              <w:rPr>
                <w:rFonts w:ascii="Times New Roman" w:eastAsia="SimSun" w:hAnsi="Times New Roman" w:cs="Times New Roman"/>
                <w:sz w:val="15"/>
                <w:szCs w:val="15"/>
              </w:rPr>
              <w:t>× 100%</w:t>
            </w:r>
          </w:p>
        </w:tc>
        <w:tc>
          <w:tcPr>
            <w:tcW w:w="0" w:type="auto"/>
            <w:vAlign w:val="center"/>
          </w:tcPr>
          <w:p w14:paraId="073A7D4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7DD514DF"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30B2AD57" w14:textId="77777777">
        <w:trPr>
          <w:jc w:val="center"/>
        </w:trPr>
        <w:tc>
          <w:tcPr>
            <w:tcW w:w="0" w:type="auto"/>
            <w:vAlign w:val="center"/>
          </w:tcPr>
          <w:p w14:paraId="15AF04C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A4.2</w:t>
            </w:r>
          </w:p>
        </w:tc>
        <w:tc>
          <w:tcPr>
            <w:tcW w:w="1576" w:type="dxa"/>
            <w:vAlign w:val="center"/>
          </w:tcPr>
          <w:p w14:paraId="23E75DC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Recreational fishers</w:t>
            </w:r>
          </w:p>
        </w:tc>
        <w:tc>
          <w:tcPr>
            <w:tcW w:w="2625" w:type="dxa"/>
            <w:vAlign w:val="center"/>
          </w:tcPr>
          <w:p w14:paraId="4F636BA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people engaging in recreational fishing in endemic water bodies (e.g., lakes, ponds, and </w:t>
            </w:r>
            <w:r>
              <w:rPr>
                <w:rFonts w:ascii="Times New Roman" w:eastAsia="SimSun" w:hAnsi="Times New Roman" w:cs="Times New Roman"/>
                <w:color w:val="000000"/>
                <w:kern w:val="0"/>
                <w:sz w:val="15"/>
                <w:szCs w:val="15"/>
                <w:lang w:bidi="ar"/>
              </w:rPr>
              <w:t>ditches), counted by person-times; repeated fishing by the same person was counted repeatedly.</w:t>
            </w:r>
          </w:p>
        </w:tc>
        <w:tc>
          <w:tcPr>
            <w:tcW w:w="0" w:type="auto"/>
            <w:vAlign w:val="center"/>
          </w:tcPr>
          <w:p w14:paraId="480949F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recreational fishing person-times</w:t>
            </w:r>
          </w:p>
        </w:tc>
        <w:tc>
          <w:tcPr>
            <w:tcW w:w="0" w:type="auto"/>
            <w:vAlign w:val="center"/>
          </w:tcPr>
          <w:p w14:paraId="59C83BE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person-times/month</w:t>
            </w:r>
          </w:p>
        </w:tc>
        <w:tc>
          <w:tcPr>
            <w:tcW w:w="1474" w:type="dxa"/>
            <w:vAlign w:val="center"/>
          </w:tcPr>
          <w:p w14:paraId="3B7F5620"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50E3C6E5" w14:textId="77777777">
        <w:trPr>
          <w:jc w:val="center"/>
        </w:trPr>
        <w:tc>
          <w:tcPr>
            <w:tcW w:w="0" w:type="auto"/>
            <w:vAlign w:val="center"/>
          </w:tcPr>
          <w:p w14:paraId="6F68723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A4.3</w:t>
            </w:r>
          </w:p>
        </w:tc>
        <w:tc>
          <w:tcPr>
            <w:tcW w:w="1576" w:type="dxa"/>
            <w:vAlign w:val="center"/>
          </w:tcPr>
          <w:p w14:paraId="663656C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Migrant construction workers</w:t>
            </w:r>
          </w:p>
        </w:tc>
        <w:tc>
          <w:tcPr>
            <w:tcW w:w="2625" w:type="dxa"/>
            <w:vAlign w:val="center"/>
          </w:tcPr>
          <w:p w14:paraId="01E080D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non-local workers temporari</w:t>
            </w:r>
            <w:r>
              <w:rPr>
                <w:rFonts w:ascii="Times New Roman" w:eastAsia="SimSun" w:hAnsi="Times New Roman" w:cs="Times New Roman"/>
                <w:color w:val="000000"/>
                <w:kern w:val="0"/>
                <w:sz w:val="15"/>
                <w:szCs w:val="15"/>
                <w:lang w:bidi="ar"/>
              </w:rPr>
              <w:t>ly residing for major infrastructure, water conservancy, energy, or other large projects in schistosomiasis-endemic areas for at least 3 months.</w:t>
            </w:r>
          </w:p>
        </w:tc>
        <w:tc>
          <w:tcPr>
            <w:tcW w:w="0" w:type="auto"/>
            <w:vAlign w:val="center"/>
          </w:tcPr>
          <w:p w14:paraId="1F7422D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non-local workers recorded in project contracts</w:t>
            </w:r>
          </w:p>
        </w:tc>
        <w:tc>
          <w:tcPr>
            <w:tcW w:w="0" w:type="auto"/>
            <w:vAlign w:val="center"/>
          </w:tcPr>
          <w:p w14:paraId="610EBBF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persons</w:t>
            </w:r>
          </w:p>
        </w:tc>
        <w:tc>
          <w:tcPr>
            <w:tcW w:w="1474" w:type="dxa"/>
            <w:vAlign w:val="center"/>
          </w:tcPr>
          <w:p w14:paraId="7DFF6310"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25C63715" w14:textId="77777777">
        <w:trPr>
          <w:jc w:val="center"/>
        </w:trPr>
        <w:tc>
          <w:tcPr>
            <w:tcW w:w="0" w:type="auto"/>
            <w:vAlign w:val="center"/>
          </w:tcPr>
          <w:p w14:paraId="114E4F1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A4.4</w:t>
            </w:r>
          </w:p>
        </w:tc>
        <w:tc>
          <w:tcPr>
            <w:tcW w:w="1576" w:type="dxa"/>
            <w:vAlign w:val="center"/>
          </w:tcPr>
          <w:p w14:paraId="00C64C5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Military personnel </w:t>
            </w:r>
            <w:r>
              <w:rPr>
                <w:rFonts w:ascii="Times New Roman" w:eastAsia="SimSun" w:hAnsi="Times New Roman" w:cs="Times New Roman"/>
                <w:color w:val="000000"/>
                <w:kern w:val="0"/>
                <w:sz w:val="15"/>
                <w:szCs w:val="15"/>
                <w:lang w:bidi="ar"/>
              </w:rPr>
              <w:t>deployed for flood relief</w:t>
            </w:r>
          </w:p>
        </w:tc>
        <w:tc>
          <w:tcPr>
            <w:tcW w:w="2625" w:type="dxa"/>
            <w:vAlign w:val="center"/>
          </w:tcPr>
          <w:p w14:paraId="31669DC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military, armed police, firefighting, or other emergency rescue personnel temporarily stationed in schistosomiasis-endemic areas for rescue or disaster-relief tasks who actually entered snail-infested areas or contacted </w:t>
            </w:r>
            <w:r>
              <w:rPr>
                <w:rFonts w:ascii="Times New Roman" w:eastAsia="SimSun" w:hAnsi="Times New Roman" w:cs="Times New Roman"/>
                <w:color w:val="000000"/>
                <w:kern w:val="0"/>
                <w:sz w:val="15"/>
                <w:szCs w:val="15"/>
                <w:lang w:bidi="ar"/>
              </w:rPr>
              <w:t>potentially infested water during the mission period.</w:t>
            </w:r>
          </w:p>
        </w:tc>
        <w:tc>
          <w:tcPr>
            <w:tcW w:w="0" w:type="auto"/>
            <w:vAlign w:val="center"/>
          </w:tcPr>
          <w:p w14:paraId="77E4D94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rescue personnel entering snail-infested areas or contacting risky water environments</w:t>
            </w:r>
          </w:p>
        </w:tc>
        <w:tc>
          <w:tcPr>
            <w:tcW w:w="0" w:type="auto"/>
            <w:vAlign w:val="center"/>
          </w:tcPr>
          <w:p w14:paraId="339CA44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persons</w:t>
            </w:r>
          </w:p>
        </w:tc>
        <w:tc>
          <w:tcPr>
            <w:tcW w:w="1474" w:type="dxa"/>
            <w:vAlign w:val="center"/>
          </w:tcPr>
          <w:p w14:paraId="3425F055"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78486E4A" w14:textId="77777777">
        <w:trPr>
          <w:jc w:val="center"/>
        </w:trPr>
        <w:tc>
          <w:tcPr>
            <w:tcW w:w="0" w:type="auto"/>
            <w:vAlign w:val="center"/>
          </w:tcPr>
          <w:p w14:paraId="47849CE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B1.1</w:t>
            </w:r>
          </w:p>
        </w:tc>
        <w:tc>
          <w:tcPr>
            <w:tcW w:w="1576" w:type="dxa"/>
            <w:vAlign w:val="center"/>
          </w:tcPr>
          <w:p w14:paraId="3BC9B29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mean temperature</w:t>
            </w:r>
          </w:p>
        </w:tc>
        <w:tc>
          <w:tcPr>
            <w:tcW w:w="2625" w:type="dxa"/>
            <w:vAlign w:val="center"/>
          </w:tcPr>
          <w:p w14:paraId="1C91C32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Annual mean temperature determines whether local conditions are suitable for long-term survival of </w:t>
            </w:r>
            <w:proofErr w:type="spellStart"/>
            <w:r>
              <w:rPr>
                <w:rStyle w:val="font21"/>
                <w:rFonts w:ascii="Times New Roman" w:hAnsi="Times New Roman" w:cs="Times New Roman" w:hint="default"/>
                <w:sz w:val="15"/>
                <w:szCs w:val="15"/>
                <w:lang w:bidi="ar"/>
              </w:rPr>
              <w:t>Oncomelania</w:t>
            </w:r>
            <w:proofErr w:type="spellEnd"/>
            <w:r>
              <w:rPr>
                <w:rStyle w:val="font01"/>
                <w:rFonts w:ascii="Times New Roman" w:hAnsi="Times New Roman" w:cs="Times New Roman" w:hint="default"/>
                <w:sz w:val="15"/>
                <w:szCs w:val="15"/>
                <w:lang w:bidi="ar"/>
              </w:rPr>
              <w:t xml:space="preserve"> snails, and also affects the survival and release of </w:t>
            </w:r>
            <w:proofErr w:type="spellStart"/>
            <w:r>
              <w:rPr>
                <w:rStyle w:val="font01"/>
                <w:rFonts w:ascii="Times New Roman" w:hAnsi="Times New Roman" w:cs="Times New Roman" w:hint="default"/>
                <w:sz w:val="15"/>
                <w:szCs w:val="15"/>
                <w:lang w:bidi="ar"/>
              </w:rPr>
              <w:t>schistosome</w:t>
            </w:r>
            <w:proofErr w:type="spellEnd"/>
            <w:r>
              <w:rPr>
                <w:rStyle w:val="font01"/>
                <w:rFonts w:ascii="Times New Roman" w:hAnsi="Times New Roman" w:cs="Times New Roman" w:hint="default"/>
                <w:sz w:val="15"/>
                <w:szCs w:val="15"/>
                <w:lang w:bidi="ar"/>
              </w:rPr>
              <w:t xml:space="preserve"> cercariae in water.</w:t>
            </w:r>
          </w:p>
        </w:tc>
        <w:tc>
          <w:tcPr>
            <w:tcW w:w="0" w:type="auto"/>
            <w:vAlign w:val="center"/>
          </w:tcPr>
          <w:p w14:paraId="53DC73C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Mean value of air temperature over the reporting year</w:t>
            </w:r>
          </w:p>
        </w:tc>
        <w:tc>
          <w:tcPr>
            <w:tcW w:w="0" w:type="auto"/>
            <w:vAlign w:val="center"/>
          </w:tcPr>
          <w:p w14:paraId="7783AF3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w:t>
            </w:r>
          </w:p>
        </w:tc>
        <w:tc>
          <w:tcPr>
            <w:tcW w:w="1474" w:type="dxa"/>
            <w:vAlign w:val="center"/>
          </w:tcPr>
          <w:p w14:paraId="27566D8B"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w:t>
            </w:r>
            <w:r>
              <w:rPr>
                <w:rFonts w:ascii="Times New Roman" w:eastAsia="SimSun" w:hAnsi="Times New Roman" w:cs="Times New Roman"/>
                <w:color w:val="000000"/>
                <w:kern w:val="0"/>
                <w:sz w:val="15"/>
                <w:szCs w:val="15"/>
                <w:lang w:bidi="ar"/>
              </w:rPr>
              <w:t>k-positive</w:t>
            </w:r>
          </w:p>
        </w:tc>
      </w:tr>
      <w:tr w:rsidR="00D91A63" w14:paraId="75F9250A" w14:textId="77777777">
        <w:trPr>
          <w:jc w:val="center"/>
        </w:trPr>
        <w:tc>
          <w:tcPr>
            <w:tcW w:w="0" w:type="auto"/>
            <w:vAlign w:val="center"/>
          </w:tcPr>
          <w:p w14:paraId="13B43CB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B1.2</w:t>
            </w:r>
          </w:p>
        </w:tc>
        <w:tc>
          <w:tcPr>
            <w:tcW w:w="1576" w:type="dxa"/>
            <w:vAlign w:val="center"/>
          </w:tcPr>
          <w:p w14:paraId="0776EE9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Mean minimum temperature in January</w:t>
            </w:r>
          </w:p>
        </w:tc>
        <w:tc>
          <w:tcPr>
            <w:tcW w:w="2625" w:type="dxa"/>
            <w:vAlign w:val="center"/>
          </w:tcPr>
          <w:p w14:paraId="25A11E0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January is usually the coldest month of the year. Low temperature can induce snail dormancy, while extreme cold may directly kill adult snails and </w:t>
            </w:r>
            <w:proofErr w:type="spellStart"/>
            <w:r>
              <w:rPr>
                <w:rFonts w:ascii="Times New Roman" w:eastAsia="SimSun" w:hAnsi="Times New Roman" w:cs="Times New Roman"/>
                <w:color w:val="000000"/>
                <w:kern w:val="0"/>
                <w:sz w:val="15"/>
                <w:szCs w:val="15"/>
                <w:lang w:bidi="ar"/>
              </w:rPr>
              <w:t>schistosome</w:t>
            </w:r>
            <w:proofErr w:type="spellEnd"/>
            <w:r>
              <w:rPr>
                <w:rFonts w:ascii="Times New Roman" w:eastAsia="SimSun" w:hAnsi="Times New Roman" w:cs="Times New Roman"/>
                <w:color w:val="000000"/>
                <w:kern w:val="0"/>
                <w:sz w:val="15"/>
                <w:szCs w:val="15"/>
                <w:lang w:bidi="ar"/>
              </w:rPr>
              <w:t xml:space="preserve"> eggs.</w:t>
            </w:r>
          </w:p>
        </w:tc>
        <w:tc>
          <w:tcPr>
            <w:tcW w:w="0" w:type="auto"/>
            <w:vAlign w:val="center"/>
          </w:tcPr>
          <w:p w14:paraId="5539D9D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Mean value of daily minimum temperatur</w:t>
            </w:r>
            <w:r>
              <w:rPr>
                <w:rFonts w:ascii="Times New Roman" w:eastAsia="SimSun" w:hAnsi="Times New Roman" w:cs="Times New Roman"/>
                <w:color w:val="000000"/>
                <w:kern w:val="0"/>
                <w:sz w:val="15"/>
                <w:szCs w:val="15"/>
                <w:lang w:bidi="ar"/>
              </w:rPr>
              <w:t>e in January</w:t>
            </w:r>
          </w:p>
        </w:tc>
        <w:tc>
          <w:tcPr>
            <w:tcW w:w="0" w:type="auto"/>
            <w:vAlign w:val="center"/>
          </w:tcPr>
          <w:p w14:paraId="70C6BB7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w:t>
            </w:r>
          </w:p>
        </w:tc>
        <w:tc>
          <w:tcPr>
            <w:tcW w:w="1474" w:type="dxa"/>
            <w:vAlign w:val="center"/>
          </w:tcPr>
          <w:p w14:paraId="5B118EF7"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6F69C772" w14:textId="77777777">
        <w:trPr>
          <w:jc w:val="center"/>
        </w:trPr>
        <w:tc>
          <w:tcPr>
            <w:tcW w:w="0" w:type="auto"/>
            <w:vAlign w:val="center"/>
          </w:tcPr>
          <w:p w14:paraId="0B4AA70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B1.3</w:t>
            </w:r>
          </w:p>
        </w:tc>
        <w:tc>
          <w:tcPr>
            <w:tcW w:w="1576" w:type="dxa"/>
            <w:vAlign w:val="center"/>
          </w:tcPr>
          <w:p w14:paraId="34FD73E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precipitation</w:t>
            </w:r>
          </w:p>
        </w:tc>
        <w:tc>
          <w:tcPr>
            <w:tcW w:w="2625" w:type="dxa"/>
            <w:vAlign w:val="center"/>
          </w:tcPr>
          <w:p w14:paraId="5FC91FD3" w14:textId="77777777" w:rsidR="00D91A63" w:rsidRDefault="004A41FB">
            <w:pPr>
              <w:widowControl/>
              <w:snapToGrid w:val="0"/>
              <w:jc w:val="center"/>
              <w:textAlignment w:val="center"/>
              <w:rPr>
                <w:rFonts w:ascii="Times New Roman" w:eastAsia="SimSun" w:hAnsi="Times New Roman" w:cs="Times New Roman"/>
                <w:sz w:val="15"/>
                <w:szCs w:val="15"/>
              </w:rPr>
            </w:pPr>
            <w:proofErr w:type="spellStart"/>
            <w:r>
              <w:rPr>
                <w:rFonts w:ascii="Times New Roman" w:eastAsia="SimSun" w:hAnsi="Times New Roman" w:cs="Times New Roman"/>
                <w:i/>
                <w:iCs/>
                <w:color w:val="000000"/>
                <w:kern w:val="0"/>
                <w:sz w:val="15"/>
                <w:szCs w:val="15"/>
                <w:lang w:bidi="ar"/>
              </w:rPr>
              <w:t>Oncomelania</w:t>
            </w:r>
            <w:proofErr w:type="spellEnd"/>
            <w:r>
              <w:rPr>
                <w:rStyle w:val="font01"/>
                <w:rFonts w:ascii="Times New Roman" w:hAnsi="Times New Roman" w:cs="Times New Roman" w:hint="default"/>
                <w:sz w:val="15"/>
                <w:szCs w:val="15"/>
                <w:lang w:bidi="ar"/>
              </w:rPr>
              <w:t xml:space="preserve"> snails depend on relatively stable water environments such as ponds and ditches. Areas with annual precipitation above 800 mm tend to have longer water retention, which is favorable for snail breeding.</w:t>
            </w:r>
          </w:p>
        </w:tc>
        <w:tc>
          <w:tcPr>
            <w:tcW w:w="0" w:type="auto"/>
            <w:vAlign w:val="center"/>
          </w:tcPr>
          <w:p w14:paraId="5BC2A5B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recorded precipitation over the reporting year</w:t>
            </w:r>
          </w:p>
        </w:tc>
        <w:tc>
          <w:tcPr>
            <w:tcW w:w="0" w:type="auto"/>
            <w:vAlign w:val="center"/>
          </w:tcPr>
          <w:p w14:paraId="3429E84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mm</w:t>
            </w:r>
          </w:p>
        </w:tc>
        <w:tc>
          <w:tcPr>
            <w:tcW w:w="1474" w:type="dxa"/>
            <w:vAlign w:val="center"/>
          </w:tcPr>
          <w:p w14:paraId="230B8FC5"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3D0F94BE" w14:textId="77777777">
        <w:trPr>
          <w:jc w:val="center"/>
        </w:trPr>
        <w:tc>
          <w:tcPr>
            <w:tcW w:w="0" w:type="auto"/>
            <w:vAlign w:val="center"/>
          </w:tcPr>
          <w:p w14:paraId="7FF226B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B2.1</w:t>
            </w:r>
          </w:p>
        </w:tc>
        <w:tc>
          <w:tcPr>
            <w:tcW w:w="1576" w:type="dxa"/>
            <w:vAlign w:val="center"/>
          </w:tcPr>
          <w:p w14:paraId="4C8C43E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Elevation</w:t>
            </w:r>
          </w:p>
        </w:tc>
        <w:tc>
          <w:tcPr>
            <w:tcW w:w="2625" w:type="dxa"/>
            <w:vAlign w:val="center"/>
          </w:tcPr>
          <w:p w14:paraId="5B09F45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Elevation of schistosomiasis-endemic areas, which influences temperature, humidity, and flooding patterns and thereby affects the survival and spread of </w:t>
            </w:r>
            <w:proofErr w:type="spellStart"/>
            <w:r>
              <w:rPr>
                <w:rFonts w:ascii="Times New Roman" w:eastAsia="SimSun" w:hAnsi="Times New Roman" w:cs="Times New Roman"/>
                <w:i/>
                <w:iCs/>
                <w:color w:val="000000"/>
                <w:kern w:val="0"/>
                <w:sz w:val="15"/>
                <w:szCs w:val="15"/>
                <w:lang w:bidi="ar"/>
              </w:rPr>
              <w:t>Oncomelania</w:t>
            </w:r>
            <w:proofErr w:type="spellEnd"/>
            <w:r>
              <w:rPr>
                <w:rFonts w:ascii="Times New Roman" w:eastAsia="SimSun" w:hAnsi="Times New Roman" w:cs="Times New Roman"/>
                <w:color w:val="000000"/>
                <w:kern w:val="0"/>
                <w:sz w:val="15"/>
                <w:szCs w:val="15"/>
                <w:lang w:bidi="ar"/>
              </w:rPr>
              <w:t xml:space="preserve"> snails.</w:t>
            </w:r>
          </w:p>
        </w:tc>
        <w:tc>
          <w:tcPr>
            <w:tcW w:w="0" w:type="auto"/>
            <w:vAlign w:val="center"/>
          </w:tcPr>
          <w:p w14:paraId="05D46F1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Mean elevation of endemic areas</w:t>
            </w:r>
          </w:p>
        </w:tc>
        <w:tc>
          <w:tcPr>
            <w:tcW w:w="0" w:type="auto"/>
            <w:vAlign w:val="center"/>
          </w:tcPr>
          <w:p w14:paraId="124D8D3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w:t>
            </w:r>
          </w:p>
        </w:tc>
        <w:tc>
          <w:tcPr>
            <w:tcW w:w="1474" w:type="dxa"/>
            <w:vAlign w:val="center"/>
          </w:tcPr>
          <w:p w14:paraId="6CB9A0D1"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38812FAA" w14:textId="77777777">
        <w:trPr>
          <w:jc w:val="center"/>
        </w:trPr>
        <w:tc>
          <w:tcPr>
            <w:tcW w:w="0" w:type="auto"/>
            <w:vAlign w:val="center"/>
          </w:tcPr>
          <w:p w14:paraId="6AEDCB7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w:t>
            </w:r>
            <w:r>
              <w:rPr>
                <w:rFonts w:ascii="Times New Roman" w:eastAsia="SimSun" w:hAnsi="Times New Roman" w:cs="Times New Roman"/>
                <w:color w:val="000000"/>
                <w:kern w:val="0"/>
                <w:sz w:val="15"/>
                <w:szCs w:val="15"/>
                <w:lang w:bidi="ar"/>
              </w:rPr>
              <w:t>2.2</w:t>
            </w:r>
          </w:p>
        </w:tc>
        <w:tc>
          <w:tcPr>
            <w:tcW w:w="1576" w:type="dxa"/>
            <w:vAlign w:val="center"/>
          </w:tcPr>
          <w:p w14:paraId="51A861D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Vegetation coverage</w:t>
            </w:r>
          </w:p>
        </w:tc>
        <w:tc>
          <w:tcPr>
            <w:tcW w:w="2625" w:type="dxa"/>
            <w:vAlign w:val="center"/>
          </w:tcPr>
          <w:p w14:paraId="573F90D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Degree of vegetation cover in schistosomiasis-endemic areas, which affects soil moisture and </w:t>
            </w:r>
            <w:proofErr w:type="spellStart"/>
            <w:r>
              <w:rPr>
                <w:rFonts w:ascii="Times New Roman" w:eastAsia="SimSun" w:hAnsi="Times New Roman" w:cs="Times New Roman"/>
                <w:color w:val="000000"/>
                <w:kern w:val="0"/>
                <w:sz w:val="15"/>
                <w:szCs w:val="15"/>
                <w:lang w:bidi="ar"/>
              </w:rPr>
              <w:t>microenvironmental</w:t>
            </w:r>
            <w:proofErr w:type="spellEnd"/>
            <w:r>
              <w:rPr>
                <w:rFonts w:ascii="Times New Roman" w:eastAsia="SimSun" w:hAnsi="Times New Roman" w:cs="Times New Roman"/>
                <w:color w:val="000000"/>
                <w:kern w:val="0"/>
                <w:sz w:val="15"/>
                <w:szCs w:val="15"/>
                <w:lang w:bidi="ar"/>
              </w:rPr>
              <w:t xml:space="preserve"> conditions and thereby influences habitat suitability and stability for </w:t>
            </w:r>
            <w:proofErr w:type="spellStart"/>
            <w:r>
              <w:rPr>
                <w:rFonts w:ascii="Times New Roman" w:eastAsia="SimSun" w:hAnsi="Times New Roman" w:cs="Times New Roman"/>
                <w:i/>
                <w:iCs/>
                <w:color w:val="000000"/>
                <w:kern w:val="0"/>
                <w:sz w:val="15"/>
                <w:szCs w:val="15"/>
                <w:lang w:bidi="ar"/>
              </w:rPr>
              <w:t>Oncomelania</w:t>
            </w:r>
            <w:proofErr w:type="spellEnd"/>
            <w:r>
              <w:rPr>
                <w:rFonts w:ascii="Times New Roman" w:eastAsia="SimSun" w:hAnsi="Times New Roman" w:cs="Times New Roman"/>
                <w:color w:val="000000"/>
                <w:kern w:val="0"/>
                <w:sz w:val="15"/>
                <w:szCs w:val="15"/>
                <w:lang w:bidi="ar"/>
              </w:rPr>
              <w:t xml:space="preserve"> snails. Vegetation types may be clas</w:t>
            </w:r>
            <w:r>
              <w:rPr>
                <w:rFonts w:ascii="Times New Roman" w:eastAsia="SimSun" w:hAnsi="Times New Roman" w:cs="Times New Roman"/>
                <w:color w:val="000000"/>
                <w:kern w:val="0"/>
                <w:sz w:val="15"/>
                <w:szCs w:val="15"/>
                <w:lang w:bidi="ar"/>
              </w:rPr>
              <w:t>sified according to the National Schistosomiasis Surveillance Scheme (2025), including weeds, reeds, woodland, rice, dryland crops, and others.</w:t>
            </w:r>
          </w:p>
        </w:tc>
        <w:tc>
          <w:tcPr>
            <w:tcW w:w="0" w:type="auto"/>
            <w:vAlign w:val="center"/>
          </w:tcPr>
          <w:p w14:paraId="53F8572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Proportion of actual vegetation cover by type in endemic areas</w:t>
            </w:r>
          </w:p>
        </w:tc>
        <w:tc>
          <w:tcPr>
            <w:tcW w:w="0" w:type="auto"/>
            <w:vAlign w:val="center"/>
          </w:tcPr>
          <w:p w14:paraId="036BD02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0DA555E4"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1F8FD9F3" w14:textId="77777777">
        <w:trPr>
          <w:jc w:val="center"/>
        </w:trPr>
        <w:tc>
          <w:tcPr>
            <w:tcW w:w="0" w:type="auto"/>
            <w:vAlign w:val="center"/>
          </w:tcPr>
          <w:p w14:paraId="0E01E62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B2.3</w:t>
            </w:r>
          </w:p>
        </w:tc>
        <w:tc>
          <w:tcPr>
            <w:tcW w:w="1576" w:type="dxa"/>
            <w:vAlign w:val="center"/>
          </w:tcPr>
          <w:p w14:paraId="45959AD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Soil moisture</w:t>
            </w:r>
          </w:p>
        </w:tc>
        <w:tc>
          <w:tcPr>
            <w:tcW w:w="2625" w:type="dxa"/>
            <w:vAlign w:val="center"/>
          </w:tcPr>
          <w:p w14:paraId="6CF981A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Moisture </w:t>
            </w:r>
            <w:r>
              <w:rPr>
                <w:rFonts w:ascii="Times New Roman" w:eastAsia="SimSun" w:hAnsi="Times New Roman" w:cs="Times New Roman"/>
                <w:color w:val="000000"/>
                <w:kern w:val="0"/>
                <w:sz w:val="15"/>
                <w:szCs w:val="15"/>
                <w:lang w:bidi="ar"/>
              </w:rPr>
              <w:t>level of topsoil (0–20 cm) in schistosomiasis-endemic areas, which directly affects snail survival, reproduction, and activity. Higher soil moisture favors suitable snail habitats, whereas lower soil moisture limits snail survival.</w:t>
            </w:r>
          </w:p>
        </w:tc>
        <w:tc>
          <w:tcPr>
            <w:tcW w:w="0" w:type="auto"/>
            <w:vAlign w:val="center"/>
          </w:tcPr>
          <w:p w14:paraId="54EA0D2D" w14:textId="77777777" w:rsidR="00D91A63" w:rsidRDefault="004A41FB">
            <w:pPr>
              <w:widowControl/>
              <w:snapToGrid w:val="0"/>
              <w:jc w:val="center"/>
              <w:textAlignment w:val="center"/>
              <w:rPr>
                <w:rFonts w:ascii="Times New Roman" w:eastAsia="SimSun" w:hAnsi="Times New Roman" w:cs="Times New Roman"/>
                <w:sz w:val="15"/>
                <w:szCs w:val="15"/>
              </w:rPr>
            </w:pPr>
            <w:proofErr w:type="spellStart"/>
            <w:r>
              <w:rPr>
                <w:rFonts w:ascii="Times New Roman" w:eastAsia="SimSun" w:hAnsi="Times New Roman" w:cs="Times New Roman"/>
                <w:color w:val="000000"/>
                <w:kern w:val="0"/>
                <w:sz w:val="15"/>
                <w:szCs w:val="15"/>
                <w:lang w:bidi="ar"/>
              </w:rPr>
              <w:t>NDWI_soil</w:t>
            </w:r>
            <w:proofErr w:type="spellEnd"/>
            <w:r>
              <w:rPr>
                <w:rFonts w:ascii="Times New Roman" w:eastAsia="SimSun" w:hAnsi="Times New Roman" w:cs="Times New Roman"/>
                <w:color w:val="000000"/>
                <w:kern w:val="0"/>
                <w:sz w:val="15"/>
                <w:szCs w:val="15"/>
                <w:lang w:bidi="ar"/>
              </w:rPr>
              <w:t xml:space="preserve"> value for </w:t>
            </w:r>
            <w:r>
              <w:rPr>
                <w:rFonts w:ascii="Times New Roman" w:eastAsia="SimSun" w:hAnsi="Times New Roman" w:cs="Times New Roman"/>
                <w:color w:val="000000"/>
                <w:kern w:val="0"/>
                <w:sz w:val="15"/>
                <w:szCs w:val="15"/>
                <w:lang w:bidi="ar"/>
              </w:rPr>
              <w:t>local soil moisture</w:t>
            </w:r>
          </w:p>
        </w:tc>
        <w:tc>
          <w:tcPr>
            <w:tcW w:w="0" w:type="auto"/>
            <w:vAlign w:val="center"/>
          </w:tcPr>
          <w:p w14:paraId="2E88123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Index</w:t>
            </w:r>
          </w:p>
        </w:tc>
        <w:tc>
          <w:tcPr>
            <w:tcW w:w="1474" w:type="dxa"/>
            <w:vAlign w:val="center"/>
          </w:tcPr>
          <w:p w14:paraId="39F9A6ED"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5D58FE30" w14:textId="77777777">
        <w:trPr>
          <w:jc w:val="center"/>
        </w:trPr>
        <w:tc>
          <w:tcPr>
            <w:tcW w:w="0" w:type="auto"/>
            <w:vAlign w:val="center"/>
          </w:tcPr>
          <w:p w14:paraId="79B8CB6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B2.4</w:t>
            </w:r>
          </w:p>
        </w:tc>
        <w:tc>
          <w:tcPr>
            <w:tcW w:w="1576" w:type="dxa"/>
            <w:vAlign w:val="center"/>
          </w:tcPr>
          <w:p w14:paraId="0203C26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Farmland proportion</w:t>
            </w:r>
          </w:p>
        </w:tc>
        <w:tc>
          <w:tcPr>
            <w:tcW w:w="2625" w:type="dxa"/>
            <w:vAlign w:val="center"/>
          </w:tcPr>
          <w:p w14:paraId="0FA2347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Proportion of farmland area within the county administrative area. Farmland, especially paddy fields and irrigated dryland, often provides suitable habitats for </w:t>
            </w:r>
            <w:proofErr w:type="spellStart"/>
            <w:r>
              <w:rPr>
                <w:rFonts w:ascii="Times New Roman" w:eastAsia="SimSun" w:hAnsi="Times New Roman" w:cs="Times New Roman"/>
                <w:i/>
                <w:iCs/>
                <w:color w:val="000000"/>
                <w:kern w:val="0"/>
                <w:sz w:val="15"/>
                <w:szCs w:val="15"/>
                <w:lang w:bidi="ar"/>
              </w:rPr>
              <w:t>Oncomelania</w:t>
            </w:r>
            <w:proofErr w:type="spellEnd"/>
            <w:r>
              <w:rPr>
                <w:rFonts w:ascii="Times New Roman" w:eastAsia="SimSun" w:hAnsi="Times New Roman" w:cs="Times New Roman"/>
                <w:color w:val="000000"/>
                <w:kern w:val="0"/>
                <w:sz w:val="15"/>
                <w:szCs w:val="15"/>
                <w:lang w:bidi="ar"/>
              </w:rPr>
              <w:t xml:space="preserve"> snails because of</w:t>
            </w:r>
            <w:r>
              <w:rPr>
                <w:rFonts w:ascii="Times New Roman" w:eastAsia="SimSun" w:hAnsi="Times New Roman" w:cs="Times New Roman"/>
                <w:color w:val="000000"/>
                <w:kern w:val="0"/>
                <w:sz w:val="15"/>
                <w:szCs w:val="15"/>
                <w:lang w:bidi="ar"/>
              </w:rPr>
              <w:t xml:space="preserve"> persistent or seasonal soil moisture and waterlogging.</w:t>
            </w:r>
          </w:p>
        </w:tc>
        <w:tc>
          <w:tcPr>
            <w:tcW w:w="0" w:type="auto"/>
            <w:vAlign w:val="center"/>
          </w:tcPr>
          <w:p w14:paraId="3E9BD98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Farmland area / total county administrative area × 100%</w:t>
            </w:r>
          </w:p>
        </w:tc>
        <w:tc>
          <w:tcPr>
            <w:tcW w:w="0" w:type="auto"/>
            <w:vAlign w:val="center"/>
          </w:tcPr>
          <w:p w14:paraId="6EE6974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108231B2"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4A6357F9" w14:textId="77777777">
        <w:trPr>
          <w:jc w:val="center"/>
        </w:trPr>
        <w:tc>
          <w:tcPr>
            <w:tcW w:w="0" w:type="auto"/>
            <w:vAlign w:val="center"/>
          </w:tcPr>
          <w:p w14:paraId="48D44FA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B3.1</w:t>
            </w:r>
          </w:p>
        </w:tc>
        <w:tc>
          <w:tcPr>
            <w:tcW w:w="1576" w:type="dxa"/>
            <w:vAlign w:val="center"/>
          </w:tcPr>
          <w:p w14:paraId="440E339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Density of snail-infested water systems</w:t>
            </w:r>
          </w:p>
        </w:tc>
        <w:tc>
          <w:tcPr>
            <w:tcW w:w="2625" w:type="dxa"/>
            <w:vAlign w:val="center"/>
          </w:tcPr>
          <w:p w14:paraId="130489D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Ratio of the total length of ditches with snail distribution to the total county </w:t>
            </w:r>
            <w:r>
              <w:rPr>
                <w:rFonts w:ascii="Times New Roman" w:eastAsia="SimSun" w:hAnsi="Times New Roman" w:cs="Times New Roman"/>
                <w:color w:val="000000"/>
                <w:kern w:val="0"/>
                <w:sz w:val="15"/>
                <w:szCs w:val="15"/>
                <w:lang w:bidi="ar"/>
              </w:rPr>
              <w:t>administrative area, reflecting the development and spatial density of snail-infested water bodies in the area. Higher density usually indicates a more developed water network and wetter environments suitable for snail survival.</w:t>
            </w:r>
          </w:p>
        </w:tc>
        <w:tc>
          <w:tcPr>
            <w:tcW w:w="0" w:type="auto"/>
            <w:vAlign w:val="center"/>
          </w:tcPr>
          <w:p w14:paraId="38D9993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length of snail-infes</w:t>
            </w:r>
            <w:r>
              <w:rPr>
                <w:rFonts w:ascii="Times New Roman" w:eastAsia="SimSun" w:hAnsi="Times New Roman" w:cs="Times New Roman"/>
                <w:color w:val="000000"/>
                <w:kern w:val="0"/>
                <w:sz w:val="15"/>
                <w:szCs w:val="15"/>
                <w:lang w:bidi="ar"/>
              </w:rPr>
              <w:t>ted ditches / total county administrative area</w:t>
            </w:r>
          </w:p>
        </w:tc>
        <w:tc>
          <w:tcPr>
            <w:tcW w:w="0" w:type="auto"/>
            <w:vAlign w:val="center"/>
          </w:tcPr>
          <w:p w14:paraId="42B5A6E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km/km</w:t>
            </w:r>
            <w:r>
              <w:rPr>
                <w:rFonts w:ascii="Times New Roman" w:eastAsia="SimSun" w:hAnsi="Times New Roman" w:cs="Times New Roman"/>
                <w:sz w:val="15"/>
                <w:szCs w:val="15"/>
              </w:rPr>
              <w:t>²</w:t>
            </w:r>
          </w:p>
        </w:tc>
        <w:tc>
          <w:tcPr>
            <w:tcW w:w="1474" w:type="dxa"/>
            <w:vAlign w:val="center"/>
          </w:tcPr>
          <w:p w14:paraId="30A08DC9"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15D9AA58" w14:textId="77777777">
        <w:trPr>
          <w:jc w:val="center"/>
        </w:trPr>
        <w:tc>
          <w:tcPr>
            <w:tcW w:w="0" w:type="auto"/>
            <w:vAlign w:val="center"/>
          </w:tcPr>
          <w:p w14:paraId="1896D31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B3.2</w:t>
            </w:r>
          </w:p>
        </w:tc>
        <w:tc>
          <w:tcPr>
            <w:tcW w:w="1576" w:type="dxa"/>
            <w:vAlign w:val="center"/>
          </w:tcPr>
          <w:p w14:paraId="5B16AED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Flood events</w:t>
            </w:r>
          </w:p>
        </w:tc>
        <w:tc>
          <w:tcPr>
            <w:tcW w:w="2625" w:type="dxa"/>
            <w:vAlign w:val="center"/>
          </w:tcPr>
          <w:p w14:paraId="6DBFA3C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flood events in the area, including large-scale inundation caused by abnormal rises in river, lake, or reservoir water levels, reflecting the recent flood hist</w:t>
            </w:r>
            <w:r>
              <w:rPr>
                <w:rFonts w:ascii="Times New Roman" w:eastAsia="SimSun" w:hAnsi="Times New Roman" w:cs="Times New Roman"/>
                <w:color w:val="000000"/>
                <w:kern w:val="0"/>
                <w:sz w:val="15"/>
                <w:szCs w:val="15"/>
                <w:lang w:bidi="ar"/>
              </w:rPr>
              <w:t>ory and its potential impact on snail habitats.</w:t>
            </w:r>
          </w:p>
        </w:tc>
        <w:tc>
          <w:tcPr>
            <w:tcW w:w="0" w:type="auto"/>
            <w:vAlign w:val="center"/>
          </w:tcPr>
          <w:p w14:paraId="2F25A7E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flood events</w:t>
            </w:r>
          </w:p>
        </w:tc>
        <w:tc>
          <w:tcPr>
            <w:tcW w:w="0" w:type="auto"/>
            <w:vAlign w:val="center"/>
          </w:tcPr>
          <w:p w14:paraId="3D076CD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times</w:t>
            </w:r>
          </w:p>
        </w:tc>
        <w:tc>
          <w:tcPr>
            <w:tcW w:w="1474" w:type="dxa"/>
            <w:vAlign w:val="center"/>
          </w:tcPr>
          <w:p w14:paraId="2689B85B"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Risk-positive</w:t>
            </w:r>
          </w:p>
        </w:tc>
      </w:tr>
      <w:tr w:rsidR="00D91A63" w14:paraId="0C2AC323" w14:textId="77777777">
        <w:trPr>
          <w:jc w:val="center"/>
        </w:trPr>
        <w:tc>
          <w:tcPr>
            <w:tcW w:w="0" w:type="auto"/>
            <w:vAlign w:val="center"/>
          </w:tcPr>
          <w:p w14:paraId="58A9650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B3.3</w:t>
            </w:r>
          </w:p>
        </w:tc>
        <w:tc>
          <w:tcPr>
            <w:tcW w:w="1576" w:type="dxa"/>
            <w:vAlign w:val="center"/>
          </w:tcPr>
          <w:p w14:paraId="4FE6C89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Drought events</w:t>
            </w:r>
          </w:p>
        </w:tc>
        <w:tc>
          <w:tcPr>
            <w:tcW w:w="2625" w:type="dxa"/>
            <w:vAlign w:val="center"/>
          </w:tcPr>
          <w:p w14:paraId="586C709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persistent water-shortage events caused by abnormally low precipitation and meeting provincial- or national-level drought warning </w:t>
            </w:r>
            <w:r>
              <w:rPr>
                <w:rFonts w:ascii="Times New Roman" w:eastAsia="SimSun" w:hAnsi="Times New Roman" w:cs="Times New Roman"/>
                <w:color w:val="000000"/>
                <w:kern w:val="0"/>
                <w:sz w:val="15"/>
                <w:szCs w:val="15"/>
                <w:lang w:bidi="ar"/>
              </w:rPr>
              <w:t>criteria, reflecting the recent drought history and its impact on the stability of snail habitats.</w:t>
            </w:r>
          </w:p>
        </w:tc>
        <w:tc>
          <w:tcPr>
            <w:tcW w:w="0" w:type="auto"/>
            <w:vAlign w:val="center"/>
          </w:tcPr>
          <w:p w14:paraId="5A21785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drought events</w:t>
            </w:r>
          </w:p>
        </w:tc>
        <w:tc>
          <w:tcPr>
            <w:tcW w:w="0" w:type="auto"/>
            <w:vAlign w:val="center"/>
          </w:tcPr>
          <w:p w14:paraId="6D5D714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times</w:t>
            </w:r>
          </w:p>
        </w:tc>
        <w:tc>
          <w:tcPr>
            <w:tcW w:w="1474" w:type="dxa"/>
            <w:vAlign w:val="center"/>
          </w:tcPr>
          <w:p w14:paraId="0C6A0219"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7193023F" w14:textId="77777777">
        <w:trPr>
          <w:jc w:val="center"/>
        </w:trPr>
        <w:tc>
          <w:tcPr>
            <w:tcW w:w="0" w:type="auto"/>
            <w:vAlign w:val="center"/>
          </w:tcPr>
          <w:p w14:paraId="6DA76A6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C1.1</w:t>
            </w:r>
          </w:p>
        </w:tc>
        <w:tc>
          <w:tcPr>
            <w:tcW w:w="1576" w:type="dxa"/>
            <w:vAlign w:val="center"/>
          </w:tcPr>
          <w:p w14:paraId="5CB29D1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County fiscal capacity</w:t>
            </w:r>
          </w:p>
        </w:tc>
        <w:tc>
          <w:tcPr>
            <w:tcW w:w="2625" w:type="dxa"/>
            <w:vAlign w:val="center"/>
          </w:tcPr>
          <w:p w14:paraId="1E4082D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general budget revenue of the county government, reflecting local economic c</w:t>
            </w:r>
            <w:r>
              <w:rPr>
                <w:rFonts w:ascii="Times New Roman" w:eastAsia="SimSun" w:hAnsi="Times New Roman" w:cs="Times New Roman"/>
                <w:color w:val="000000"/>
                <w:kern w:val="0"/>
                <w:sz w:val="15"/>
                <w:szCs w:val="15"/>
                <w:lang w:bidi="ar"/>
              </w:rPr>
              <w:t>apacity and the availability of public health resources.</w:t>
            </w:r>
          </w:p>
        </w:tc>
        <w:tc>
          <w:tcPr>
            <w:tcW w:w="0" w:type="auto"/>
            <w:vAlign w:val="center"/>
          </w:tcPr>
          <w:p w14:paraId="15751C1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general budget revenue of the county government in endemic counties</w:t>
            </w:r>
          </w:p>
        </w:tc>
        <w:tc>
          <w:tcPr>
            <w:tcW w:w="0" w:type="auto"/>
            <w:vAlign w:val="center"/>
          </w:tcPr>
          <w:p w14:paraId="339FB5C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100 million CNY</w:t>
            </w:r>
          </w:p>
        </w:tc>
        <w:tc>
          <w:tcPr>
            <w:tcW w:w="1474" w:type="dxa"/>
            <w:vAlign w:val="center"/>
          </w:tcPr>
          <w:p w14:paraId="46F7CA3F"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4B9D908C" w14:textId="77777777">
        <w:trPr>
          <w:jc w:val="center"/>
        </w:trPr>
        <w:tc>
          <w:tcPr>
            <w:tcW w:w="0" w:type="auto"/>
            <w:vAlign w:val="center"/>
          </w:tcPr>
          <w:p w14:paraId="0CE97AE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C1.2</w:t>
            </w:r>
          </w:p>
        </w:tc>
        <w:tc>
          <w:tcPr>
            <w:tcW w:w="1576" w:type="dxa"/>
            <w:vAlign w:val="center"/>
          </w:tcPr>
          <w:p w14:paraId="0F4455C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 capita income of rural residents</w:t>
            </w:r>
          </w:p>
        </w:tc>
        <w:tc>
          <w:tcPr>
            <w:tcW w:w="2625" w:type="dxa"/>
            <w:vAlign w:val="center"/>
          </w:tcPr>
          <w:p w14:paraId="38E0081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 capita disposable income of rural residents wit</w:t>
            </w:r>
            <w:r>
              <w:rPr>
                <w:rFonts w:ascii="Times New Roman" w:eastAsia="SimSun" w:hAnsi="Times New Roman" w:cs="Times New Roman"/>
                <w:color w:val="000000"/>
                <w:kern w:val="0"/>
                <w:sz w:val="15"/>
                <w:szCs w:val="15"/>
                <w:lang w:bidi="ar"/>
              </w:rPr>
              <w:t>hin a given period (usually one year), reflecting individual economic capacity and living standards.</w:t>
            </w:r>
          </w:p>
        </w:tc>
        <w:tc>
          <w:tcPr>
            <w:tcW w:w="0" w:type="auto"/>
            <w:vAlign w:val="center"/>
          </w:tcPr>
          <w:p w14:paraId="314C5C3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per capita disposable income of rural residents in endemic counties</w:t>
            </w:r>
          </w:p>
        </w:tc>
        <w:tc>
          <w:tcPr>
            <w:tcW w:w="0" w:type="auto"/>
            <w:vAlign w:val="center"/>
          </w:tcPr>
          <w:p w14:paraId="6BD8C7B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CNY/person</w:t>
            </w:r>
          </w:p>
        </w:tc>
        <w:tc>
          <w:tcPr>
            <w:tcW w:w="1474" w:type="dxa"/>
            <w:vAlign w:val="center"/>
          </w:tcPr>
          <w:p w14:paraId="2E218C38"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2987515E" w14:textId="77777777">
        <w:trPr>
          <w:jc w:val="center"/>
        </w:trPr>
        <w:tc>
          <w:tcPr>
            <w:tcW w:w="0" w:type="auto"/>
            <w:vAlign w:val="center"/>
          </w:tcPr>
          <w:p w14:paraId="31B6019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C2.1</w:t>
            </w:r>
          </w:p>
        </w:tc>
        <w:tc>
          <w:tcPr>
            <w:tcW w:w="1576" w:type="dxa"/>
            <w:vAlign w:val="center"/>
          </w:tcPr>
          <w:p w14:paraId="7F120D1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Investment in schistosomiasis control</w:t>
            </w:r>
          </w:p>
        </w:tc>
        <w:tc>
          <w:tcPr>
            <w:tcW w:w="2625" w:type="dxa"/>
            <w:vAlign w:val="center"/>
          </w:tcPr>
          <w:p w14:paraId="72B4541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Proportion </w:t>
            </w:r>
            <w:r>
              <w:rPr>
                <w:rFonts w:ascii="Times New Roman" w:eastAsia="SimSun" w:hAnsi="Times New Roman" w:cs="Times New Roman"/>
                <w:color w:val="000000"/>
                <w:kern w:val="0"/>
                <w:sz w:val="15"/>
                <w:szCs w:val="15"/>
                <w:lang w:bidi="ar"/>
              </w:rPr>
              <w:t>of county-level dedicated funding for schistosomiasis control in the total annual health budget, including central transfers, local matching funds, and social donations.</w:t>
            </w:r>
          </w:p>
        </w:tc>
        <w:tc>
          <w:tcPr>
            <w:tcW w:w="0" w:type="auto"/>
            <w:vAlign w:val="center"/>
          </w:tcPr>
          <w:p w14:paraId="603E637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Dedicated schistosomiasis control funding in endemic counties / total annual health bu</w:t>
            </w:r>
            <w:r>
              <w:rPr>
                <w:rFonts w:ascii="Times New Roman" w:eastAsia="SimSun" w:hAnsi="Times New Roman" w:cs="Times New Roman"/>
                <w:color w:val="000000"/>
                <w:kern w:val="0"/>
                <w:sz w:val="15"/>
                <w:szCs w:val="15"/>
                <w:lang w:bidi="ar"/>
              </w:rPr>
              <w:t>dget × 100%</w:t>
            </w:r>
          </w:p>
        </w:tc>
        <w:tc>
          <w:tcPr>
            <w:tcW w:w="0" w:type="auto"/>
            <w:vAlign w:val="center"/>
          </w:tcPr>
          <w:p w14:paraId="14D9D3F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1F4D9D91"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3AF8BB6F" w14:textId="77777777">
        <w:trPr>
          <w:jc w:val="center"/>
        </w:trPr>
        <w:tc>
          <w:tcPr>
            <w:tcW w:w="0" w:type="auto"/>
            <w:vAlign w:val="center"/>
          </w:tcPr>
          <w:p w14:paraId="6FAF349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C2.2</w:t>
            </w:r>
          </w:p>
        </w:tc>
        <w:tc>
          <w:tcPr>
            <w:tcW w:w="1576" w:type="dxa"/>
            <w:vAlign w:val="center"/>
          </w:tcPr>
          <w:p w14:paraId="6A778F7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Full-time schistosomiasis control staff</w:t>
            </w:r>
          </w:p>
        </w:tc>
        <w:tc>
          <w:tcPr>
            <w:tcW w:w="2625" w:type="dxa"/>
            <w:vAlign w:val="center"/>
          </w:tcPr>
          <w:p w14:paraId="7CE677C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full-time personnel engaged in schistosomiasis prevention, diagnosis, treatment, and health education, including staff from CDCs and hospitals.</w:t>
            </w:r>
          </w:p>
        </w:tc>
        <w:tc>
          <w:tcPr>
            <w:tcW w:w="0" w:type="auto"/>
            <w:vAlign w:val="center"/>
          </w:tcPr>
          <w:p w14:paraId="3FBA6B9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full-time pr</w:t>
            </w:r>
            <w:r>
              <w:rPr>
                <w:rFonts w:ascii="Times New Roman" w:eastAsia="SimSun" w:hAnsi="Times New Roman" w:cs="Times New Roman"/>
                <w:color w:val="000000"/>
                <w:kern w:val="0"/>
                <w:sz w:val="15"/>
                <w:szCs w:val="15"/>
                <w:lang w:bidi="ar"/>
              </w:rPr>
              <w:t>ofessional staff in county CDCs and hospitals</w:t>
            </w:r>
          </w:p>
        </w:tc>
        <w:tc>
          <w:tcPr>
            <w:tcW w:w="0" w:type="auto"/>
            <w:vAlign w:val="center"/>
          </w:tcPr>
          <w:p w14:paraId="7449793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persons</w:t>
            </w:r>
          </w:p>
        </w:tc>
        <w:tc>
          <w:tcPr>
            <w:tcW w:w="1474" w:type="dxa"/>
            <w:vAlign w:val="center"/>
          </w:tcPr>
          <w:p w14:paraId="399B74E9"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0EEC3EFB" w14:textId="77777777">
        <w:trPr>
          <w:jc w:val="center"/>
        </w:trPr>
        <w:tc>
          <w:tcPr>
            <w:tcW w:w="0" w:type="auto"/>
            <w:vAlign w:val="center"/>
          </w:tcPr>
          <w:p w14:paraId="721BF34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C2.3</w:t>
            </w:r>
          </w:p>
        </w:tc>
        <w:tc>
          <w:tcPr>
            <w:tcW w:w="1576" w:type="dxa"/>
            <w:vAlign w:val="center"/>
          </w:tcPr>
          <w:p w14:paraId="4375A0D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Part-time schistosomiasis control staff</w:t>
            </w:r>
          </w:p>
        </w:tc>
        <w:tc>
          <w:tcPr>
            <w:tcW w:w="2625" w:type="dxa"/>
            <w:vAlign w:val="center"/>
          </w:tcPr>
          <w:p w14:paraId="109F8F2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part-time personnel engaged in schistosomiasis prevention, diagnosis, treatment, and health education, including staff from CDCs, </w:t>
            </w:r>
            <w:r>
              <w:rPr>
                <w:rFonts w:ascii="Times New Roman" w:eastAsia="SimSun" w:hAnsi="Times New Roman" w:cs="Times New Roman"/>
                <w:color w:val="000000"/>
                <w:kern w:val="0"/>
                <w:sz w:val="15"/>
                <w:szCs w:val="15"/>
                <w:lang w:bidi="ar"/>
              </w:rPr>
              <w:t>hospitals, and village clinics.</w:t>
            </w:r>
          </w:p>
        </w:tc>
        <w:tc>
          <w:tcPr>
            <w:tcW w:w="0" w:type="auto"/>
            <w:vAlign w:val="center"/>
          </w:tcPr>
          <w:p w14:paraId="65A0E85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part-time staff in county CDCs, hospitals, and village clinics</w:t>
            </w:r>
          </w:p>
        </w:tc>
        <w:tc>
          <w:tcPr>
            <w:tcW w:w="0" w:type="auto"/>
            <w:vAlign w:val="center"/>
          </w:tcPr>
          <w:p w14:paraId="016B120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persons</w:t>
            </w:r>
          </w:p>
        </w:tc>
        <w:tc>
          <w:tcPr>
            <w:tcW w:w="1474" w:type="dxa"/>
            <w:vAlign w:val="center"/>
          </w:tcPr>
          <w:p w14:paraId="1A334565"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07009C3E" w14:textId="77777777">
        <w:trPr>
          <w:jc w:val="center"/>
        </w:trPr>
        <w:tc>
          <w:tcPr>
            <w:tcW w:w="0" w:type="auto"/>
            <w:vAlign w:val="center"/>
          </w:tcPr>
          <w:p w14:paraId="4168B2B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C2.4</w:t>
            </w:r>
          </w:p>
        </w:tc>
        <w:tc>
          <w:tcPr>
            <w:tcW w:w="1576" w:type="dxa"/>
            <w:vAlign w:val="center"/>
          </w:tcPr>
          <w:p w14:paraId="5C2F954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EQA compliance rate</w:t>
            </w:r>
          </w:p>
        </w:tc>
        <w:tc>
          <w:tcPr>
            <w:tcW w:w="2625" w:type="dxa"/>
            <w:vAlign w:val="center"/>
          </w:tcPr>
          <w:p w14:paraId="11C9D58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Whether the county schistosomiasis laboratory participated in provincial- or national-level exter</w:t>
            </w:r>
            <w:r>
              <w:rPr>
                <w:rFonts w:ascii="Times New Roman" w:eastAsia="SimSun" w:hAnsi="Times New Roman" w:cs="Times New Roman"/>
                <w:color w:val="000000"/>
                <w:kern w:val="0"/>
                <w:sz w:val="15"/>
                <w:szCs w:val="15"/>
                <w:lang w:bidi="ar"/>
              </w:rPr>
              <w:t>nal quality assessment (EQA) during the reporting year and achieved a qualification rate of at least 90%, reflecting the stability and quality of laboratory testing capacity.</w:t>
            </w:r>
          </w:p>
        </w:tc>
        <w:tc>
          <w:tcPr>
            <w:tcW w:w="0" w:type="auto"/>
            <w:vAlign w:val="center"/>
          </w:tcPr>
          <w:p w14:paraId="19F93B9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Whether the EQA qualification rate was ≥ 90% (yes = 1; no = 0)</w:t>
            </w:r>
          </w:p>
        </w:tc>
        <w:tc>
          <w:tcPr>
            <w:tcW w:w="0" w:type="auto"/>
            <w:vAlign w:val="center"/>
          </w:tcPr>
          <w:p w14:paraId="0538F96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Binary (0/1)</w:t>
            </w:r>
          </w:p>
        </w:tc>
        <w:tc>
          <w:tcPr>
            <w:tcW w:w="1474" w:type="dxa"/>
            <w:vAlign w:val="center"/>
          </w:tcPr>
          <w:p w14:paraId="57A71D78"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w:t>
            </w:r>
            <w:r>
              <w:rPr>
                <w:rFonts w:ascii="Times New Roman" w:eastAsia="SimSun" w:hAnsi="Times New Roman" w:cs="Times New Roman"/>
                <w:color w:val="000000"/>
                <w:kern w:val="0"/>
                <w:sz w:val="15"/>
                <w:szCs w:val="15"/>
                <w:lang w:bidi="ar"/>
              </w:rPr>
              <w:t>negative</w:t>
            </w:r>
          </w:p>
        </w:tc>
      </w:tr>
      <w:tr w:rsidR="00D91A63" w14:paraId="00E897F6" w14:textId="77777777">
        <w:trPr>
          <w:jc w:val="center"/>
        </w:trPr>
        <w:tc>
          <w:tcPr>
            <w:tcW w:w="0" w:type="auto"/>
            <w:vAlign w:val="center"/>
          </w:tcPr>
          <w:p w14:paraId="76D7EAE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C2.5</w:t>
            </w:r>
          </w:p>
        </w:tc>
        <w:tc>
          <w:tcPr>
            <w:tcW w:w="1576" w:type="dxa"/>
            <w:vAlign w:val="center"/>
          </w:tcPr>
          <w:p w14:paraId="0D98949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professional training sessions</w:t>
            </w:r>
          </w:p>
        </w:tc>
        <w:tc>
          <w:tcPr>
            <w:tcW w:w="2625" w:type="dxa"/>
            <w:vAlign w:val="center"/>
          </w:tcPr>
          <w:p w14:paraId="42FD039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professional trainings related to schistosomiasis control, surveillance, or laboratory testing organized by national-, provincial-, or municipal-level health authorities or professional institu</w:t>
            </w:r>
            <w:r>
              <w:rPr>
                <w:rFonts w:ascii="Times New Roman" w:eastAsia="SimSun" w:hAnsi="Times New Roman" w:cs="Times New Roman"/>
                <w:color w:val="000000"/>
                <w:kern w:val="0"/>
                <w:sz w:val="15"/>
                <w:szCs w:val="15"/>
                <w:lang w:bidi="ar"/>
              </w:rPr>
              <w:t>tions for county-level agencies during the reporting year.</w:t>
            </w:r>
          </w:p>
        </w:tc>
        <w:tc>
          <w:tcPr>
            <w:tcW w:w="0" w:type="auto"/>
            <w:vAlign w:val="center"/>
          </w:tcPr>
          <w:p w14:paraId="6F340A2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Total number of relevant training activities received during the reporting year</w:t>
            </w:r>
          </w:p>
        </w:tc>
        <w:tc>
          <w:tcPr>
            <w:tcW w:w="0" w:type="auto"/>
            <w:vAlign w:val="center"/>
          </w:tcPr>
          <w:p w14:paraId="12A906E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times</w:t>
            </w:r>
          </w:p>
        </w:tc>
        <w:tc>
          <w:tcPr>
            <w:tcW w:w="1474" w:type="dxa"/>
            <w:vAlign w:val="center"/>
          </w:tcPr>
          <w:p w14:paraId="7382AFD9"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6E52A15B" w14:textId="77777777">
        <w:trPr>
          <w:jc w:val="center"/>
        </w:trPr>
        <w:tc>
          <w:tcPr>
            <w:tcW w:w="0" w:type="auto"/>
            <w:vAlign w:val="center"/>
          </w:tcPr>
          <w:p w14:paraId="2554988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C2.6</w:t>
            </w:r>
          </w:p>
        </w:tc>
        <w:tc>
          <w:tcPr>
            <w:tcW w:w="1576" w:type="dxa"/>
            <w:vAlign w:val="center"/>
          </w:tcPr>
          <w:p w14:paraId="76811BE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Flood-season control material stockpile</w:t>
            </w:r>
          </w:p>
        </w:tc>
        <w:tc>
          <w:tcPr>
            <w:tcW w:w="2625" w:type="dxa"/>
            <w:vAlign w:val="center"/>
          </w:tcPr>
          <w:p w14:paraId="5895B59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months that key schistosomiasis control </w:t>
            </w:r>
            <w:r>
              <w:rPr>
                <w:rFonts w:ascii="Times New Roman" w:eastAsia="SimSun" w:hAnsi="Times New Roman" w:cs="Times New Roman"/>
                <w:color w:val="000000"/>
                <w:kern w:val="0"/>
                <w:sz w:val="15"/>
                <w:szCs w:val="15"/>
                <w:lang w:bidi="ar"/>
              </w:rPr>
              <w:t xml:space="preserve">supplies available at the beginning of the flood season (May–October) could support emergency response, based on the minimum support time among chemotherapy drugs, protective equipment, and </w:t>
            </w:r>
            <w:proofErr w:type="spellStart"/>
            <w:r>
              <w:rPr>
                <w:rFonts w:ascii="Times New Roman" w:eastAsia="SimSun" w:hAnsi="Times New Roman" w:cs="Times New Roman"/>
                <w:color w:val="000000"/>
                <w:kern w:val="0"/>
                <w:sz w:val="15"/>
                <w:szCs w:val="15"/>
                <w:lang w:bidi="ar"/>
              </w:rPr>
              <w:t>molluscicides</w:t>
            </w:r>
            <w:proofErr w:type="spellEnd"/>
            <w:r>
              <w:rPr>
                <w:rFonts w:ascii="Times New Roman" w:eastAsia="SimSun" w:hAnsi="Times New Roman" w:cs="Times New Roman"/>
                <w:color w:val="000000"/>
                <w:kern w:val="0"/>
                <w:sz w:val="15"/>
                <w:szCs w:val="15"/>
                <w:lang w:bidi="ar"/>
              </w:rPr>
              <w:t>.</w:t>
            </w:r>
          </w:p>
        </w:tc>
        <w:tc>
          <w:tcPr>
            <w:tcW w:w="0" w:type="auto"/>
            <w:vAlign w:val="center"/>
          </w:tcPr>
          <w:p w14:paraId="7552D54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roofErr w:type="spellStart"/>
            <w:r>
              <w:rPr>
                <w:rFonts w:ascii="Times New Roman" w:eastAsia="SimSun" w:hAnsi="Times New Roman" w:cs="Times New Roman"/>
                <w:color w:val="000000"/>
                <w:kern w:val="0"/>
                <w:sz w:val="15"/>
                <w:szCs w:val="15"/>
                <w:lang w:bidi="ar"/>
              </w:rPr>
              <w:t>T_i</w:t>
            </w:r>
            <w:proofErr w:type="spellEnd"/>
            <w:r>
              <w:rPr>
                <w:rFonts w:ascii="Times New Roman" w:eastAsia="SimSun" w:hAnsi="Times New Roman" w:cs="Times New Roman"/>
                <w:color w:val="000000"/>
                <w:kern w:val="0"/>
                <w:sz w:val="15"/>
                <w:szCs w:val="15"/>
                <w:lang w:bidi="ar"/>
              </w:rPr>
              <w:t xml:space="preserve"> = </w:t>
            </w:r>
            <w:proofErr w:type="spellStart"/>
            <w:r>
              <w:rPr>
                <w:rFonts w:ascii="Times New Roman" w:eastAsia="SimSun" w:hAnsi="Times New Roman" w:cs="Times New Roman"/>
                <w:color w:val="000000"/>
                <w:kern w:val="0"/>
                <w:sz w:val="15"/>
                <w:szCs w:val="15"/>
                <w:lang w:bidi="ar"/>
              </w:rPr>
              <w:t>S_i</w:t>
            </w:r>
            <w:proofErr w:type="spellEnd"/>
            <w:r>
              <w:rPr>
                <w:rFonts w:ascii="Times New Roman" w:eastAsia="SimSun" w:hAnsi="Times New Roman" w:cs="Times New Roman"/>
                <w:color w:val="000000"/>
                <w:kern w:val="0"/>
                <w:sz w:val="15"/>
                <w:szCs w:val="15"/>
                <w:lang w:bidi="ar"/>
              </w:rPr>
              <w:t xml:space="preserve"> / </w:t>
            </w:r>
            <w:proofErr w:type="spellStart"/>
            <w:r>
              <w:rPr>
                <w:rFonts w:ascii="Times New Roman" w:eastAsia="SimSun" w:hAnsi="Times New Roman" w:cs="Times New Roman"/>
                <w:color w:val="000000"/>
                <w:kern w:val="0"/>
                <w:sz w:val="15"/>
                <w:szCs w:val="15"/>
                <w:lang w:bidi="ar"/>
              </w:rPr>
              <w:t>M_i</w:t>
            </w:r>
            <w:proofErr w:type="spellEnd"/>
            <w:r>
              <w:rPr>
                <w:rFonts w:ascii="Times New Roman" w:eastAsia="SimSun" w:hAnsi="Times New Roman" w:cs="Times New Roman"/>
                <w:color w:val="000000"/>
                <w:kern w:val="0"/>
                <w:sz w:val="15"/>
                <w:szCs w:val="15"/>
                <w:lang w:bidi="ar"/>
              </w:rPr>
              <w:t>); (</w:t>
            </w:r>
            <w:proofErr w:type="spellStart"/>
            <w:r>
              <w:rPr>
                <w:rFonts w:ascii="Times New Roman" w:eastAsia="SimSun" w:hAnsi="Times New Roman" w:cs="Times New Roman"/>
                <w:color w:val="000000"/>
                <w:kern w:val="0"/>
                <w:sz w:val="15"/>
                <w:szCs w:val="15"/>
                <w:lang w:bidi="ar"/>
              </w:rPr>
              <w:t>S_i</w:t>
            </w:r>
            <w:proofErr w:type="spellEnd"/>
            <w:r>
              <w:rPr>
                <w:rFonts w:ascii="Times New Roman" w:eastAsia="SimSun" w:hAnsi="Times New Roman" w:cs="Times New Roman"/>
                <w:color w:val="000000"/>
                <w:kern w:val="0"/>
                <w:sz w:val="15"/>
                <w:szCs w:val="15"/>
                <w:lang w:bidi="ar"/>
              </w:rPr>
              <w:t xml:space="preserve"> =) previous-year carryover </w:t>
            </w:r>
            <w:r>
              <w:rPr>
                <w:rFonts w:ascii="Times New Roman" w:eastAsia="SimSun" w:hAnsi="Times New Roman" w:cs="Times New Roman"/>
                <w:color w:val="000000"/>
                <w:kern w:val="0"/>
                <w:sz w:val="15"/>
                <w:szCs w:val="15"/>
                <w:lang w:bidi="ar"/>
              </w:rPr>
              <w:t>+ procurement at the beginning of the year − consumption from January to April; (</w:t>
            </w:r>
            <w:proofErr w:type="spellStart"/>
            <w:r>
              <w:rPr>
                <w:rFonts w:ascii="Times New Roman" w:eastAsia="SimSun" w:hAnsi="Times New Roman" w:cs="Times New Roman"/>
                <w:color w:val="000000"/>
                <w:kern w:val="0"/>
                <w:sz w:val="15"/>
                <w:szCs w:val="15"/>
                <w:lang w:bidi="ar"/>
              </w:rPr>
              <w:t>M_i</w:t>
            </w:r>
            <w:proofErr w:type="spellEnd"/>
            <w:r>
              <w:rPr>
                <w:rFonts w:ascii="Times New Roman" w:eastAsia="SimSun" w:hAnsi="Times New Roman" w:cs="Times New Roman"/>
                <w:color w:val="000000"/>
                <w:kern w:val="0"/>
                <w:sz w:val="15"/>
                <w:szCs w:val="15"/>
                <w:lang w:bidi="ar"/>
              </w:rPr>
              <w:t xml:space="preserve"> =) highest monthly consumption during May–October; final indicator (T = \min(T_{\text{chemotherapy drugs}}, T_{\text{protective equipment}}, T_{\text{</w:t>
            </w:r>
            <w:proofErr w:type="spellStart"/>
            <w:r>
              <w:rPr>
                <w:rFonts w:ascii="Times New Roman" w:eastAsia="SimSun" w:hAnsi="Times New Roman" w:cs="Times New Roman"/>
                <w:color w:val="000000"/>
                <w:kern w:val="0"/>
                <w:sz w:val="15"/>
                <w:szCs w:val="15"/>
                <w:lang w:bidi="ar"/>
              </w:rPr>
              <w:t>molluscicides</w:t>
            </w:r>
            <w:proofErr w:type="spellEnd"/>
            <w:r>
              <w:rPr>
                <w:rFonts w:ascii="Times New Roman" w:eastAsia="SimSun" w:hAnsi="Times New Roman" w:cs="Times New Roman"/>
                <w:color w:val="000000"/>
                <w:kern w:val="0"/>
                <w:sz w:val="15"/>
                <w:szCs w:val="15"/>
                <w:lang w:bidi="ar"/>
              </w:rPr>
              <w:t>}}))</w:t>
            </w:r>
          </w:p>
        </w:tc>
        <w:tc>
          <w:tcPr>
            <w:tcW w:w="0" w:type="auto"/>
            <w:vAlign w:val="center"/>
          </w:tcPr>
          <w:p w14:paraId="0EC8C7B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mon</w:t>
            </w:r>
            <w:r>
              <w:rPr>
                <w:rFonts w:ascii="Times New Roman" w:eastAsia="SimSun" w:hAnsi="Times New Roman" w:cs="Times New Roman"/>
                <w:color w:val="000000"/>
                <w:kern w:val="0"/>
                <w:sz w:val="15"/>
                <w:szCs w:val="15"/>
                <w:lang w:bidi="ar"/>
              </w:rPr>
              <w:t>ths</w:t>
            </w:r>
          </w:p>
        </w:tc>
        <w:tc>
          <w:tcPr>
            <w:tcW w:w="1474" w:type="dxa"/>
            <w:vAlign w:val="center"/>
          </w:tcPr>
          <w:p w14:paraId="6301EE6E"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19FCE2D0" w14:textId="77777777">
        <w:trPr>
          <w:jc w:val="center"/>
        </w:trPr>
        <w:tc>
          <w:tcPr>
            <w:tcW w:w="0" w:type="auto"/>
            <w:vAlign w:val="center"/>
          </w:tcPr>
          <w:p w14:paraId="535B155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C3.1</w:t>
            </w:r>
          </w:p>
        </w:tc>
        <w:tc>
          <w:tcPr>
            <w:tcW w:w="1576" w:type="dxa"/>
            <w:vAlign w:val="center"/>
          </w:tcPr>
          <w:p w14:paraId="0A49210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Sanitary toilet coverage</w:t>
            </w:r>
          </w:p>
        </w:tc>
        <w:tc>
          <w:tcPr>
            <w:tcW w:w="2625" w:type="dxa"/>
            <w:vAlign w:val="center"/>
          </w:tcPr>
          <w:p w14:paraId="535A028E"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Proportion of rural households with toilets meeting the standard for harmless sanitary toilets, including systems using biogas digesters, three-compartment septic tanks, or feces–urine separation for safe fe</w:t>
            </w:r>
            <w:r>
              <w:rPr>
                <w:rFonts w:ascii="Times New Roman" w:eastAsia="SimSun" w:hAnsi="Times New Roman" w:cs="Times New Roman"/>
                <w:color w:val="000000"/>
                <w:kern w:val="0"/>
                <w:sz w:val="15"/>
                <w:szCs w:val="15"/>
                <w:lang w:bidi="ar"/>
              </w:rPr>
              <w:t>cal treatment.</w:t>
            </w:r>
          </w:p>
        </w:tc>
        <w:tc>
          <w:tcPr>
            <w:tcW w:w="0" w:type="auto"/>
            <w:vAlign w:val="center"/>
          </w:tcPr>
          <w:p w14:paraId="7BA493F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households meeting the standard for harmless sanitary toilets / total number of rural households × 100%</w:t>
            </w:r>
          </w:p>
        </w:tc>
        <w:tc>
          <w:tcPr>
            <w:tcW w:w="0" w:type="auto"/>
            <w:vAlign w:val="center"/>
          </w:tcPr>
          <w:p w14:paraId="4FBC234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1BE3DF72"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2DFCB310" w14:textId="77777777">
        <w:trPr>
          <w:jc w:val="center"/>
        </w:trPr>
        <w:tc>
          <w:tcPr>
            <w:tcW w:w="0" w:type="auto"/>
            <w:vAlign w:val="center"/>
          </w:tcPr>
          <w:p w14:paraId="2550F72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C3.2</w:t>
            </w:r>
          </w:p>
        </w:tc>
        <w:tc>
          <w:tcPr>
            <w:tcW w:w="1576" w:type="dxa"/>
            <w:vAlign w:val="center"/>
          </w:tcPr>
          <w:p w14:paraId="362E2CA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Safe water supply coverage</w:t>
            </w:r>
          </w:p>
        </w:tc>
        <w:tc>
          <w:tcPr>
            <w:tcW w:w="2625" w:type="dxa"/>
            <w:vAlign w:val="center"/>
          </w:tcPr>
          <w:p w14:paraId="4142AE46" w14:textId="77777777" w:rsidR="00D91A63" w:rsidRDefault="004A41FB">
            <w:pPr>
              <w:pStyle w:val="NormalWeb"/>
              <w:widowControl/>
              <w:snapToGrid w:val="0"/>
              <w:jc w:val="center"/>
              <w:rPr>
                <w:rFonts w:ascii="Times New Roman" w:eastAsia="SimSun" w:hAnsi="Times New Roman" w:cs="Times New Roman"/>
                <w:sz w:val="15"/>
                <w:szCs w:val="15"/>
              </w:rPr>
            </w:pPr>
            <w:r>
              <w:rPr>
                <w:rFonts w:ascii="Times New Roman" w:eastAsia="SimSun" w:hAnsi="Times New Roman" w:cs="Times New Roman"/>
                <w:color w:val="000000"/>
                <w:sz w:val="15"/>
                <w:szCs w:val="15"/>
              </w:rPr>
              <w:t xml:space="preserve">Proportion of the population with access to drinking water meeting the </w:t>
            </w:r>
            <w:r>
              <w:rPr>
                <w:rFonts w:ascii="Times New Roman" w:eastAsia="SimSun" w:hAnsi="Times New Roman" w:cs="Times New Roman"/>
                <w:color w:val="000000"/>
                <w:sz w:val="15"/>
                <w:szCs w:val="15"/>
              </w:rPr>
              <w:t>national Standards for Drinking Water Quality (GB 5749-2022), reflecting the level of drinking water safety among residents.</w:t>
            </w:r>
          </w:p>
        </w:tc>
        <w:tc>
          <w:tcPr>
            <w:tcW w:w="0" w:type="auto"/>
            <w:vAlign w:val="center"/>
          </w:tcPr>
          <w:p w14:paraId="6B1B788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sz w:val="15"/>
                <w:szCs w:val="15"/>
              </w:rPr>
              <w:t>Population with access to drinking water meeting GB 5749-2022 / total population × 100%</w:t>
            </w:r>
          </w:p>
        </w:tc>
        <w:tc>
          <w:tcPr>
            <w:tcW w:w="0" w:type="auto"/>
            <w:vAlign w:val="center"/>
          </w:tcPr>
          <w:p w14:paraId="6D577C7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034F3BF1"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5261C1DB" w14:textId="77777777">
        <w:trPr>
          <w:jc w:val="center"/>
        </w:trPr>
        <w:tc>
          <w:tcPr>
            <w:tcW w:w="0" w:type="auto"/>
            <w:vAlign w:val="center"/>
          </w:tcPr>
          <w:p w14:paraId="622F85A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C4.1</w:t>
            </w:r>
          </w:p>
        </w:tc>
        <w:tc>
          <w:tcPr>
            <w:tcW w:w="1576" w:type="dxa"/>
            <w:vAlign w:val="center"/>
          </w:tcPr>
          <w:p w14:paraId="20904614"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Coverage of SRRP* in </w:t>
            </w:r>
            <w:r>
              <w:rPr>
                <w:rFonts w:ascii="Times New Roman" w:eastAsia="SimSun" w:hAnsi="Times New Roman" w:cs="Times New Roman"/>
                <w:color w:val="000000"/>
                <w:kern w:val="0"/>
                <w:sz w:val="15"/>
                <w:szCs w:val="15"/>
                <w:lang w:bidi="ar"/>
              </w:rPr>
              <w:t>Yangtze-connected waterways</w:t>
            </w:r>
          </w:p>
        </w:tc>
        <w:tc>
          <w:tcPr>
            <w:tcW w:w="2625" w:type="dxa"/>
            <w:vAlign w:val="center"/>
          </w:tcPr>
          <w:p w14:paraId="2FF6A453"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Proportion of key snail-infested river-connected channels within the county that have been treated with schistosomiasis control engineering measures, reflecting the extent and coverage of water conservancy-based schistosomiasis </w:t>
            </w:r>
            <w:r>
              <w:rPr>
                <w:rFonts w:ascii="Times New Roman" w:eastAsia="SimSun" w:hAnsi="Times New Roman" w:cs="Times New Roman"/>
                <w:color w:val="000000"/>
                <w:kern w:val="0"/>
                <w:sz w:val="15"/>
                <w:szCs w:val="15"/>
                <w:lang w:bidi="ar"/>
              </w:rPr>
              <w:t>control.</w:t>
            </w:r>
          </w:p>
        </w:tc>
        <w:tc>
          <w:tcPr>
            <w:tcW w:w="0" w:type="auto"/>
            <w:vAlign w:val="center"/>
          </w:tcPr>
          <w:p w14:paraId="2B05749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key snail-infested river-connected channels treated / total number of key snail-infested river-connected channels × 100%</w:t>
            </w:r>
          </w:p>
        </w:tc>
        <w:tc>
          <w:tcPr>
            <w:tcW w:w="0" w:type="auto"/>
            <w:vAlign w:val="center"/>
          </w:tcPr>
          <w:p w14:paraId="31CDE90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6F2BE3ED"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41006112" w14:textId="77777777">
        <w:trPr>
          <w:jc w:val="center"/>
        </w:trPr>
        <w:tc>
          <w:tcPr>
            <w:tcW w:w="0" w:type="auto"/>
            <w:vAlign w:val="center"/>
          </w:tcPr>
          <w:p w14:paraId="75859E1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C4.2</w:t>
            </w:r>
          </w:p>
        </w:tc>
        <w:tc>
          <w:tcPr>
            <w:tcW w:w="1576" w:type="dxa"/>
            <w:vAlign w:val="center"/>
          </w:tcPr>
          <w:p w14:paraId="224FEEF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Annual growth rate of protected wetland area</w:t>
            </w:r>
          </w:p>
        </w:tc>
        <w:tc>
          <w:tcPr>
            <w:tcW w:w="2625" w:type="dxa"/>
            <w:vAlign w:val="center"/>
          </w:tcPr>
          <w:p w14:paraId="3FFF806A"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Proportion of newly added protected wetland area </w:t>
            </w:r>
            <w:r>
              <w:rPr>
                <w:rFonts w:ascii="Times New Roman" w:eastAsia="SimSun" w:hAnsi="Times New Roman" w:cs="Times New Roman"/>
                <w:color w:val="000000"/>
                <w:kern w:val="0"/>
                <w:sz w:val="15"/>
                <w:szCs w:val="15"/>
                <w:lang w:bidi="ar"/>
              </w:rPr>
              <w:t>during the reporting year relative to the protected wetland area at the beginning of the year, reflecting the effectiveness of wetland protection and ecological restoration and, indirectly, the capacity to regulate snail habitats.</w:t>
            </w:r>
          </w:p>
        </w:tc>
        <w:tc>
          <w:tcPr>
            <w:tcW w:w="0" w:type="auto"/>
            <w:vAlign w:val="center"/>
          </w:tcPr>
          <w:p w14:paraId="4D6004A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Newly added protected wet</w:t>
            </w:r>
            <w:r>
              <w:rPr>
                <w:rFonts w:ascii="Times New Roman" w:eastAsia="SimSun" w:hAnsi="Times New Roman" w:cs="Times New Roman"/>
                <w:color w:val="000000"/>
                <w:kern w:val="0"/>
                <w:sz w:val="15"/>
                <w:szCs w:val="15"/>
                <w:lang w:bidi="ar"/>
              </w:rPr>
              <w:t>land area / protected wetland area at the beginning of the year × 100%</w:t>
            </w:r>
          </w:p>
        </w:tc>
        <w:tc>
          <w:tcPr>
            <w:tcW w:w="0" w:type="auto"/>
            <w:vAlign w:val="center"/>
          </w:tcPr>
          <w:p w14:paraId="1DF645A9"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2D0111B6" w14:textId="77777777" w:rsidR="00D91A63" w:rsidRDefault="004A41FB">
            <w:pPr>
              <w:snapToGrid w:val="0"/>
              <w:jc w:val="center"/>
              <w:rPr>
                <w:rFonts w:ascii="Times New Roman" w:eastAsia="SimSun" w:hAnsi="Times New Roman" w:cs="Times New Roman"/>
                <w:sz w:val="15"/>
                <w:szCs w:val="15"/>
              </w:rPr>
            </w:pPr>
            <w:r>
              <w:rPr>
                <w:rFonts w:ascii="Times New Roman" w:eastAsia="SimSun" w:hAnsi="Times New Roman" w:cs="Times New Roman"/>
                <w:sz w:val="15"/>
                <w:szCs w:val="15"/>
              </w:rPr>
              <w:t>Risk-positive</w:t>
            </w:r>
          </w:p>
        </w:tc>
      </w:tr>
      <w:tr w:rsidR="00D91A63" w14:paraId="33DE55DC" w14:textId="77777777">
        <w:trPr>
          <w:jc w:val="center"/>
        </w:trPr>
        <w:tc>
          <w:tcPr>
            <w:tcW w:w="0" w:type="auto"/>
            <w:vAlign w:val="center"/>
          </w:tcPr>
          <w:p w14:paraId="24263AE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C5.1</w:t>
            </w:r>
          </w:p>
        </w:tc>
        <w:tc>
          <w:tcPr>
            <w:tcW w:w="1576" w:type="dxa"/>
            <w:vAlign w:val="center"/>
          </w:tcPr>
          <w:p w14:paraId="69310A3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Mobile-population surveillance task completion rate</w:t>
            </w:r>
          </w:p>
        </w:tc>
        <w:tc>
          <w:tcPr>
            <w:tcW w:w="2625" w:type="dxa"/>
            <w:vAlign w:val="center"/>
          </w:tcPr>
          <w:p w14:paraId="409EBCD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Proportion of the planned annual surveillance target for mobile populations aged ≥6 years that was actually com</w:t>
            </w:r>
            <w:r>
              <w:rPr>
                <w:rFonts w:ascii="Times New Roman" w:eastAsia="SimSun" w:hAnsi="Times New Roman" w:cs="Times New Roman"/>
                <w:color w:val="000000"/>
                <w:kern w:val="0"/>
                <w:sz w:val="15"/>
                <w:szCs w:val="15"/>
                <w:lang w:bidi="ar"/>
              </w:rPr>
              <w:t>pleted by county-level agencies in schistosomiasis-endemic areas. Priority groups included migrants engaged in crop planting, aquaculture, fishing and water transport, flood control and emergency rescue, and construction work.</w:t>
            </w:r>
          </w:p>
        </w:tc>
        <w:tc>
          <w:tcPr>
            <w:tcW w:w="0" w:type="auto"/>
            <w:vAlign w:val="center"/>
          </w:tcPr>
          <w:p w14:paraId="59A354C0"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Number of mobile population i</w:t>
            </w:r>
            <w:r>
              <w:rPr>
                <w:rFonts w:ascii="Times New Roman" w:eastAsia="SimSun" w:hAnsi="Times New Roman" w:cs="Times New Roman"/>
                <w:color w:val="000000"/>
                <w:kern w:val="0"/>
                <w:sz w:val="15"/>
                <w:szCs w:val="15"/>
                <w:lang w:bidi="ar"/>
              </w:rPr>
              <w:t>ndividuals actually surveyed / number of individuals planned for annual surveillance × 100%</w:t>
            </w:r>
          </w:p>
        </w:tc>
        <w:tc>
          <w:tcPr>
            <w:tcW w:w="0" w:type="auto"/>
            <w:vAlign w:val="center"/>
          </w:tcPr>
          <w:p w14:paraId="25CE2FC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1C9AF3E7"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529A167C" w14:textId="77777777">
        <w:trPr>
          <w:jc w:val="center"/>
        </w:trPr>
        <w:tc>
          <w:tcPr>
            <w:tcW w:w="0" w:type="auto"/>
            <w:vAlign w:val="center"/>
          </w:tcPr>
          <w:p w14:paraId="5675BB61"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C5.2</w:t>
            </w:r>
          </w:p>
        </w:tc>
        <w:tc>
          <w:tcPr>
            <w:tcW w:w="1576" w:type="dxa"/>
            <w:vAlign w:val="center"/>
          </w:tcPr>
          <w:p w14:paraId="453C0E7F"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Health education coverage</w:t>
            </w:r>
          </w:p>
        </w:tc>
        <w:tc>
          <w:tcPr>
            <w:tcW w:w="2625" w:type="dxa"/>
            <w:vAlign w:val="center"/>
          </w:tcPr>
          <w:p w14:paraId="6AF00957"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Assessed by the awareness rate of schistosomiasis prevention and control knowledge among key populations.</w:t>
            </w:r>
          </w:p>
        </w:tc>
        <w:tc>
          <w:tcPr>
            <w:tcW w:w="0" w:type="auto"/>
            <w:vAlign w:val="center"/>
          </w:tcPr>
          <w:p w14:paraId="0B0D5236"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 xml:space="preserve">Number of </w:t>
            </w:r>
            <w:r>
              <w:rPr>
                <w:rFonts w:ascii="Times New Roman" w:eastAsia="SimSun" w:hAnsi="Times New Roman" w:cs="Times New Roman"/>
                <w:color w:val="000000"/>
                <w:kern w:val="0"/>
                <w:sz w:val="15"/>
                <w:szCs w:val="15"/>
                <w:lang w:bidi="ar"/>
              </w:rPr>
              <w:t>correctly answered questions / total number of questions to be answered × 100%</w:t>
            </w:r>
          </w:p>
        </w:tc>
        <w:tc>
          <w:tcPr>
            <w:tcW w:w="0" w:type="auto"/>
            <w:vAlign w:val="center"/>
          </w:tcPr>
          <w:p w14:paraId="41C45CFB"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t>
            </w:r>
          </w:p>
        </w:tc>
        <w:tc>
          <w:tcPr>
            <w:tcW w:w="1474" w:type="dxa"/>
            <w:vAlign w:val="center"/>
          </w:tcPr>
          <w:p w14:paraId="419CFF34"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r w:rsidR="00D91A63" w14:paraId="4282D55C" w14:textId="77777777">
        <w:trPr>
          <w:jc w:val="center"/>
        </w:trPr>
        <w:tc>
          <w:tcPr>
            <w:tcW w:w="816" w:type="dxa"/>
            <w:vAlign w:val="center"/>
          </w:tcPr>
          <w:p w14:paraId="16A6CE25"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C5.3</w:t>
            </w:r>
          </w:p>
        </w:tc>
        <w:tc>
          <w:tcPr>
            <w:tcW w:w="1576" w:type="dxa"/>
            <w:vAlign w:val="center"/>
          </w:tcPr>
          <w:p w14:paraId="151C74B8"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Presence of smart sentinel sites</w:t>
            </w:r>
          </w:p>
        </w:tc>
        <w:tc>
          <w:tcPr>
            <w:tcW w:w="2625" w:type="dxa"/>
            <w:vAlign w:val="center"/>
          </w:tcPr>
          <w:p w14:paraId="04DA3072"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Whether an information-based and intelligent schistosomiasis control sentinel post system had been established and put int</w:t>
            </w:r>
            <w:r>
              <w:rPr>
                <w:rFonts w:ascii="Times New Roman" w:eastAsia="SimSun" w:hAnsi="Times New Roman" w:cs="Times New Roman"/>
                <w:color w:val="000000"/>
                <w:kern w:val="0"/>
                <w:sz w:val="15"/>
                <w:szCs w:val="15"/>
                <w:lang w:bidi="ar"/>
              </w:rPr>
              <w:t>o use within the county for monitoring and early warning of cross-regional movement of people, livestock, and other potential infection sources.</w:t>
            </w:r>
          </w:p>
        </w:tc>
        <w:tc>
          <w:tcPr>
            <w:tcW w:w="2074" w:type="dxa"/>
            <w:vAlign w:val="center"/>
          </w:tcPr>
          <w:p w14:paraId="7A2A123D"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Whether an intelligent schistosomiasis control sentinel post had been established (yes = 1; no = 0)</w:t>
            </w:r>
          </w:p>
        </w:tc>
        <w:tc>
          <w:tcPr>
            <w:tcW w:w="1512" w:type="dxa"/>
            <w:vAlign w:val="center"/>
          </w:tcPr>
          <w:p w14:paraId="0CC4F4BC" w14:textId="77777777" w:rsidR="00D91A63" w:rsidRDefault="004A41FB">
            <w:pPr>
              <w:widowControl/>
              <w:snapToGrid w:val="0"/>
              <w:jc w:val="center"/>
              <w:textAlignment w:val="center"/>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Binary (0/1</w:t>
            </w:r>
            <w:r>
              <w:rPr>
                <w:rFonts w:ascii="Times New Roman" w:eastAsia="SimSun" w:hAnsi="Times New Roman" w:cs="Times New Roman"/>
                <w:color w:val="000000"/>
                <w:kern w:val="0"/>
                <w:sz w:val="15"/>
                <w:szCs w:val="15"/>
                <w:lang w:bidi="ar"/>
              </w:rPr>
              <w:t>)</w:t>
            </w:r>
          </w:p>
        </w:tc>
        <w:tc>
          <w:tcPr>
            <w:tcW w:w="1474" w:type="dxa"/>
            <w:vAlign w:val="center"/>
          </w:tcPr>
          <w:p w14:paraId="7DFF481C" w14:textId="77777777" w:rsidR="00D91A63" w:rsidRDefault="004A41FB">
            <w:pPr>
              <w:widowControl/>
              <w:snapToGrid w:val="0"/>
              <w:jc w:val="center"/>
              <w:textAlignment w:val="bottom"/>
              <w:rPr>
                <w:rFonts w:ascii="Times New Roman" w:eastAsia="SimSun" w:hAnsi="Times New Roman" w:cs="Times New Roman"/>
                <w:sz w:val="15"/>
                <w:szCs w:val="15"/>
              </w:rPr>
            </w:pPr>
            <w:r>
              <w:rPr>
                <w:rFonts w:ascii="Times New Roman" w:eastAsia="SimSun" w:hAnsi="Times New Roman" w:cs="Times New Roman"/>
                <w:color w:val="000000"/>
                <w:kern w:val="0"/>
                <w:sz w:val="15"/>
                <w:szCs w:val="15"/>
                <w:lang w:bidi="ar"/>
              </w:rPr>
              <w:t>Risk-negative</w:t>
            </w:r>
          </w:p>
        </w:tc>
      </w:tr>
    </w:tbl>
    <w:p w14:paraId="37FA67C4" w14:textId="77777777" w:rsidR="00D91A63" w:rsidRDefault="004A41FB">
      <w:pPr>
        <w:jc w:val="left"/>
        <w:rPr>
          <w:rFonts w:ascii="Times New Roman" w:hAnsi="Times New Roman" w:cs="Times New Roman"/>
          <w:sz w:val="15"/>
          <w:szCs w:val="15"/>
        </w:rPr>
      </w:pPr>
      <w:r>
        <w:rPr>
          <w:rStyle w:val="Strong"/>
          <w:rFonts w:ascii="Times New Roman" w:eastAsia="SimSun" w:hAnsi="Times New Roman" w:cs="Times New Roman"/>
          <w:sz w:val="15"/>
          <w:szCs w:val="15"/>
        </w:rPr>
        <w:t>Notes:</w:t>
      </w:r>
      <w:r>
        <w:rPr>
          <w:rFonts w:ascii="Times New Roman" w:eastAsia="SimSun" w:hAnsi="Times New Roman" w:cs="Times New Roman"/>
          <w:sz w:val="15"/>
          <w:szCs w:val="15"/>
        </w:rPr>
        <w:t xml:space="preserve"> For </w:t>
      </w:r>
      <w:r>
        <w:rPr>
          <w:rStyle w:val="Strong"/>
          <w:rFonts w:ascii="Times New Roman" w:eastAsia="SimSun" w:hAnsi="Times New Roman" w:cs="Times New Roman"/>
          <w:sz w:val="15"/>
          <w:szCs w:val="15"/>
        </w:rPr>
        <w:t>C5.1</w:t>
      </w:r>
      <w:r>
        <w:rPr>
          <w:rFonts w:ascii="Times New Roman" w:eastAsia="SimSun" w:hAnsi="Times New Roman" w:cs="Times New Roman"/>
          <w:sz w:val="15"/>
          <w:szCs w:val="15"/>
        </w:rPr>
        <w:t xml:space="preserve">, completion of the surveillance task was coded as 1, whereas not conducted or not completed was coded as 0. For </w:t>
      </w:r>
      <w:r>
        <w:rPr>
          <w:rStyle w:val="Strong"/>
          <w:rFonts w:ascii="Times New Roman" w:eastAsia="SimSun" w:hAnsi="Times New Roman" w:cs="Times New Roman"/>
          <w:sz w:val="15"/>
          <w:szCs w:val="15"/>
        </w:rPr>
        <w:t>C5.2</w:t>
      </w:r>
      <w:r>
        <w:rPr>
          <w:rFonts w:ascii="Times New Roman" w:eastAsia="SimSun" w:hAnsi="Times New Roman" w:cs="Times New Roman"/>
          <w:sz w:val="15"/>
          <w:szCs w:val="15"/>
        </w:rPr>
        <w:t>, scores were assigned as follows: &gt;</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 xml:space="preserve">0.98 = 3, 0.95–0.98 = 2, 0.90–0.95 = 1, and not conducted = 0. </w:t>
      </w:r>
      <w:r>
        <w:rPr>
          <w:rStyle w:val="Strong"/>
          <w:rFonts w:ascii="Times New Roman" w:eastAsia="SimSun" w:hAnsi="Times New Roman" w:cs="Times New Roman"/>
          <w:sz w:val="15"/>
          <w:szCs w:val="15"/>
        </w:rPr>
        <w:t>CNY</w:t>
      </w:r>
      <w:r>
        <w:rPr>
          <w:rFonts w:ascii="Times New Roman" w:eastAsia="SimSun" w:hAnsi="Times New Roman" w:cs="Times New Roman"/>
          <w:sz w:val="15"/>
          <w:szCs w:val="15"/>
        </w:rPr>
        <w:t xml:space="preserve"> refers to Chinese yuan. </w:t>
      </w:r>
      <w:r>
        <w:rPr>
          <w:rStyle w:val="Strong"/>
          <w:rFonts w:ascii="Times New Roman" w:eastAsia="SimSun" w:hAnsi="Times New Roman" w:cs="Times New Roman"/>
          <w:sz w:val="15"/>
          <w:szCs w:val="15"/>
        </w:rPr>
        <w:t>SRRP</w:t>
      </w:r>
      <w:r>
        <w:rPr>
          <w:rFonts w:ascii="Times New Roman" w:eastAsia="SimSun" w:hAnsi="Times New Roman" w:cs="Times New Roman"/>
          <w:sz w:val="15"/>
          <w:szCs w:val="15"/>
        </w:rPr>
        <w:t xml:space="preserve"> refers to </w:t>
      </w:r>
      <w:r>
        <w:rPr>
          <w:rFonts w:ascii="Times New Roman" w:hAnsi="Times New Roman" w:cs="Times New Roman"/>
          <w:sz w:val="15"/>
          <w:szCs w:val="15"/>
        </w:rPr>
        <w:t>snail-related river regulation projects</w:t>
      </w:r>
      <w:r>
        <w:rPr>
          <w:rFonts w:ascii="Times New Roman" w:eastAsia="SimSun" w:hAnsi="Times New Roman" w:cs="Times New Roman"/>
          <w:sz w:val="15"/>
          <w:szCs w:val="15"/>
        </w:rPr>
        <w:t>.</w:t>
      </w:r>
      <w:bookmarkEnd w:id="0"/>
    </w:p>
    <w:sectPr w:rsidR="00D91A63" w:rsidSect="004A41F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embedSystemFonts/>
  <w:proofState w:spelling="clean"/>
  <w:revisionView w:markup="0"/>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887FC4"/>
    <w:rsid w:val="004A41FB"/>
    <w:rsid w:val="00D91A63"/>
    <w:rsid w:val="0BEC6E1F"/>
    <w:rsid w:val="21887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FA062C-DB16-4CE1-91BE-076AE6C2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Autospacing="1" w:afterAutospacing="1"/>
      <w:jc w:val="left"/>
    </w:pPr>
    <w:rPr>
      <w:rFonts w:cs="Times New Roman"/>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 w:type="character" w:customStyle="1" w:styleId="font21">
    <w:name w:val="font21"/>
    <w:basedOn w:val="DefaultParagraphFont"/>
    <w:rPr>
      <w:rFonts w:ascii="SimSun" w:eastAsia="SimSun" w:hAnsi="SimSun" w:cs="SimSun" w:hint="eastAsia"/>
      <w:i/>
      <w:iCs/>
      <w:color w:val="000000"/>
      <w:sz w:val="22"/>
      <w:szCs w:val="22"/>
      <w:u w:val="none"/>
    </w:rPr>
  </w:style>
  <w:style w:type="character" w:customStyle="1" w:styleId="font01">
    <w:name w:val="font01"/>
    <w:basedOn w:val="DefaultParagraphFont"/>
    <w:rPr>
      <w:rFonts w:ascii="SimSun" w:eastAsia="SimSun" w:hAnsi="SimSun" w:cs="SimSun"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2216</Words>
  <Characters>12636</Characters>
  <Application>Microsoft Office Word</Application>
  <DocSecurity>0</DocSecurity>
  <Lines>105</Lines>
  <Paragraphs>29</Paragraphs>
  <ScaleCrop>false</ScaleCrop>
  <Company/>
  <LinksUpToDate>false</LinksUpToDate>
  <CharactersWithSpaces>14823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伍都</dc:creator>
  <cp:lastModifiedBy>Sahaya M</cp:lastModifiedBy>
  <cp:revision>2</cp:revision>
  <dcterms:created xsi:type="dcterms:W3CDTF">2026-03-22T09:43:00Z</dcterms:created>
  <dcterms:modified xsi:type="dcterms:W3CDTF">2026-04-27T17:41:00Z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0A56876C2B214802BD2E924E070564D0_11</vt:lpwstr>
  </property>
  <property fmtid="{D5CDD505-2E9C-101B-9397-08002B2CF9AE}" pid="4" name="KSOTemplateDocerSaveRecord">
    <vt:lpwstr>eyJoZGlkIjoiZDRmMzA5NWU2ZjBlYWQyMzYzZDMyZjJiNGEzMGRhZWMiLCJ1c2VySWQiOiI0MjYxOTk4MjEifQ==</vt:lpwstr>
  </property>
</Properties>
</file>