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6422B">
      <w:pPr>
        <w:spacing w:before="50" w:line="190" w:lineRule="auto"/>
        <w:rPr>
          <w:rFonts w:hint="default" w:ascii="Times New Roman" w:hAnsi="Times New Roman" w:eastAsia="宋体" w:cs="Times New Roman"/>
          <w:b/>
          <w:bCs/>
          <w:sz w:val="20"/>
          <w:szCs w:val="20"/>
          <w:lang w:eastAsia="zh-CN"/>
        </w:rPr>
      </w:pPr>
      <w:r>
        <w:rPr>
          <w:rFonts w:hint="default" w:ascii="Times New Roman" w:hAnsi="Times New Roman" w:eastAsia="Times New Roman" w:cs="Times New Roman"/>
          <w:b/>
          <w:bCs/>
          <w:spacing w:val="-1"/>
          <w:sz w:val="20"/>
          <w:szCs w:val="20"/>
        </w:rPr>
        <w:t>Additional file</w:t>
      </w:r>
      <w:bookmarkStart w:id="5" w:name="_GoBack"/>
      <w:bookmarkEnd w:id="5"/>
      <w:r>
        <w:rPr>
          <w:rFonts w:hint="default" w:ascii="Times New Roman" w:hAnsi="Times New Roman" w:eastAsia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-1"/>
          <w:sz w:val="20"/>
          <w:szCs w:val="20"/>
          <w:lang w:val="en-US" w:eastAsia="zh-CN"/>
        </w:rPr>
        <w:t>5. T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</w:rPr>
        <w:t>he optimal transmission temperature reported in each study</w:t>
      </w:r>
    </w:p>
    <w:p w14:paraId="35D16D8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napToGrid w:val="0"/>
          <w:color w:val="000000"/>
          <w:kern w:val="0"/>
          <w:sz w:val="19"/>
          <w:szCs w:val="19"/>
          <w:lang w:val="en-US" w:eastAsia="zh-CN" w:bidi="ar"/>
        </w:rPr>
      </w:pPr>
    </w:p>
    <w:p w14:paraId="6C121F6B">
      <w:pPr>
        <w:keepNext w:val="0"/>
        <w:keepLines w:val="0"/>
        <w:widowControl/>
        <w:suppressLineNumbers w:val="0"/>
        <w:jc w:val="center"/>
      </w:pPr>
      <w:r>
        <w:rPr>
          <w:rFonts w:hint="default" w:ascii="Times New Roman" w:hAnsi="Times New Roman" w:eastAsia="宋体" w:cs="Times New Roman"/>
          <w:b/>
          <w:bCs/>
          <w:snapToGrid w:val="0"/>
          <w:color w:val="000000"/>
          <w:kern w:val="0"/>
          <w:sz w:val="19"/>
          <w:szCs w:val="19"/>
          <w:lang w:val="en-US" w:eastAsia="zh-CN" w:bidi="ar"/>
        </w:rPr>
        <w:t>Table 1 Optimal transmission temperatures proposed by various authors</w:t>
      </w:r>
    </w:p>
    <w:tbl>
      <w:tblPr>
        <w:tblStyle w:val="5"/>
        <w:tblpPr w:leftFromText="180" w:rightFromText="180" w:vertAnchor="text" w:horzAnchor="page" w:tblpX="1266" w:tblpY="27"/>
        <w:tblOverlap w:val="never"/>
        <w:tblW w:w="9308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0"/>
        <w:gridCol w:w="4898"/>
      </w:tblGrid>
      <w:tr w14:paraId="6ACB17C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410" w:type="dxa"/>
            <w:tcBorders>
              <w:top w:val="single" w:color="000000" w:sz="4" w:space="0"/>
              <w:bottom w:val="single" w:color="000000" w:sz="6" w:space="0"/>
            </w:tcBorders>
            <w:vAlign w:val="top"/>
          </w:tcPr>
          <w:p w14:paraId="5C27CA3F">
            <w:pPr>
              <w:pStyle w:val="4"/>
              <w:spacing w:before="51" w:line="190" w:lineRule="auto"/>
              <w:ind w:left="1897"/>
              <w:jc w:val="both"/>
            </w:pPr>
            <w:r>
              <w:rPr>
                <w:b/>
                <w:bCs/>
                <w:spacing w:val="-8"/>
              </w:rPr>
              <w:t>Study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b/>
                <w:bCs/>
                <w:spacing w:val="-8"/>
              </w:rPr>
              <w:t>authors</w:t>
            </w:r>
          </w:p>
        </w:tc>
        <w:tc>
          <w:tcPr>
            <w:tcW w:w="4898" w:type="dxa"/>
            <w:tcBorders>
              <w:top w:val="single" w:color="000000" w:sz="4" w:space="0"/>
              <w:bottom w:val="single" w:color="000000" w:sz="6" w:space="0"/>
            </w:tcBorders>
            <w:vAlign w:val="top"/>
          </w:tcPr>
          <w:p w14:paraId="00D415A8">
            <w:pPr>
              <w:pStyle w:val="4"/>
              <w:spacing w:before="51" w:line="190" w:lineRule="auto"/>
              <w:ind w:left="1487"/>
              <w:jc w:val="both"/>
            </w:pPr>
            <w:r>
              <w:rPr>
                <w:b/>
                <w:bCs/>
                <w:spacing w:val="-6"/>
              </w:rPr>
              <w:t>Optimal transmission</w:t>
            </w:r>
            <w:r>
              <w:rPr>
                <w:b/>
                <w:bCs/>
                <w:spacing w:val="-7"/>
              </w:rPr>
              <w:t xml:space="preserve"> temperature</w:t>
            </w:r>
          </w:p>
        </w:tc>
      </w:tr>
      <w:tr w14:paraId="6854FFC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10" w:type="dxa"/>
            <w:tcBorders>
              <w:top w:val="single" w:color="000000" w:sz="6" w:space="0"/>
              <w:bottom w:val="nil"/>
            </w:tcBorders>
            <w:vAlign w:val="top"/>
          </w:tcPr>
          <w:p w14:paraId="346371ED">
            <w:pPr>
              <w:pStyle w:val="4"/>
              <w:spacing w:before="45" w:line="190" w:lineRule="auto"/>
              <w:ind w:left="1836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spacing w:val="-2"/>
              </w:rPr>
              <w:t>Velu, RM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et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al.</w:t>
            </w:r>
            <w:r>
              <w:rPr>
                <w:rFonts w:hint="eastAsia" w:eastAsia="宋体"/>
                <w:spacing w:val="-2"/>
                <w:vertAlign w:val="superscript"/>
                <w:lang w:val="en-US" w:eastAsia="zh-CN"/>
              </w:rPr>
              <w:t>1</w:t>
            </w:r>
          </w:p>
        </w:tc>
        <w:tc>
          <w:tcPr>
            <w:tcW w:w="4898" w:type="dxa"/>
            <w:tcBorders>
              <w:top w:val="single" w:color="000000" w:sz="6" w:space="0"/>
              <w:bottom w:val="nil"/>
            </w:tcBorders>
            <w:vAlign w:val="top"/>
          </w:tcPr>
          <w:p w14:paraId="7ED9CFE6">
            <w:pPr>
              <w:pStyle w:val="4"/>
              <w:spacing w:before="48" w:line="186" w:lineRule="auto"/>
              <w:ind w:left="2175"/>
              <w:jc w:val="both"/>
            </w:pPr>
            <w:r>
              <w:rPr>
                <w:spacing w:val="-3"/>
              </w:rPr>
              <w:t>25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-3"/>
              </w:rPr>
              <w:t>°C-27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°C</w:t>
            </w:r>
          </w:p>
        </w:tc>
      </w:tr>
      <w:tr w14:paraId="462C9DA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4410" w:type="dxa"/>
            <w:tcBorders>
              <w:top w:val="nil"/>
              <w:bottom w:val="nil"/>
            </w:tcBorders>
            <w:vAlign w:val="top"/>
          </w:tcPr>
          <w:p w14:paraId="788073FF">
            <w:pPr>
              <w:pStyle w:val="4"/>
              <w:spacing w:before="48" w:line="190" w:lineRule="auto"/>
              <w:ind w:left="1726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spacing w:val="-1"/>
              </w:rPr>
              <w:t>Doeurk, Bros et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al.</w:t>
            </w:r>
            <w:r>
              <w:rPr>
                <w:rFonts w:hint="eastAsia" w:eastAsia="宋体"/>
                <w:spacing w:val="-1"/>
                <w:vertAlign w:val="superscript"/>
                <w:lang w:val="en-US" w:eastAsia="zh-CN"/>
              </w:rPr>
              <w:t>2</w:t>
            </w:r>
          </w:p>
        </w:tc>
        <w:tc>
          <w:tcPr>
            <w:tcW w:w="4898" w:type="dxa"/>
            <w:tcBorders>
              <w:top w:val="nil"/>
              <w:bottom w:val="nil"/>
            </w:tcBorders>
            <w:vAlign w:val="top"/>
          </w:tcPr>
          <w:p w14:paraId="581AD1A9">
            <w:pPr>
              <w:pStyle w:val="4"/>
              <w:spacing w:before="51" w:line="186" w:lineRule="auto"/>
              <w:ind w:left="2175"/>
              <w:jc w:val="both"/>
            </w:pPr>
            <w:r>
              <w:rPr>
                <w:spacing w:val="-3"/>
              </w:rPr>
              <w:t>25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-3"/>
              </w:rPr>
              <w:t>°C-30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°C</w:t>
            </w:r>
          </w:p>
        </w:tc>
      </w:tr>
      <w:tr w14:paraId="56A061D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410" w:type="dxa"/>
            <w:tcBorders>
              <w:top w:val="nil"/>
              <w:bottom w:val="nil"/>
            </w:tcBorders>
            <w:vAlign w:val="top"/>
          </w:tcPr>
          <w:p w14:paraId="693D6167">
            <w:pPr>
              <w:pStyle w:val="4"/>
              <w:spacing w:before="49" w:line="190" w:lineRule="auto"/>
              <w:ind w:firstLine="1716" w:firstLineChars="1100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spacing w:val="-2"/>
              </w:rPr>
              <w:t>Caldwell JM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et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al.</w:t>
            </w:r>
            <w:r>
              <w:rPr>
                <w:rFonts w:hint="eastAsia" w:eastAsia="宋体"/>
                <w:spacing w:val="-2"/>
                <w:vertAlign w:val="superscript"/>
                <w:lang w:val="en-US" w:eastAsia="zh-CN"/>
              </w:rPr>
              <w:t>3</w:t>
            </w:r>
          </w:p>
        </w:tc>
        <w:tc>
          <w:tcPr>
            <w:tcW w:w="4898" w:type="dxa"/>
            <w:tcBorders>
              <w:top w:val="nil"/>
              <w:bottom w:val="nil"/>
            </w:tcBorders>
            <w:vAlign w:val="top"/>
          </w:tcPr>
          <w:p w14:paraId="4F328D96">
            <w:pPr>
              <w:pStyle w:val="4"/>
              <w:spacing w:before="52" w:line="186" w:lineRule="auto"/>
              <w:ind w:left="2175"/>
              <w:jc w:val="both"/>
            </w:pPr>
            <w:r>
              <w:rPr>
                <w:spacing w:val="-3"/>
              </w:rPr>
              <w:t>20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-3"/>
              </w:rPr>
              <w:t>°C-30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°C</w:t>
            </w:r>
          </w:p>
        </w:tc>
      </w:tr>
      <w:tr w14:paraId="566C76C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410" w:type="dxa"/>
            <w:tcBorders>
              <w:top w:val="nil"/>
              <w:bottom w:val="nil"/>
            </w:tcBorders>
            <w:vAlign w:val="top"/>
          </w:tcPr>
          <w:p w14:paraId="79573193">
            <w:pPr>
              <w:pStyle w:val="4"/>
              <w:spacing w:before="50" w:line="190" w:lineRule="auto"/>
              <w:ind w:left="1848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spacing w:val="-2"/>
              </w:rPr>
              <w:t>Tewari, P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2"/>
              </w:rPr>
              <w:t>et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al.</w:t>
            </w:r>
            <w:r>
              <w:rPr>
                <w:rFonts w:hint="eastAsia" w:eastAsia="宋体"/>
                <w:spacing w:val="-2"/>
                <w:vertAlign w:val="superscript"/>
                <w:lang w:val="en-US" w:eastAsia="zh-CN"/>
              </w:rPr>
              <w:t>4</w:t>
            </w:r>
          </w:p>
        </w:tc>
        <w:tc>
          <w:tcPr>
            <w:tcW w:w="4898" w:type="dxa"/>
            <w:tcBorders>
              <w:top w:val="nil"/>
              <w:bottom w:val="nil"/>
            </w:tcBorders>
            <w:vAlign w:val="top"/>
          </w:tcPr>
          <w:p w14:paraId="4DA95725">
            <w:pPr>
              <w:pStyle w:val="4"/>
              <w:spacing w:before="53" w:line="186" w:lineRule="auto"/>
              <w:ind w:left="2030"/>
              <w:jc w:val="both"/>
            </w:pPr>
            <w:r>
              <w:rPr>
                <w:spacing w:val="-2"/>
              </w:rPr>
              <w:t>17.64°C-34.50°C</w:t>
            </w:r>
          </w:p>
        </w:tc>
      </w:tr>
      <w:tr w14:paraId="1FCD0CC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4410" w:type="dxa"/>
            <w:tcBorders>
              <w:top w:val="nil"/>
              <w:bottom w:val="nil"/>
            </w:tcBorders>
            <w:vAlign w:val="top"/>
          </w:tcPr>
          <w:p w14:paraId="452DEBC2">
            <w:pPr>
              <w:pStyle w:val="4"/>
              <w:spacing w:before="51" w:line="190" w:lineRule="auto"/>
              <w:ind w:left="1762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spacing w:val="-2"/>
              </w:rPr>
              <w:t>Kakarla,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-2"/>
              </w:rPr>
              <w:t>SG et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al.</w:t>
            </w:r>
            <w:r>
              <w:rPr>
                <w:rFonts w:hint="eastAsia" w:eastAsia="宋体"/>
                <w:spacing w:val="-2"/>
                <w:vertAlign w:val="superscript"/>
                <w:lang w:val="en-US" w:eastAsia="zh-CN"/>
              </w:rPr>
              <w:t>5</w:t>
            </w:r>
          </w:p>
        </w:tc>
        <w:tc>
          <w:tcPr>
            <w:tcW w:w="4898" w:type="dxa"/>
            <w:tcBorders>
              <w:top w:val="nil"/>
              <w:bottom w:val="nil"/>
            </w:tcBorders>
            <w:vAlign w:val="top"/>
          </w:tcPr>
          <w:p w14:paraId="02E6A347">
            <w:pPr>
              <w:pStyle w:val="4"/>
              <w:spacing w:before="54" w:line="186" w:lineRule="auto"/>
              <w:ind w:left="2175"/>
              <w:jc w:val="both"/>
            </w:pPr>
            <w:r>
              <w:rPr>
                <w:spacing w:val="-3"/>
              </w:rPr>
              <w:t>20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-3"/>
              </w:rPr>
              <w:t>°C-34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°C</w:t>
            </w:r>
          </w:p>
        </w:tc>
      </w:tr>
      <w:tr w14:paraId="0746B1D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410" w:type="dxa"/>
            <w:tcBorders>
              <w:top w:val="nil"/>
              <w:bottom w:val="nil"/>
            </w:tcBorders>
            <w:vAlign w:val="top"/>
          </w:tcPr>
          <w:p w14:paraId="624AD203">
            <w:pPr>
              <w:pStyle w:val="4"/>
              <w:spacing w:before="52" w:line="190" w:lineRule="auto"/>
              <w:ind w:left="1769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spacing w:val="-1"/>
              </w:rPr>
              <w:t>Steindorf, V et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al.</w:t>
            </w:r>
            <w:r>
              <w:rPr>
                <w:rFonts w:hint="eastAsia" w:eastAsia="宋体"/>
                <w:spacing w:val="-1"/>
                <w:vertAlign w:val="superscript"/>
                <w:lang w:val="en-US" w:eastAsia="zh-CN"/>
              </w:rPr>
              <w:t>6</w:t>
            </w:r>
          </w:p>
        </w:tc>
        <w:tc>
          <w:tcPr>
            <w:tcW w:w="4898" w:type="dxa"/>
            <w:tcBorders>
              <w:top w:val="nil"/>
              <w:bottom w:val="nil"/>
            </w:tcBorders>
            <w:vAlign w:val="top"/>
          </w:tcPr>
          <w:p w14:paraId="1FEECA0B">
            <w:pPr>
              <w:pStyle w:val="4"/>
              <w:spacing w:before="55" w:line="186" w:lineRule="auto"/>
              <w:ind w:left="2195"/>
              <w:jc w:val="both"/>
            </w:pPr>
            <w:r>
              <w:rPr>
                <w:spacing w:val="-2"/>
              </w:rPr>
              <w:t>22°C-27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°C</w:t>
            </w:r>
          </w:p>
        </w:tc>
      </w:tr>
      <w:tr w14:paraId="410D4C3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4410" w:type="dxa"/>
            <w:tcBorders>
              <w:top w:val="nil"/>
              <w:bottom w:val="nil"/>
            </w:tcBorders>
            <w:vAlign w:val="top"/>
          </w:tcPr>
          <w:p w14:paraId="3BE0103D">
            <w:pPr>
              <w:pStyle w:val="4"/>
              <w:spacing w:before="53" w:line="190" w:lineRule="auto"/>
              <w:ind w:left="1828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spacing w:val="-2"/>
              </w:rPr>
              <w:t>Huber, JH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et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al.</w:t>
            </w:r>
            <w:r>
              <w:rPr>
                <w:rFonts w:hint="eastAsia" w:eastAsia="宋体"/>
                <w:spacing w:val="-2"/>
                <w:vertAlign w:val="superscript"/>
                <w:lang w:val="en-US" w:eastAsia="zh-CN"/>
              </w:rPr>
              <w:t>7</w:t>
            </w:r>
          </w:p>
        </w:tc>
        <w:tc>
          <w:tcPr>
            <w:tcW w:w="4898" w:type="dxa"/>
            <w:tcBorders>
              <w:top w:val="nil"/>
              <w:bottom w:val="nil"/>
            </w:tcBorders>
            <w:vAlign w:val="top"/>
          </w:tcPr>
          <w:p w14:paraId="414A4B67">
            <w:pPr>
              <w:pStyle w:val="4"/>
              <w:spacing w:before="56" w:line="186" w:lineRule="auto"/>
              <w:ind w:left="2215"/>
              <w:jc w:val="both"/>
            </w:pPr>
            <w:r>
              <w:rPr>
                <w:spacing w:val="-1"/>
              </w:rPr>
              <w:t>25°C-35°C</w:t>
            </w:r>
          </w:p>
        </w:tc>
      </w:tr>
      <w:tr w14:paraId="6482E07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410" w:type="dxa"/>
            <w:tcBorders>
              <w:top w:val="nil"/>
              <w:bottom w:val="nil"/>
            </w:tcBorders>
            <w:vAlign w:val="top"/>
          </w:tcPr>
          <w:p w14:paraId="06372E41">
            <w:pPr>
              <w:pStyle w:val="4"/>
              <w:spacing w:before="53" w:line="190" w:lineRule="auto"/>
              <w:ind w:left="1809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spacing w:val="-1"/>
              </w:rPr>
              <w:t>Carbajo, A et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al.</w:t>
            </w:r>
            <w:r>
              <w:rPr>
                <w:rFonts w:hint="eastAsia" w:eastAsia="宋体"/>
                <w:spacing w:val="-1"/>
                <w:vertAlign w:val="superscript"/>
                <w:lang w:val="en-US" w:eastAsia="zh-CN"/>
              </w:rPr>
              <w:t>8</w:t>
            </w:r>
          </w:p>
        </w:tc>
        <w:tc>
          <w:tcPr>
            <w:tcW w:w="4898" w:type="dxa"/>
            <w:tcBorders>
              <w:top w:val="nil"/>
              <w:bottom w:val="nil"/>
            </w:tcBorders>
            <w:vAlign w:val="top"/>
          </w:tcPr>
          <w:p w14:paraId="2436523C">
            <w:pPr>
              <w:pStyle w:val="4"/>
              <w:spacing w:before="56" w:line="186" w:lineRule="auto"/>
              <w:ind w:left="2215"/>
              <w:jc w:val="both"/>
            </w:pPr>
            <w:r>
              <w:rPr>
                <w:spacing w:val="-1"/>
              </w:rPr>
              <w:t>26°C-28°C</w:t>
            </w:r>
          </w:p>
        </w:tc>
      </w:tr>
      <w:tr w14:paraId="2F29224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4410" w:type="dxa"/>
            <w:tcBorders>
              <w:top w:val="nil"/>
              <w:bottom w:val="nil"/>
            </w:tcBorders>
            <w:vAlign w:val="top"/>
          </w:tcPr>
          <w:p w14:paraId="4F928823">
            <w:pPr>
              <w:pStyle w:val="4"/>
              <w:spacing w:before="55" w:line="190" w:lineRule="auto"/>
              <w:ind w:left="1806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spacing w:val="-1"/>
              </w:rPr>
              <w:t>Freitas, LP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et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al.</w:t>
            </w:r>
            <w:r>
              <w:rPr>
                <w:rFonts w:hint="eastAsia" w:eastAsia="宋体"/>
                <w:spacing w:val="-1"/>
                <w:vertAlign w:val="superscript"/>
                <w:lang w:val="en-US" w:eastAsia="zh-CN"/>
              </w:rPr>
              <w:t>9</w:t>
            </w:r>
          </w:p>
        </w:tc>
        <w:tc>
          <w:tcPr>
            <w:tcW w:w="4898" w:type="dxa"/>
            <w:tcBorders>
              <w:top w:val="nil"/>
              <w:bottom w:val="nil"/>
            </w:tcBorders>
            <w:vAlign w:val="top"/>
          </w:tcPr>
          <w:p w14:paraId="4E0C72F4">
            <w:pPr>
              <w:pStyle w:val="4"/>
              <w:spacing w:before="58" w:line="186" w:lineRule="auto"/>
              <w:ind w:left="2215"/>
              <w:jc w:val="both"/>
            </w:pPr>
            <w:r>
              <w:rPr>
                <w:spacing w:val="-1"/>
              </w:rPr>
              <w:t>26°C-29°C</w:t>
            </w:r>
          </w:p>
        </w:tc>
      </w:tr>
      <w:tr w14:paraId="57FF587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410" w:type="dxa"/>
            <w:tcBorders>
              <w:top w:val="nil"/>
              <w:bottom w:val="single" w:color="000000" w:sz="4" w:space="0"/>
            </w:tcBorders>
            <w:vAlign w:val="top"/>
          </w:tcPr>
          <w:p w14:paraId="4CB07150">
            <w:pPr>
              <w:pStyle w:val="4"/>
              <w:spacing w:before="55" w:line="190" w:lineRule="auto"/>
              <w:ind w:left="1917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spacing w:val="-2"/>
              </w:rPr>
              <w:t>Dias, R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-2"/>
              </w:rPr>
              <w:t>et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al.</w:t>
            </w:r>
            <w:r>
              <w:rPr>
                <w:rFonts w:hint="eastAsia" w:eastAsia="宋体"/>
                <w:spacing w:val="-2"/>
                <w:vertAlign w:val="superscript"/>
                <w:lang w:val="en-US" w:eastAsia="zh-CN"/>
              </w:rPr>
              <w:t>10</w:t>
            </w:r>
          </w:p>
        </w:tc>
        <w:tc>
          <w:tcPr>
            <w:tcW w:w="4898" w:type="dxa"/>
            <w:tcBorders>
              <w:top w:val="nil"/>
              <w:bottom w:val="single" w:color="000000" w:sz="4" w:space="0"/>
            </w:tcBorders>
            <w:vAlign w:val="top"/>
          </w:tcPr>
          <w:p w14:paraId="18DD3F10">
            <w:pPr>
              <w:pStyle w:val="4"/>
              <w:spacing w:before="58" w:line="186" w:lineRule="auto"/>
              <w:ind w:left="2215"/>
              <w:jc w:val="both"/>
            </w:pPr>
            <w:r>
              <w:rPr>
                <w:spacing w:val="-1"/>
              </w:rPr>
              <w:t>25°C-35°C</w:t>
            </w:r>
          </w:p>
        </w:tc>
      </w:tr>
    </w:tbl>
    <w:p w14:paraId="55A44773">
      <w:pPr>
        <w:jc w:val="left"/>
      </w:pPr>
    </w:p>
    <w:p w14:paraId="6E0DA8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hanging="400" w:hangingChars="200"/>
        <w:jc w:val="both"/>
        <w:textAlignment w:val="baseline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References</w:t>
      </w:r>
    </w:p>
    <w:p w14:paraId="7463EB9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leftChars="0" w:hanging="400" w:hangingChars="200"/>
        <w:jc w:val="both"/>
        <w:textAlignment w:val="baseline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1.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Velu RM, Kwenda G, Bosomprah S, et al. Ecological Niche Modeling of Aedes and Culex Mosquitoes: A Risk Map for Chikungunya and West Nile Viruses in Zambia. Viruses. 2023;15(9):1900. doi:10.3390/v15091900</w:t>
      </w:r>
    </w:p>
    <w:p w14:paraId="1DC7ABE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leftChars="0" w:hanging="400" w:hangingChars="200"/>
        <w:jc w:val="both"/>
        <w:textAlignment w:val="baseline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2.</w:t>
      </w:r>
      <w:bookmarkStart w:id="0" w:name="_Ref17281"/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 xml:space="preserve">Doeurk B, Leng S, Long Z, Maquart PO, Boyer S. Impact of temperature on survival, development and longevity of 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Aedes aegypti</w:t>
      </w:r>
      <w:r>
        <w:rPr>
          <w:rFonts w:hint="default" w:ascii="Times New Roman" w:hAnsi="Times New Roman" w:cs="Times New Roman"/>
          <w:sz w:val="20"/>
          <w:szCs w:val="20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Aedes albopictus</w:t>
      </w:r>
      <w:r>
        <w:rPr>
          <w:rFonts w:hint="default" w:ascii="Times New Roman" w:hAnsi="Times New Roman" w:cs="Times New Roman"/>
          <w:sz w:val="20"/>
          <w:szCs w:val="20"/>
        </w:rPr>
        <w:t xml:space="preserve"> (Diptera: Culicidae) in Phnom Penh, Cambodia. Parasit Vectors. 2025;18(1):362. doi:10.1186/s13071-025-06892-y</w:t>
      </w:r>
      <w:bookmarkEnd w:id="0"/>
    </w:p>
    <w:p w14:paraId="7D29A34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hanging="400" w:hangingChars="200"/>
        <w:jc w:val="both"/>
        <w:textAlignment w:val="baseline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3.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Caldwell JM, LaBeaud AD, Lambin EF, et al. Climate predicts geographic and temporal variation in mosquito-borne disease dynamics on two continents. Nat Commun. 2021;12(1):1233. doi:10.1038/s41467-021-21496-7</w:t>
      </w:r>
    </w:p>
    <w:p w14:paraId="41DC79D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leftChars="0" w:hanging="400" w:hangingChars="200"/>
        <w:jc w:val="both"/>
        <w:textAlignment w:val="baseline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4.</w:t>
      </w:r>
      <w:bookmarkStart w:id="1" w:name="_Ref17192"/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Tewari P, Ma P, Gan G, et al. Non-linear associations between meteorological factors, ambient air pollutants and major mosquito-borne diseases in Thailand. PLoS Negl Trop Dis. 2023;17(12):e0011763. doi:10.1371/journal.pntd.0011763</w:t>
      </w:r>
      <w:bookmarkEnd w:id="1"/>
    </w:p>
    <w:p w14:paraId="0FF95CD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leftChars="0" w:hanging="400" w:hangingChars="200"/>
        <w:jc w:val="both"/>
        <w:textAlignment w:val="baseline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5.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Kakarla SG, Mopuri R, Mutheneni SR, et al. Temperature dependent transmission potential model for chikungunya in India. Sci Total Environ. 2019;647:66-74. doi:10.1016/j.scitotenv.2018.07.461.</w:t>
      </w:r>
    </w:p>
    <w:p w14:paraId="57E30A6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leftChars="0" w:hanging="400" w:hangingChars="200"/>
        <w:jc w:val="both"/>
        <w:textAlignment w:val="baseline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6.</w:t>
      </w:r>
      <w:bookmarkStart w:id="2" w:name="_Ref18110"/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Steindorf V, KB HM, Stollenwerk N,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et al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. Forecasting invasive mosquito abundance in the Basque Country, Spain using machine learning techniques. Parasit Vectors. 2025;18(1):109. doi:10.1186/s13071-025-06733-y </w:t>
      </w:r>
      <w:bookmarkEnd w:id="2"/>
    </w:p>
    <w:p w14:paraId="1B3FD80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leftChars="0" w:hanging="400" w:hangingChars="200"/>
        <w:jc w:val="both"/>
        <w:textAlignment w:val="baseline"/>
        <w:rPr>
          <w:rFonts w:hint="default" w:ascii="Times New Roman" w:hAnsi="Times New Roman" w:eastAsia="宋体" w:cs="Times New Roman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val="en-US" w:eastAsia="zh-CN"/>
        </w:rPr>
        <w:t>7.</w:t>
      </w:r>
      <w:r>
        <w:rPr>
          <w:rFonts w:hint="eastAsia" w:ascii="Times New Roman" w:hAnsi="Times New Roman" w:eastAsia="宋体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val="en-US" w:eastAsia="zh-CN"/>
        </w:rPr>
        <w:t>Huber JH, Childs ML, Caldwell JM, Mordecai EA. Seasonal temperature variation influences climate suitability for dengue, chikungunya, and Zika transmission. PLoS Negl Trop Dis. 2018;12(5):e0006451. doi:10.1371/journal.pntd.0006451</w:t>
      </w:r>
    </w:p>
    <w:p w14:paraId="27B126D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leftChars="0" w:hanging="400" w:hangingChars="200"/>
        <w:jc w:val="both"/>
        <w:textAlignment w:val="baseline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val="en-US" w:eastAsia="zh-CN"/>
        </w:rPr>
        <w:t>8.</w:t>
      </w:r>
      <w:bookmarkStart w:id="3" w:name="_Ref17072"/>
      <w:r>
        <w:rPr>
          <w:rFonts w:hint="eastAsia" w:ascii="Times New Roman" w:hAnsi="Times New Roman" w:eastAsia="宋体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Carbajo AE, Vezzani D. Waiting for chikungunya fever in Argentina: spatio-temporal risk maps. Mem Inst Oswaldo Cruz. 2015;110(2):259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262. doi:10.1590/0074-02760150005</w:t>
      </w:r>
      <w:bookmarkEnd w:id="3"/>
    </w:p>
    <w:p w14:paraId="19591CF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leftChars="0" w:hanging="400" w:hangingChars="200"/>
        <w:jc w:val="both"/>
        <w:textAlignment w:val="baseline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9.</w:t>
      </w:r>
      <w:bookmarkStart w:id="4" w:name="_Ref17075"/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Freitas LP, Schmidt AM, Cossich W, Cruz OG, Carvalho MS. Spatio-temporal modelling of the first chikungunya epidemic in an intra-urban setting: the role of socioeconomic status, environment and temperature. PLoS Negl Trop Dis. 2021;15(6):e0009537. doi:10.1371/journal.pntd.0009537</w:t>
      </w:r>
      <w:bookmarkEnd w:id="4"/>
    </w:p>
    <w:p w14:paraId="1B107A7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0" w:leftChars="0" w:hanging="400" w:hangingChars="200"/>
        <w:jc w:val="both"/>
        <w:textAlignment w:val="baseline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10.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val="en-US" w:eastAsia="zh-CN"/>
        </w:rPr>
        <w:t>Dias R, Leite MPC, Corrêa-do-Nascimento GS, et al. Impact of Thermal Variation on Egg Hatching and the Life Cycle of Aedes (Protomacleaya) terrens (Diptera: Culicidae) in a Laboratory Environment. Life (Basel). 2025;15(7):1038. doi:10.3390/life15071038</w:t>
      </w:r>
    </w:p>
    <w:p w14:paraId="10F53E3C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宋体" w:cs="Times New Roman"/>
          <w:lang w:val="en-US" w:eastAsia="zh-CN"/>
        </w:rPr>
      </w:pPr>
    </w:p>
    <w:p w14:paraId="223B145F"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lang w:val="en-US" w:eastAsia="zh-CN"/>
        </w:rPr>
      </w:pPr>
    </w:p>
    <w:p w14:paraId="2CCD69E8">
      <w:pPr>
        <w:numPr>
          <w:ilvl w:val="0"/>
          <w:numId w:val="0"/>
        </w:numPr>
        <w:jc w:val="left"/>
        <w:rPr>
          <w:rFonts w:hint="default" w:eastAsia="宋体"/>
          <w:lang w:val="en-US" w:eastAsia="zh-CN"/>
        </w:rPr>
      </w:pPr>
    </w:p>
    <w:p w14:paraId="796B1A44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B2196"/>
    <w:rsid w:val="013D2189"/>
    <w:rsid w:val="0C7B2196"/>
    <w:rsid w:val="1FEB75F2"/>
    <w:rsid w:val="347555D7"/>
    <w:rsid w:val="7C2A7A42"/>
    <w:rsid w:val="7CCB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</Words>
  <Characters>2412</Characters>
  <Lines>0</Lines>
  <Paragraphs>0</Paragraphs>
  <TotalTime>11</TotalTime>
  <ScaleCrop>false</ScaleCrop>
  <LinksUpToDate>false</LinksUpToDate>
  <CharactersWithSpaces>2750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2026-03-24T13:41:00Z</dcterms:created>
  <dc:creator>小王</dc:creator>
  <cp:lastModifiedBy>小王</cp:lastModifiedBy>
  <dcterms:modified xsi:type="dcterms:W3CDTF">2026-06-05T00:55:30Z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DEF5D19D03E2424999BC020FD6657CB0_13</vt:lpwstr>
  </property>
  <property fmtid="{D5CDD505-2E9C-101B-9397-08002B2CF9AE}" pid="4" name="KSOTemplateDocerSaveRecord">
    <vt:lpwstr>eyJoZGlkIjoiNjNlY2I4ZWEwNzQ5NTliOGMwMTQwZWJmYzQ5NjI0MDAiLCJ1c2VySWQiOiIxMTM4ODUzODUyIn0=</vt:lpwstr>
  </property>
</Properties>
</file>