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480" w:rsidRPr="00D17689" w:rsidRDefault="00FC30D6" w:rsidP="00D17689">
      <w:pPr>
        <w:spacing w:line="480" w:lineRule="auto"/>
        <w:jc w:val="center"/>
        <w:rPr>
          <w:rFonts w:asciiTheme="majorBidi" w:hAnsiTheme="majorBidi" w:cstheme="majorBidi"/>
          <w:b/>
          <w:bCs/>
          <w:sz w:val="22"/>
          <w:szCs w:val="22"/>
        </w:rPr>
      </w:pPr>
      <w:r w:rsidRPr="00D17689">
        <w:rPr>
          <w:rFonts w:asciiTheme="majorBidi" w:hAnsiTheme="majorBidi" w:cstheme="majorBidi"/>
          <w:b/>
          <w:bCs/>
          <w:sz w:val="22"/>
          <w:szCs w:val="22"/>
        </w:rPr>
        <w:t>Additional file</w:t>
      </w:r>
      <w:r w:rsidR="00103480" w:rsidRPr="00D17689">
        <w:rPr>
          <w:rFonts w:asciiTheme="majorBidi" w:hAnsiTheme="majorBidi" w:cstheme="majorBidi"/>
          <w:b/>
          <w:bCs/>
          <w:sz w:val="22"/>
          <w:szCs w:val="22"/>
        </w:rPr>
        <w:t xml:space="preserve"> 2: Geomagnetic tag measurement artifacts</w:t>
      </w:r>
    </w:p>
    <w:p w:rsidR="00103480" w:rsidRDefault="00103480" w:rsidP="00D17689">
      <w:pPr>
        <w:spacing w:line="480" w:lineRule="auto"/>
        <w:rPr>
          <w:rFonts w:asciiTheme="majorBidi" w:hAnsiTheme="majorBidi" w:cstheme="majorBidi"/>
          <w:sz w:val="22"/>
          <w:szCs w:val="22"/>
        </w:rPr>
      </w:pPr>
      <w:r w:rsidRPr="00C12927">
        <w:rPr>
          <w:rFonts w:asciiTheme="majorBidi" w:hAnsiTheme="majorBidi" w:cstheme="majorBidi"/>
          <w:sz w:val="22"/>
          <w:szCs w:val="22"/>
        </w:rPr>
        <w:t>Magnetic field measurements recorded by geomagnetic archival tags do not always represent the actual value of the Earth’s magnetic field at a given location and time because they can be influenced by tag conditions such as orientation or temperature. These issues related to sensor and tag technology can produce artifacts in archived data sets that mask actual changes in the magnetic field or produce misleading patterns that seem like horizontal displacement when they are really not. In this appendix, we discuss two common tag measurement artifacts in the context of the temporal patterns observed for the five archival tags that were deployed on the long-term stationary mooring (</w:t>
      </w:r>
      <w:r w:rsidR="00AB715C">
        <w:rPr>
          <w:rFonts w:asciiTheme="majorBidi" w:hAnsiTheme="majorBidi" w:cstheme="majorBidi"/>
          <w:sz w:val="22"/>
          <w:szCs w:val="22"/>
        </w:rPr>
        <w:t xml:space="preserve">main manuscript </w:t>
      </w:r>
      <w:r w:rsidRPr="00C12927">
        <w:rPr>
          <w:rFonts w:asciiTheme="majorBidi" w:hAnsiTheme="majorBidi" w:cstheme="majorBidi"/>
          <w:sz w:val="22"/>
          <w:szCs w:val="22"/>
        </w:rPr>
        <w:t xml:space="preserve">Figure 7). As </w:t>
      </w:r>
      <w:bookmarkStart w:id="0" w:name="_GoBack"/>
      <w:r w:rsidRPr="00C12927">
        <w:rPr>
          <w:rFonts w:asciiTheme="majorBidi" w:hAnsiTheme="majorBidi" w:cstheme="majorBidi"/>
          <w:sz w:val="22"/>
          <w:szCs w:val="22"/>
        </w:rPr>
        <w:t xml:space="preserve">stated in the caveats section of the </w:t>
      </w:r>
      <w:r>
        <w:rPr>
          <w:rFonts w:asciiTheme="majorBidi" w:hAnsiTheme="majorBidi" w:cstheme="majorBidi"/>
          <w:sz w:val="22"/>
          <w:szCs w:val="22"/>
        </w:rPr>
        <w:t>chapter</w:t>
      </w:r>
      <w:r w:rsidRPr="00C12927">
        <w:rPr>
          <w:rFonts w:asciiTheme="majorBidi" w:hAnsiTheme="majorBidi" w:cstheme="majorBidi"/>
          <w:sz w:val="22"/>
          <w:szCs w:val="22"/>
        </w:rPr>
        <w:t xml:space="preserve">, the tag data presented here were obtained from the earliest </w:t>
      </w:r>
      <w:bookmarkEnd w:id="0"/>
      <w:r w:rsidRPr="00C12927">
        <w:rPr>
          <w:rFonts w:asciiTheme="majorBidi" w:hAnsiTheme="majorBidi" w:cstheme="majorBidi"/>
          <w:sz w:val="22"/>
          <w:szCs w:val="22"/>
        </w:rPr>
        <w:t>versions of geomagnetic tags (2012 – 2013) supplied from Desert Star (Marina, California, USA) and Star Oddi (</w:t>
      </w:r>
      <w:proofErr w:type="spellStart"/>
      <w:r w:rsidRPr="00C12927">
        <w:rPr>
          <w:rFonts w:asciiTheme="majorBidi" w:hAnsiTheme="majorBidi" w:cstheme="majorBidi"/>
          <w:sz w:val="22"/>
          <w:szCs w:val="22"/>
        </w:rPr>
        <w:t>Garōabӕr</w:t>
      </w:r>
      <w:proofErr w:type="spellEnd"/>
      <w:r w:rsidRPr="00C12927">
        <w:rPr>
          <w:rFonts w:asciiTheme="majorBidi" w:hAnsiTheme="majorBidi" w:cstheme="majorBidi"/>
          <w:sz w:val="22"/>
          <w:szCs w:val="22"/>
        </w:rPr>
        <w:t xml:space="preserve">, Iceland). Improvements have likely been made since then, but researchers should ask the manufacturers how they have addressed the following tag issues and confirm that they have been addressed prior to deployment on fish. </w:t>
      </w:r>
    </w:p>
    <w:p w:rsidR="002B4112" w:rsidRPr="00C12927" w:rsidRDefault="002B4112" w:rsidP="00103480">
      <w:pPr>
        <w:spacing w:line="480" w:lineRule="auto"/>
        <w:ind w:firstLine="720"/>
        <w:rPr>
          <w:rFonts w:asciiTheme="majorBidi" w:hAnsiTheme="majorBidi" w:cstheme="majorBidi"/>
          <w:sz w:val="22"/>
          <w:szCs w:val="22"/>
        </w:rPr>
      </w:pPr>
    </w:p>
    <w:p w:rsidR="00103480" w:rsidRPr="002B4112" w:rsidRDefault="00103480" w:rsidP="00103480">
      <w:pPr>
        <w:spacing w:line="480" w:lineRule="auto"/>
        <w:rPr>
          <w:rFonts w:asciiTheme="majorBidi" w:hAnsiTheme="majorBidi" w:cstheme="majorBidi"/>
          <w:sz w:val="22"/>
          <w:szCs w:val="22"/>
          <w:u w:val="single"/>
        </w:rPr>
      </w:pPr>
      <w:r w:rsidRPr="002B4112">
        <w:rPr>
          <w:rFonts w:asciiTheme="majorBidi" w:hAnsiTheme="majorBidi" w:cstheme="majorBidi"/>
          <w:sz w:val="22"/>
          <w:szCs w:val="22"/>
          <w:u w:val="single"/>
        </w:rPr>
        <w:t>Orientation</w:t>
      </w:r>
    </w:p>
    <w:p w:rsidR="00103480" w:rsidRPr="00C12927" w:rsidRDefault="00103480" w:rsidP="00103480">
      <w:pPr>
        <w:spacing w:line="480" w:lineRule="auto"/>
        <w:ind w:firstLine="720"/>
        <w:rPr>
          <w:rFonts w:asciiTheme="majorBidi" w:hAnsiTheme="majorBidi" w:cstheme="majorBidi"/>
          <w:sz w:val="22"/>
          <w:szCs w:val="22"/>
        </w:rPr>
      </w:pPr>
      <w:r w:rsidRPr="00C12927">
        <w:rPr>
          <w:rFonts w:asciiTheme="majorBidi" w:hAnsiTheme="majorBidi" w:cstheme="majorBidi"/>
          <w:sz w:val="22"/>
          <w:szCs w:val="22"/>
        </w:rPr>
        <w:t xml:space="preserve">Magnetic sensors onboard archival tags are subject to an array of effects that can influence the values that they measure when held in different orientations </w:t>
      </w:r>
      <w:r w:rsidR="008F66EC" w:rsidRPr="00C12927">
        <w:rPr>
          <w:rFonts w:asciiTheme="majorBidi" w:hAnsiTheme="majorBidi" w:cstheme="majorBidi"/>
          <w:sz w:val="22"/>
          <w:szCs w:val="22"/>
        </w:rPr>
        <w:fldChar w:fldCharType="begin"/>
      </w:r>
      <w:r w:rsidRPr="00C12927">
        <w:rPr>
          <w:rFonts w:asciiTheme="majorBidi" w:hAnsiTheme="majorBidi" w:cstheme="majorBidi"/>
          <w:sz w:val="22"/>
          <w:szCs w:val="22"/>
        </w:rPr>
        <w:instrText xml:space="preserve"> ADDIN EN.CITE &lt;EndNote&gt;&lt;Cite&gt;&lt;Author&gt;Yang&lt;/Author&gt;&lt;Year&gt;2017&lt;/Year&gt;&lt;RecNum&gt;1699&lt;/RecNum&gt;&lt;DisplayText&gt;(Yang et al., 2017)&lt;/DisplayText&gt;&lt;record&gt;&lt;rec-number&gt;1699&lt;/rec-number&gt;&lt;foreign-keys&gt;&lt;key app="EN" db-id="aewf5p9rh2eaxpewfaupz0drdwwx2dv09de2" timestamp="1543094032"&gt;1699&lt;/key&gt;&lt;/foreign-keys&gt;&lt;ref-type name="Journal Article"&gt;17&lt;/ref-type&gt;&lt;contributors&gt;&lt;authors&gt;&lt;author&gt;Yang, Deng&lt;/author&gt;&lt;author&gt;You, Zheng&lt;/author&gt;&lt;author&gt;Li, Bin&lt;/author&gt;&lt;author&gt;Duan, Wenrui&lt;/author&gt;&lt;author&gt;Yuan, Binwen&lt;/author&gt;&lt;/authors&gt;&lt;/contributors&gt;&lt;titles&gt;&lt;title&gt;Complete tri-axis magnetometer calibration with a gyro auxiliary&lt;/title&gt;&lt;secondary-title&gt;Sensors (Basel, Switzerland)&lt;/secondary-title&gt;&lt;/titles&gt;&lt;periodical&gt;&lt;full-title&gt;Sensors (Basel, Switzerland)&lt;/full-title&gt;&lt;/periodical&gt;&lt;pages&gt;1223&lt;/pages&gt;&lt;volume&gt;17&lt;/volume&gt;&lt;number&gt;6&lt;/number&gt;&lt;dates&gt;&lt;year&gt;2017&lt;/year&gt;&lt;/dates&gt;&lt;publisher&gt;MDPI&lt;/publisher&gt;&lt;isbn&gt;1424-8220&lt;/isbn&gt;&lt;accession-num&gt;28587115&lt;/accession-num&gt;&lt;urls&gt;&lt;related-urls&gt;&lt;url&gt;https://www.ncbi.nlm.nih.gov/pubmed/28587115&lt;/url&gt;&lt;url&gt;https://www.ncbi.nlm.nih.gov/pmc/PMC5492709/&lt;/url&gt;&lt;/related-urls&gt;&lt;/urls&gt;&lt;electronic-resource-num&gt;10.3390/s17061223&lt;/electronic-resource-num&gt;&lt;remote-database-name&gt;PubMed&lt;/remote-database-name&gt;&lt;/record&gt;&lt;/Cite&gt;&lt;/EndNote&gt;</w:instrText>
      </w:r>
      <w:r w:rsidR="008F66EC" w:rsidRPr="00C12927">
        <w:rPr>
          <w:rFonts w:asciiTheme="majorBidi" w:hAnsiTheme="majorBidi" w:cstheme="majorBidi"/>
          <w:sz w:val="22"/>
          <w:szCs w:val="22"/>
        </w:rPr>
        <w:fldChar w:fldCharType="separate"/>
      </w:r>
      <w:r w:rsidRPr="00C12927">
        <w:rPr>
          <w:rFonts w:asciiTheme="majorBidi" w:hAnsiTheme="majorBidi" w:cstheme="majorBidi"/>
          <w:noProof/>
          <w:sz w:val="22"/>
          <w:szCs w:val="22"/>
        </w:rPr>
        <w:t>(Yang et al., 2017)</w:t>
      </w:r>
      <w:r w:rsidR="008F66EC" w:rsidRPr="00C12927">
        <w:rPr>
          <w:rFonts w:asciiTheme="majorBidi" w:hAnsiTheme="majorBidi" w:cstheme="majorBidi"/>
          <w:sz w:val="22"/>
          <w:szCs w:val="22"/>
        </w:rPr>
        <w:fldChar w:fldCharType="end"/>
      </w:r>
      <w:r w:rsidRPr="00C12927">
        <w:rPr>
          <w:rFonts w:asciiTheme="majorBidi" w:hAnsiTheme="majorBidi" w:cstheme="majorBidi"/>
          <w:sz w:val="22"/>
          <w:szCs w:val="22"/>
        </w:rPr>
        <w:t>. These effects include hard and soft iron effects caused by other nearby tag components such as batteries. Hard iron effects result from constant distortion of the magnetic field in the vicinity of the sensor from materials such as iron that have their own magnetic field. Soft iron effects are caused by materials that are susceptible to magnetization when exposed to a magnetic field; therefore, the distortion caused by these materials increases when aligned with external fields (such as the Earth’s magnetic field). In addition, rotational errors can be caused by non-orthogonal sensors and mis-alignment of sensors with the instrument.</w:t>
      </w:r>
    </w:p>
    <w:p w:rsidR="00103480" w:rsidRPr="00C12927" w:rsidRDefault="00103480" w:rsidP="00103480">
      <w:pPr>
        <w:spacing w:line="480" w:lineRule="auto"/>
        <w:ind w:firstLine="720"/>
        <w:rPr>
          <w:rFonts w:asciiTheme="majorBidi" w:hAnsiTheme="majorBidi" w:cstheme="majorBidi"/>
          <w:sz w:val="22"/>
          <w:szCs w:val="22"/>
        </w:rPr>
      </w:pPr>
      <w:r w:rsidRPr="00C12927">
        <w:rPr>
          <w:rFonts w:asciiTheme="majorBidi" w:hAnsiTheme="majorBidi" w:cstheme="majorBidi"/>
          <w:sz w:val="22"/>
          <w:szCs w:val="22"/>
        </w:rPr>
        <w:t xml:space="preserve">Such errors can be demonstrated simply by placing the tag in different orientations and examining the total magnetic field readings measured by the tags at each orientation (Figure </w:t>
      </w:r>
      <w:r>
        <w:rPr>
          <w:rFonts w:asciiTheme="majorBidi" w:hAnsiTheme="majorBidi" w:cstheme="majorBidi"/>
          <w:sz w:val="22"/>
          <w:szCs w:val="22"/>
        </w:rPr>
        <w:t>2</w:t>
      </w:r>
      <w:r w:rsidRPr="00C12927">
        <w:rPr>
          <w:rFonts w:asciiTheme="majorBidi" w:hAnsiTheme="majorBidi" w:cstheme="majorBidi"/>
          <w:sz w:val="22"/>
          <w:szCs w:val="22"/>
        </w:rPr>
        <w:t xml:space="preserve">-1). In the example shown, the tag has a standard deviation of 43 </w:t>
      </w:r>
      <w:proofErr w:type="spellStart"/>
      <w:proofErr w:type="gramStart"/>
      <w:r w:rsidRPr="00C12927">
        <w:rPr>
          <w:rFonts w:asciiTheme="majorBidi" w:hAnsiTheme="majorBidi" w:cstheme="majorBidi"/>
          <w:sz w:val="22"/>
          <w:szCs w:val="22"/>
        </w:rPr>
        <w:t>nT</w:t>
      </w:r>
      <w:proofErr w:type="spellEnd"/>
      <w:proofErr w:type="gramEnd"/>
      <w:r w:rsidRPr="00C12927">
        <w:rPr>
          <w:rFonts w:asciiTheme="majorBidi" w:hAnsiTheme="majorBidi" w:cstheme="majorBidi"/>
          <w:sz w:val="22"/>
          <w:szCs w:val="22"/>
        </w:rPr>
        <w:t xml:space="preserve"> around the mean measured value (range </w:t>
      </w:r>
      <w:r w:rsidRPr="00C12927">
        <w:rPr>
          <w:rFonts w:asciiTheme="majorBidi" w:hAnsiTheme="majorBidi" w:cstheme="majorBidi"/>
          <w:sz w:val="22"/>
          <w:szCs w:val="22"/>
        </w:rPr>
        <w:sym w:font="Symbol" w:char="F0B1"/>
      </w:r>
      <w:r w:rsidRPr="00C12927">
        <w:rPr>
          <w:rFonts w:asciiTheme="majorBidi" w:hAnsiTheme="majorBidi" w:cstheme="majorBidi"/>
          <w:sz w:val="22"/>
          <w:szCs w:val="22"/>
        </w:rPr>
        <w:t xml:space="preserve"> 100 </w:t>
      </w:r>
      <w:proofErr w:type="spellStart"/>
      <w:r w:rsidRPr="00C12927">
        <w:rPr>
          <w:rFonts w:asciiTheme="majorBidi" w:hAnsiTheme="majorBidi" w:cstheme="majorBidi"/>
          <w:sz w:val="22"/>
          <w:szCs w:val="22"/>
        </w:rPr>
        <w:t>nT</w:t>
      </w:r>
      <w:proofErr w:type="spellEnd"/>
      <w:r w:rsidRPr="00C12927">
        <w:rPr>
          <w:rFonts w:asciiTheme="majorBidi" w:hAnsiTheme="majorBidi" w:cstheme="majorBidi"/>
          <w:sz w:val="22"/>
          <w:szCs w:val="22"/>
        </w:rPr>
        <w:t xml:space="preserve">) when </w:t>
      </w:r>
      <w:r w:rsidRPr="00C12927">
        <w:rPr>
          <w:rFonts w:asciiTheme="majorBidi" w:hAnsiTheme="majorBidi" w:cstheme="majorBidi"/>
          <w:sz w:val="22"/>
          <w:szCs w:val="22"/>
        </w:rPr>
        <w:lastRenderedPageBreak/>
        <w:t xml:space="preserve">orientation, temperature, and light intensity are constant. However, the measured value of the magnetic field varies from the true value at the tag location by more than 2000 </w:t>
      </w:r>
      <w:proofErr w:type="spellStart"/>
      <w:proofErr w:type="gramStart"/>
      <w:r w:rsidRPr="00C12927">
        <w:rPr>
          <w:rFonts w:asciiTheme="majorBidi" w:hAnsiTheme="majorBidi" w:cstheme="majorBidi"/>
          <w:sz w:val="22"/>
          <w:szCs w:val="22"/>
        </w:rPr>
        <w:t>nT</w:t>
      </w:r>
      <w:proofErr w:type="spellEnd"/>
      <w:proofErr w:type="gramEnd"/>
      <w:r w:rsidRPr="00C12927">
        <w:rPr>
          <w:rFonts w:asciiTheme="majorBidi" w:hAnsiTheme="majorBidi" w:cstheme="majorBidi"/>
          <w:sz w:val="22"/>
          <w:szCs w:val="22"/>
        </w:rPr>
        <w:t xml:space="preserve"> depending solely upon the tag orientation.</w:t>
      </w:r>
    </w:p>
    <w:p w:rsidR="00103480" w:rsidRPr="00C12927" w:rsidRDefault="00103480" w:rsidP="00103480">
      <w:pPr>
        <w:spacing w:line="480" w:lineRule="auto"/>
        <w:ind w:firstLine="720"/>
        <w:rPr>
          <w:rFonts w:asciiTheme="majorBidi" w:hAnsiTheme="majorBidi" w:cstheme="majorBidi"/>
          <w:sz w:val="22"/>
          <w:szCs w:val="22"/>
        </w:rPr>
      </w:pPr>
      <w:r w:rsidRPr="00C12927">
        <w:rPr>
          <w:rFonts w:asciiTheme="majorBidi" w:hAnsiTheme="majorBidi" w:cstheme="majorBidi"/>
          <w:sz w:val="22"/>
          <w:szCs w:val="22"/>
        </w:rPr>
        <w:t xml:space="preserve">The measurement issues related to change in tag orientation produces patterns in the total magnetic field measured by stationary tags attached to mooring lines over long time periods. We first observed these patterns from a Desert Star </w:t>
      </w:r>
      <w:proofErr w:type="spellStart"/>
      <w:r w:rsidRPr="00C12927">
        <w:rPr>
          <w:rFonts w:asciiTheme="majorBidi" w:hAnsiTheme="majorBidi" w:cstheme="majorBidi"/>
          <w:sz w:val="22"/>
          <w:szCs w:val="22"/>
        </w:rPr>
        <w:t>SeaTagMOD</w:t>
      </w:r>
      <w:proofErr w:type="spellEnd"/>
      <w:r w:rsidRPr="00C12927">
        <w:rPr>
          <w:rFonts w:asciiTheme="majorBidi" w:hAnsiTheme="majorBidi" w:cstheme="majorBidi"/>
          <w:sz w:val="22"/>
          <w:szCs w:val="22"/>
        </w:rPr>
        <w:t xml:space="preserve"> attached to a long-term stationary mooring near Kodiak, Alaska, USA, previous to conducting the current study (Figure </w:t>
      </w:r>
      <w:r>
        <w:rPr>
          <w:rFonts w:asciiTheme="majorBidi" w:hAnsiTheme="majorBidi" w:cstheme="majorBidi"/>
          <w:sz w:val="22"/>
          <w:szCs w:val="22"/>
        </w:rPr>
        <w:t>2</w:t>
      </w:r>
      <w:r w:rsidRPr="00C12927">
        <w:rPr>
          <w:rFonts w:asciiTheme="majorBidi" w:hAnsiTheme="majorBidi" w:cstheme="majorBidi"/>
          <w:sz w:val="22"/>
          <w:szCs w:val="22"/>
        </w:rPr>
        <w:t xml:space="preserve">-2). The tag was mounted loosely to the mooring line so that in the case that the mooring line could not be recovered, the tag could still pop off and provide summarized data. Therefore, the motion of the tag was constrained, but it was not fixed tightly to the mooring line. The range in detailed data was 3400 </w:t>
      </w:r>
      <w:proofErr w:type="spellStart"/>
      <w:proofErr w:type="gramStart"/>
      <w:r w:rsidRPr="00C12927">
        <w:rPr>
          <w:rFonts w:asciiTheme="majorBidi" w:hAnsiTheme="majorBidi" w:cstheme="majorBidi"/>
          <w:sz w:val="22"/>
          <w:szCs w:val="22"/>
        </w:rPr>
        <w:t>nT</w:t>
      </w:r>
      <w:proofErr w:type="spellEnd"/>
      <w:proofErr w:type="gramEnd"/>
      <w:r w:rsidRPr="00C12927">
        <w:rPr>
          <w:rFonts w:asciiTheme="majorBidi" w:hAnsiTheme="majorBidi" w:cstheme="majorBidi"/>
          <w:sz w:val="22"/>
          <w:szCs w:val="22"/>
        </w:rPr>
        <w:t xml:space="preserve"> over the course of the deployment, and the range of daily means fluctuated within a range of 1630 </w:t>
      </w:r>
      <w:proofErr w:type="spellStart"/>
      <w:r w:rsidRPr="00C12927">
        <w:rPr>
          <w:rFonts w:asciiTheme="majorBidi" w:hAnsiTheme="majorBidi" w:cstheme="majorBidi"/>
          <w:sz w:val="22"/>
          <w:szCs w:val="22"/>
        </w:rPr>
        <w:t>nT.</w:t>
      </w:r>
      <w:proofErr w:type="spellEnd"/>
      <w:r w:rsidRPr="00C12927">
        <w:rPr>
          <w:rFonts w:asciiTheme="majorBidi" w:hAnsiTheme="majorBidi" w:cstheme="majorBidi"/>
          <w:sz w:val="22"/>
          <w:szCs w:val="22"/>
        </w:rPr>
        <w:t xml:space="preserve"> When magnetic field observations were restricted to only one tag orientation, the range in detailed measurements was reduced to 1280 </w:t>
      </w:r>
      <w:proofErr w:type="spellStart"/>
      <w:proofErr w:type="gramStart"/>
      <w:r w:rsidRPr="00C12927">
        <w:rPr>
          <w:rFonts w:asciiTheme="majorBidi" w:hAnsiTheme="majorBidi" w:cstheme="majorBidi"/>
          <w:sz w:val="22"/>
          <w:szCs w:val="22"/>
        </w:rPr>
        <w:t>nT</w:t>
      </w:r>
      <w:proofErr w:type="spellEnd"/>
      <w:proofErr w:type="gramEnd"/>
      <w:r w:rsidRPr="00C12927">
        <w:rPr>
          <w:rFonts w:asciiTheme="majorBidi" w:hAnsiTheme="majorBidi" w:cstheme="majorBidi"/>
          <w:sz w:val="22"/>
          <w:szCs w:val="22"/>
        </w:rPr>
        <w:t xml:space="preserve"> and the range in daily means was reduced to 819 </w:t>
      </w:r>
      <w:proofErr w:type="spellStart"/>
      <w:r w:rsidRPr="00C12927">
        <w:rPr>
          <w:rFonts w:asciiTheme="majorBidi" w:hAnsiTheme="majorBidi" w:cstheme="majorBidi"/>
          <w:sz w:val="22"/>
          <w:szCs w:val="22"/>
        </w:rPr>
        <w:t>nT.</w:t>
      </w:r>
      <w:proofErr w:type="spellEnd"/>
      <w:r w:rsidRPr="00C12927">
        <w:rPr>
          <w:rFonts w:asciiTheme="majorBidi" w:hAnsiTheme="majorBidi" w:cstheme="majorBidi"/>
          <w:sz w:val="22"/>
          <w:szCs w:val="22"/>
        </w:rPr>
        <w:t xml:space="preserve"> </w:t>
      </w:r>
    </w:p>
    <w:p w:rsidR="00103480" w:rsidRPr="00C12927" w:rsidRDefault="00103480" w:rsidP="00103480">
      <w:pPr>
        <w:spacing w:line="480" w:lineRule="auto"/>
        <w:ind w:firstLine="720"/>
        <w:rPr>
          <w:rFonts w:asciiTheme="majorBidi" w:hAnsiTheme="majorBidi" w:cstheme="majorBidi"/>
          <w:sz w:val="22"/>
          <w:szCs w:val="22"/>
        </w:rPr>
      </w:pPr>
      <w:r w:rsidRPr="00C12927">
        <w:rPr>
          <w:rFonts w:asciiTheme="majorBidi" w:hAnsiTheme="majorBidi" w:cstheme="majorBidi"/>
          <w:sz w:val="22"/>
          <w:szCs w:val="22"/>
        </w:rPr>
        <w:t xml:space="preserve">In contrast to the Desert Star </w:t>
      </w:r>
      <w:proofErr w:type="spellStart"/>
      <w:r w:rsidRPr="00C12927">
        <w:rPr>
          <w:rFonts w:asciiTheme="majorBidi" w:hAnsiTheme="majorBidi" w:cstheme="majorBidi"/>
          <w:sz w:val="22"/>
          <w:szCs w:val="22"/>
        </w:rPr>
        <w:t>SeaTagMOD</w:t>
      </w:r>
      <w:proofErr w:type="spellEnd"/>
      <w:r w:rsidRPr="00C12927">
        <w:rPr>
          <w:rFonts w:asciiTheme="majorBidi" w:hAnsiTheme="majorBidi" w:cstheme="majorBidi"/>
          <w:sz w:val="22"/>
          <w:szCs w:val="22"/>
        </w:rPr>
        <w:t xml:space="preserve"> on the Kodiak mooring, the stationary tags in the current Glacier Bay study were tightly affixed to the line, so that changes in tag orientation were related to change in orientation of the mooring line itself. When we restricted tag magnetic field measurements from the Glacier Bay stationary tags to only one tag orientation based on acceleration measurements (Table </w:t>
      </w:r>
      <w:r>
        <w:rPr>
          <w:rFonts w:asciiTheme="majorBidi" w:hAnsiTheme="majorBidi" w:cstheme="majorBidi"/>
          <w:sz w:val="22"/>
          <w:szCs w:val="22"/>
        </w:rPr>
        <w:t>2-</w:t>
      </w:r>
      <w:r w:rsidRPr="00C12927">
        <w:rPr>
          <w:rFonts w:asciiTheme="majorBidi" w:hAnsiTheme="majorBidi" w:cstheme="majorBidi"/>
          <w:sz w:val="22"/>
          <w:szCs w:val="22"/>
        </w:rPr>
        <w:t xml:space="preserve">1), the range in detailed magnetic field measurements was not reduced to the degree observed for the Kodiak tags (Figure </w:t>
      </w:r>
      <w:r>
        <w:rPr>
          <w:rFonts w:asciiTheme="majorBidi" w:hAnsiTheme="majorBidi" w:cstheme="majorBidi"/>
          <w:sz w:val="22"/>
          <w:szCs w:val="22"/>
        </w:rPr>
        <w:t>2</w:t>
      </w:r>
      <w:r w:rsidRPr="00C12927">
        <w:rPr>
          <w:rFonts w:asciiTheme="majorBidi" w:hAnsiTheme="majorBidi" w:cstheme="majorBidi"/>
          <w:sz w:val="22"/>
          <w:szCs w:val="22"/>
        </w:rPr>
        <w:t xml:space="preserve">-3). In addition, restricting the tag orientation did nothing to reduce the “wandering” pattern, where measurements fluctuated between positive and negative values relative to the </w:t>
      </w:r>
      <w:proofErr w:type="gramStart"/>
      <w:r w:rsidRPr="00C12927">
        <w:rPr>
          <w:rFonts w:asciiTheme="majorBidi" w:hAnsiTheme="majorBidi" w:cstheme="majorBidi"/>
          <w:sz w:val="22"/>
          <w:szCs w:val="22"/>
        </w:rPr>
        <w:t>known</w:t>
      </w:r>
      <w:proofErr w:type="gramEnd"/>
      <w:r w:rsidRPr="00C12927">
        <w:rPr>
          <w:rFonts w:asciiTheme="majorBidi" w:hAnsiTheme="majorBidi" w:cstheme="majorBidi"/>
          <w:sz w:val="22"/>
          <w:szCs w:val="22"/>
        </w:rPr>
        <w:t xml:space="preserve"> value at the mooring location. Therefore, either very small changes in orientation cause large effects on magnetic field measurement, or some other aspect of tag movement on the mooring line or internal architecture may be causing the “wandering pattern” observed in the magnetic field data. However, because the magnetic field sensors and archival tags are complicated, we leave further discussion of possible explanations for the temporal patterns observed on mooring lines to engineers and others more familiar with the details of their operation.</w:t>
      </w:r>
    </w:p>
    <w:p w:rsidR="00103480" w:rsidRDefault="00103480" w:rsidP="00103480">
      <w:pPr>
        <w:spacing w:line="480" w:lineRule="auto"/>
        <w:rPr>
          <w:rFonts w:asciiTheme="majorBidi" w:hAnsiTheme="majorBidi" w:cstheme="majorBidi"/>
          <w:sz w:val="22"/>
          <w:szCs w:val="22"/>
        </w:rPr>
      </w:pPr>
    </w:p>
    <w:p w:rsidR="00103480" w:rsidRPr="002B4112" w:rsidRDefault="00103480" w:rsidP="00103480">
      <w:pPr>
        <w:spacing w:line="480" w:lineRule="auto"/>
        <w:rPr>
          <w:rFonts w:asciiTheme="majorBidi" w:hAnsiTheme="majorBidi" w:cstheme="majorBidi"/>
          <w:sz w:val="22"/>
          <w:szCs w:val="22"/>
          <w:u w:val="single"/>
        </w:rPr>
      </w:pPr>
      <w:r w:rsidRPr="002B4112">
        <w:rPr>
          <w:rFonts w:asciiTheme="majorBidi" w:hAnsiTheme="majorBidi" w:cstheme="majorBidi"/>
          <w:sz w:val="22"/>
          <w:szCs w:val="22"/>
          <w:u w:val="single"/>
        </w:rPr>
        <w:t>Temperature</w:t>
      </w:r>
    </w:p>
    <w:p w:rsidR="002B4112" w:rsidRDefault="00103480" w:rsidP="00AB715C">
      <w:pPr>
        <w:spacing w:line="480" w:lineRule="auto"/>
        <w:ind w:firstLine="720"/>
        <w:rPr>
          <w:rFonts w:asciiTheme="majorBidi" w:hAnsiTheme="majorBidi" w:cstheme="majorBidi"/>
          <w:sz w:val="22"/>
          <w:szCs w:val="22"/>
        </w:rPr>
      </w:pPr>
      <w:r w:rsidRPr="00C12927">
        <w:rPr>
          <w:rFonts w:asciiTheme="majorBidi" w:hAnsiTheme="majorBidi" w:cstheme="majorBidi"/>
          <w:sz w:val="22"/>
          <w:szCs w:val="22"/>
        </w:rPr>
        <w:t xml:space="preserve">All geomagnetic archival tags are sensitive to temperature change due to the nature of the sensors employed. In general, as temperature increased, the reported value of the magnetic field decreased for both tag models that were deployed (Figure </w:t>
      </w:r>
      <w:r>
        <w:rPr>
          <w:rFonts w:asciiTheme="majorBidi" w:hAnsiTheme="majorBidi" w:cstheme="majorBidi"/>
          <w:sz w:val="22"/>
          <w:szCs w:val="22"/>
        </w:rPr>
        <w:t>2</w:t>
      </w:r>
      <w:r w:rsidRPr="00C12927">
        <w:rPr>
          <w:rFonts w:asciiTheme="majorBidi" w:hAnsiTheme="majorBidi" w:cstheme="majorBidi"/>
          <w:sz w:val="22"/>
          <w:szCs w:val="22"/>
        </w:rPr>
        <w:t xml:space="preserve">-4). However, differences in change in measured magnetic field per unit of temperature change may vary by tag. </w:t>
      </w:r>
    </w:p>
    <w:p w:rsidR="00103480" w:rsidRPr="002B4112" w:rsidRDefault="00103480" w:rsidP="00103480">
      <w:pPr>
        <w:spacing w:line="480" w:lineRule="auto"/>
        <w:rPr>
          <w:rFonts w:asciiTheme="majorBidi" w:hAnsiTheme="majorBidi" w:cstheme="majorBidi"/>
          <w:b/>
          <w:bCs/>
          <w:sz w:val="22"/>
          <w:szCs w:val="22"/>
          <w:u w:val="single"/>
        </w:rPr>
      </w:pPr>
      <w:r w:rsidRPr="002B4112">
        <w:rPr>
          <w:rFonts w:asciiTheme="majorBidi" w:hAnsiTheme="majorBidi" w:cstheme="majorBidi"/>
          <w:sz w:val="22"/>
          <w:szCs w:val="22"/>
          <w:u w:val="single"/>
        </w:rPr>
        <w:t>Literature cited</w:t>
      </w:r>
    </w:p>
    <w:p w:rsidR="00D17689" w:rsidRPr="00D17689" w:rsidRDefault="008F66EC" w:rsidP="00D17689">
      <w:pPr>
        <w:pStyle w:val="EndNoteBibliography"/>
        <w:ind w:firstLine="0"/>
        <w:rPr>
          <w:noProof/>
        </w:rPr>
      </w:pPr>
      <w:r w:rsidRPr="008F66EC">
        <w:rPr>
          <w:rFonts w:asciiTheme="majorBidi" w:hAnsiTheme="majorBidi" w:cstheme="majorBidi"/>
          <w:szCs w:val="22"/>
        </w:rPr>
        <w:fldChar w:fldCharType="begin"/>
      </w:r>
      <w:r w:rsidR="00103480" w:rsidRPr="00C12927">
        <w:rPr>
          <w:rFonts w:asciiTheme="majorBidi" w:hAnsiTheme="majorBidi" w:cstheme="majorBidi"/>
          <w:szCs w:val="22"/>
        </w:rPr>
        <w:instrText xml:space="preserve"> ADDIN EN.REFLIST </w:instrText>
      </w:r>
      <w:r w:rsidRPr="008F66EC">
        <w:rPr>
          <w:rFonts w:asciiTheme="majorBidi" w:hAnsiTheme="majorBidi" w:cstheme="majorBidi"/>
          <w:szCs w:val="22"/>
        </w:rPr>
        <w:fldChar w:fldCharType="separate"/>
      </w:r>
      <w:r w:rsidR="00D17689" w:rsidRPr="00D17689">
        <w:rPr>
          <w:noProof/>
        </w:rPr>
        <w:t>Yang, D., You, Z., Li, B., Duan, W., Yuan, B., 2017. Complete tri-axis magnetometer calibration with a gyro auxiliary. Sensors (Basel, Switzerland) 17, 1223.</w:t>
      </w:r>
    </w:p>
    <w:p w:rsidR="00AB715C" w:rsidRDefault="008F66EC" w:rsidP="00D17689">
      <w:pPr>
        <w:spacing w:line="480" w:lineRule="auto"/>
        <w:rPr>
          <w:rFonts w:asciiTheme="majorBidi" w:hAnsiTheme="majorBidi" w:cstheme="majorBidi"/>
          <w:sz w:val="22"/>
          <w:szCs w:val="22"/>
        </w:rPr>
      </w:pPr>
      <w:r w:rsidRPr="00C12927">
        <w:rPr>
          <w:rFonts w:asciiTheme="majorBidi" w:hAnsiTheme="majorBidi" w:cstheme="majorBidi"/>
          <w:sz w:val="22"/>
          <w:szCs w:val="22"/>
        </w:rPr>
        <w:fldChar w:fldCharType="end"/>
      </w:r>
    </w:p>
    <w:p w:rsidR="00103480" w:rsidRPr="002B4112" w:rsidRDefault="00103480" w:rsidP="00327A52">
      <w:pPr>
        <w:spacing w:line="480" w:lineRule="auto"/>
        <w:rPr>
          <w:rFonts w:asciiTheme="majorBidi" w:hAnsiTheme="majorBidi" w:cstheme="majorBidi"/>
          <w:sz w:val="22"/>
          <w:szCs w:val="22"/>
          <w:u w:val="single"/>
        </w:rPr>
      </w:pPr>
      <w:r w:rsidRPr="002B4112">
        <w:rPr>
          <w:rFonts w:asciiTheme="majorBidi" w:hAnsiTheme="majorBidi" w:cstheme="majorBidi"/>
          <w:sz w:val="22"/>
          <w:szCs w:val="22"/>
          <w:u w:val="single"/>
        </w:rPr>
        <w:t>Acknowledgements</w:t>
      </w:r>
    </w:p>
    <w:p w:rsidR="00103480" w:rsidRDefault="00103480" w:rsidP="00103480">
      <w:pPr>
        <w:spacing w:line="480" w:lineRule="auto"/>
        <w:ind w:firstLine="720"/>
        <w:rPr>
          <w:rFonts w:asciiTheme="majorBidi" w:hAnsiTheme="majorBidi" w:cstheme="majorBidi"/>
          <w:sz w:val="22"/>
          <w:szCs w:val="22"/>
        </w:rPr>
      </w:pPr>
      <w:r w:rsidRPr="00C12927">
        <w:rPr>
          <w:rFonts w:asciiTheme="majorBidi" w:hAnsiTheme="majorBidi" w:cstheme="majorBidi"/>
          <w:sz w:val="22"/>
          <w:szCs w:val="22"/>
        </w:rPr>
        <w:t xml:space="preserve">We thank Katy </w:t>
      </w:r>
      <w:proofErr w:type="spellStart"/>
      <w:r w:rsidRPr="00C12927">
        <w:rPr>
          <w:rFonts w:asciiTheme="majorBidi" w:hAnsiTheme="majorBidi" w:cstheme="majorBidi"/>
          <w:sz w:val="22"/>
          <w:szCs w:val="22"/>
        </w:rPr>
        <w:t>Echave</w:t>
      </w:r>
      <w:proofErr w:type="spellEnd"/>
      <w:r w:rsidRPr="00C12927">
        <w:rPr>
          <w:rFonts w:asciiTheme="majorBidi" w:hAnsiTheme="majorBidi" w:cstheme="majorBidi"/>
          <w:sz w:val="22"/>
          <w:szCs w:val="22"/>
        </w:rPr>
        <w:t xml:space="preserve"> (NOAA, Ted Stevens Marine Institute) for providing the Desert Star </w:t>
      </w:r>
      <w:proofErr w:type="spellStart"/>
      <w:r w:rsidRPr="00C12927">
        <w:rPr>
          <w:rFonts w:asciiTheme="majorBidi" w:hAnsiTheme="majorBidi" w:cstheme="majorBidi"/>
          <w:sz w:val="22"/>
          <w:szCs w:val="22"/>
        </w:rPr>
        <w:t>SeaTagMOD</w:t>
      </w:r>
      <w:proofErr w:type="spellEnd"/>
      <w:r w:rsidRPr="00C12927">
        <w:rPr>
          <w:rFonts w:asciiTheme="majorBidi" w:hAnsiTheme="majorBidi" w:cstheme="majorBidi"/>
          <w:sz w:val="22"/>
          <w:szCs w:val="22"/>
        </w:rPr>
        <w:t xml:space="preserve"> deployed on the Kodiak mooring buoy. We thank the International Pacific Halibut Commission and the F/V </w:t>
      </w:r>
      <w:proofErr w:type="spellStart"/>
      <w:r w:rsidRPr="00C12927">
        <w:rPr>
          <w:rFonts w:asciiTheme="majorBidi" w:hAnsiTheme="majorBidi" w:cstheme="majorBidi"/>
          <w:sz w:val="22"/>
          <w:szCs w:val="22"/>
        </w:rPr>
        <w:t>Kema</w:t>
      </w:r>
      <w:proofErr w:type="spellEnd"/>
      <w:r w:rsidRPr="00C12927">
        <w:rPr>
          <w:rFonts w:asciiTheme="majorBidi" w:hAnsiTheme="majorBidi" w:cstheme="majorBidi"/>
          <w:sz w:val="22"/>
          <w:szCs w:val="22"/>
        </w:rPr>
        <w:t xml:space="preserve"> Sue for </w:t>
      </w:r>
      <w:r>
        <w:rPr>
          <w:rFonts w:asciiTheme="majorBidi" w:hAnsiTheme="majorBidi" w:cstheme="majorBidi"/>
          <w:sz w:val="22"/>
          <w:szCs w:val="22"/>
        </w:rPr>
        <w:t xml:space="preserve">deploying and </w:t>
      </w:r>
      <w:r w:rsidRPr="00C12927">
        <w:rPr>
          <w:rFonts w:asciiTheme="majorBidi" w:hAnsiTheme="majorBidi" w:cstheme="majorBidi"/>
          <w:sz w:val="22"/>
          <w:szCs w:val="22"/>
        </w:rPr>
        <w:t xml:space="preserve">recovering the Kodiak mooring assembly. </w:t>
      </w:r>
    </w:p>
    <w:p w:rsidR="00103480" w:rsidRDefault="00103480" w:rsidP="00103480">
      <w:pPr>
        <w:spacing w:line="480" w:lineRule="auto"/>
        <w:rPr>
          <w:rFonts w:asciiTheme="majorBidi" w:hAnsiTheme="majorBidi" w:cstheme="majorBidi"/>
          <w:sz w:val="22"/>
          <w:szCs w:val="22"/>
        </w:rPr>
      </w:pPr>
    </w:p>
    <w:p w:rsidR="00103480" w:rsidRPr="00C12927" w:rsidRDefault="00103480" w:rsidP="00103480">
      <w:pPr>
        <w:rPr>
          <w:rFonts w:asciiTheme="majorBidi" w:hAnsiTheme="majorBidi" w:cstheme="majorBidi"/>
          <w:sz w:val="22"/>
          <w:szCs w:val="22"/>
        </w:rPr>
      </w:pPr>
      <w:r>
        <w:rPr>
          <w:rFonts w:asciiTheme="majorBidi" w:hAnsiTheme="majorBidi" w:cstheme="majorBidi"/>
          <w:sz w:val="22"/>
          <w:szCs w:val="22"/>
        </w:rPr>
        <w:br w:type="page"/>
      </w:r>
      <w:proofErr w:type="gramStart"/>
      <w:r w:rsidRPr="00C12927">
        <w:rPr>
          <w:rFonts w:asciiTheme="majorBidi" w:hAnsiTheme="majorBidi" w:cstheme="majorBidi"/>
          <w:sz w:val="22"/>
          <w:szCs w:val="22"/>
        </w:rPr>
        <w:lastRenderedPageBreak/>
        <w:t xml:space="preserve">Table </w:t>
      </w:r>
      <w:r>
        <w:rPr>
          <w:rFonts w:asciiTheme="majorBidi" w:hAnsiTheme="majorBidi" w:cstheme="majorBidi"/>
          <w:sz w:val="22"/>
          <w:szCs w:val="22"/>
        </w:rPr>
        <w:t>2-</w:t>
      </w:r>
      <w:r w:rsidRPr="00C12927">
        <w:rPr>
          <w:rFonts w:asciiTheme="majorBidi" w:hAnsiTheme="majorBidi" w:cstheme="majorBidi"/>
          <w:sz w:val="22"/>
          <w:szCs w:val="22"/>
        </w:rPr>
        <w:t>1.</w:t>
      </w:r>
      <w:proofErr w:type="gramEnd"/>
      <w:r w:rsidRPr="00C12927">
        <w:rPr>
          <w:rFonts w:asciiTheme="majorBidi" w:hAnsiTheme="majorBidi" w:cstheme="majorBidi"/>
          <w:sz w:val="22"/>
          <w:szCs w:val="22"/>
        </w:rPr>
        <w:t xml:space="preserve"> To reduce effects of rotational distortion on magnetic field measurement, archival tag data were restricted to only one orientation to determine whether magnetic field values from the subset data still exhibited temporal patterns unrelated to known temporal fluctuations in the field. To restrict measurements to one orientation, accelerometer X, Y, and Z axes were each constrained to a specific range of values. These are measured in units of gravity (g) for Desert Star (Marina, California, USA) </w:t>
      </w:r>
      <w:proofErr w:type="spellStart"/>
      <w:r w:rsidRPr="00C12927">
        <w:rPr>
          <w:rFonts w:asciiTheme="majorBidi" w:hAnsiTheme="majorBidi" w:cstheme="majorBidi"/>
          <w:sz w:val="22"/>
          <w:szCs w:val="22"/>
        </w:rPr>
        <w:t>SeaTagMOD</w:t>
      </w:r>
      <w:proofErr w:type="spellEnd"/>
      <w:r w:rsidRPr="00C12927">
        <w:rPr>
          <w:rFonts w:asciiTheme="majorBidi" w:hAnsiTheme="majorBidi" w:cstheme="majorBidi"/>
          <w:sz w:val="22"/>
          <w:szCs w:val="22"/>
        </w:rPr>
        <w:t xml:space="preserve"> (DS) tags and degrees (d) for Star Oddi (</w:t>
      </w:r>
      <w:proofErr w:type="spellStart"/>
      <w:r w:rsidRPr="00C12927">
        <w:rPr>
          <w:rFonts w:asciiTheme="majorBidi" w:hAnsiTheme="majorBidi" w:cstheme="majorBidi"/>
          <w:sz w:val="22"/>
          <w:szCs w:val="22"/>
        </w:rPr>
        <w:t>Garōabӕr</w:t>
      </w:r>
      <w:proofErr w:type="spellEnd"/>
      <w:r w:rsidRPr="00C12927">
        <w:rPr>
          <w:rFonts w:asciiTheme="majorBidi" w:hAnsiTheme="majorBidi" w:cstheme="majorBidi"/>
          <w:sz w:val="22"/>
          <w:szCs w:val="22"/>
        </w:rPr>
        <w:t xml:space="preserve">, Iceland) </w:t>
      </w:r>
      <w:proofErr w:type="spellStart"/>
      <w:r w:rsidRPr="00C12927">
        <w:rPr>
          <w:rFonts w:asciiTheme="majorBidi" w:hAnsiTheme="majorBidi" w:cstheme="majorBidi"/>
          <w:sz w:val="22"/>
          <w:szCs w:val="22"/>
        </w:rPr>
        <w:t>DSTmagnetic</w:t>
      </w:r>
      <w:proofErr w:type="spellEnd"/>
      <w:r w:rsidRPr="00C12927">
        <w:rPr>
          <w:rFonts w:asciiTheme="majorBidi" w:hAnsiTheme="majorBidi" w:cstheme="majorBidi"/>
          <w:sz w:val="22"/>
          <w:szCs w:val="22"/>
        </w:rPr>
        <w:t xml:space="preserve"> (SO) tags. The number of records comprising the subset data and percent of the full data set are also shown. Subset data are shown in Figure</w:t>
      </w:r>
      <w:r w:rsidR="00B92560">
        <w:rPr>
          <w:rFonts w:asciiTheme="majorBidi" w:hAnsiTheme="majorBidi" w:cstheme="majorBidi"/>
          <w:sz w:val="22"/>
          <w:szCs w:val="22"/>
        </w:rPr>
        <w:t xml:space="preserve"> </w:t>
      </w:r>
      <w:r>
        <w:rPr>
          <w:rFonts w:asciiTheme="majorBidi" w:hAnsiTheme="majorBidi" w:cstheme="majorBidi"/>
          <w:sz w:val="22"/>
          <w:szCs w:val="22"/>
        </w:rPr>
        <w:t>2</w:t>
      </w:r>
      <w:r w:rsidRPr="00C12927">
        <w:rPr>
          <w:rFonts w:asciiTheme="majorBidi" w:hAnsiTheme="majorBidi" w:cstheme="majorBidi"/>
          <w:sz w:val="22"/>
          <w:szCs w:val="22"/>
        </w:rPr>
        <w:t>-3.</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2"/>
        <w:gridCol w:w="1982"/>
        <w:gridCol w:w="2141"/>
        <w:gridCol w:w="2150"/>
        <w:gridCol w:w="1159"/>
        <w:gridCol w:w="1166"/>
      </w:tblGrid>
      <w:tr w:rsidR="00103480" w:rsidRPr="00C12927" w:rsidTr="009F46C9">
        <w:tc>
          <w:tcPr>
            <w:tcW w:w="852" w:type="dxa"/>
            <w:tcBorders>
              <w:bottom w:val="single" w:sz="4" w:space="0" w:color="auto"/>
            </w:tcBorders>
          </w:tcPr>
          <w:p w:rsidR="00103480" w:rsidRPr="00C12927" w:rsidRDefault="00103480" w:rsidP="009F46C9">
            <w:pPr>
              <w:spacing w:line="480" w:lineRule="auto"/>
              <w:rPr>
                <w:rFonts w:asciiTheme="majorBidi" w:hAnsiTheme="majorBidi" w:cstheme="majorBidi"/>
                <w:sz w:val="22"/>
                <w:szCs w:val="22"/>
              </w:rPr>
            </w:pPr>
            <w:proofErr w:type="spellStart"/>
            <w:r w:rsidRPr="00C12927">
              <w:rPr>
                <w:rFonts w:asciiTheme="majorBidi" w:hAnsiTheme="majorBidi" w:cstheme="majorBidi"/>
                <w:sz w:val="22"/>
                <w:szCs w:val="22"/>
              </w:rPr>
              <w:t>TagID</w:t>
            </w:r>
            <w:proofErr w:type="spellEnd"/>
          </w:p>
        </w:tc>
        <w:tc>
          <w:tcPr>
            <w:tcW w:w="1982" w:type="dxa"/>
            <w:tcBorders>
              <w:bottom w:val="single" w:sz="4" w:space="0" w:color="auto"/>
            </w:tcBorders>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X-axis range</w:t>
            </w:r>
          </w:p>
        </w:tc>
        <w:tc>
          <w:tcPr>
            <w:tcW w:w="2141" w:type="dxa"/>
            <w:tcBorders>
              <w:bottom w:val="single" w:sz="4" w:space="0" w:color="auto"/>
            </w:tcBorders>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Y-axis range</w:t>
            </w:r>
          </w:p>
        </w:tc>
        <w:tc>
          <w:tcPr>
            <w:tcW w:w="2150" w:type="dxa"/>
            <w:tcBorders>
              <w:bottom w:val="single" w:sz="4" w:space="0" w:color="auto"/>
            </w:tcBorders>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Z-axis range</w:t>
            </w:r>
          </w:p>
        </w:tc>
        <w:tc>
          <w:tcPr>
            <w:tcW w:w="1159" w:type="dxa"/>
            <w:tcBorders>
              <w:bottom w:val="single" w:sz="4" w:space="0" w:color="auto"/>
            </w:tcBorders>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 records</w:t>
            </w:r>
          </w:p>
        </w:tc>
        <w:tc>
          <w:tcPr>
            <w:tcW w:w="1166" w:type="dxa"/>
            <w:tcBorders>
              <w:bottom w:val="single" w:sz="4" w:space="0" w:color="auto"/>
            </w:tcBorders>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 original</w:t>
            </w:r>
          </w:p>
        </w:tc>
      </w:tr>
      <w:tr w:rsidR="00103480" w:rsidRPr="00C12927" w:rsidTr="009F46C9">
        <w:trPr>
          <w:trHeight w:val="268"/>
        </w:trPr>
        <w:tc>
          <w:tcPr>
            <w:tcW w:w="852" w:type="dxa"/>
            <w:tcBorders>
              <w:top w:val="single" w:sz="4" w:space="0" w:color="auto"/>
            </w:tcBorders>
          </w:tcPr>
          <w:p w:rsidR="00103480" w:rsidRPr="00C12927" w:rsidRDefault="00103480" w:rsidP="009F46C9">
            <w:pPr>
              <w:spacing w:line="480" w:lineRule="auto"/>
              <w:rPr>
                <w:rFonts w:asciiTheme="majorBidi" w:hAnsiTheme="majorBidi" w:cstheme="majorBidi"/>
                <w:sz w:val="22"/>
                <w:szCs w:val="22"/>
              </w:rPr>
            </w:pPr>
            <w:r w:rsidRPr="00C12927">
              <w:rPr>
                <w:rFonts w:asciiTheme="majorBidi" w:hAnsiTheme="majorBidi" w:cstheme="majorBidi"/>
                <w:sz w:val="22"/>
                <w:szCs w:val="22"/>
              </w:rPr>
              <w:t>DS-1</w:t>
            </w:r>
          </w:p>
        </w:tc>
        <w:tc>
          <w:tcPr>
            <w:tcW w:w="1982" w:type="dxa"/>
            <w:tcBorders>
              <w:top w:val="single" w:sz="4" w:space="0" w:color="auto"/>
            </w:tcBorders>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-0.175, &lt; -0.17 g</w:t>
            </w:r>
          </w:p>
        </w:tc>
        <w:tc>
          <w:tcPr>
            <w:tcW w:w="2141" w:type="dxa"/>
            <w:tcBorders>
              <w:top w:val="single" w:sz="4" w:space="0" w:color="auto"/>
            </w:tcBorders>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0.034, &lt; 0.036 g</w:t>
            </w:r>
          </w:p>
        </w:tc>
        <w:tc>
          <w:tcPr>
            <w:tcW w:w="2150" w:type="dxa"/>
            <w:tcBorders>
              <w:top w:val="single" w:sz="4" w:space="0" w:color="auto"/>
            </w:tcBorders>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0.965, &lt; 0.97 g</w:t>
            </w:r>
          </w:p>
        </w:tc>
        <w:tc>
          <w:tcPr>
            <w:tcW w:w="1159" w:type="dxa"/>
            <w:tcBorders>
              <w:top w:val="single" w:sz="4" w:space="0" w:color="auto"/>
            </w:tcBorders>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4767</w:t>
            </w:r>
          </w:p>
        </w:tc>
        <w:tc>
          <w:tcPr>
            <w:tcW w:w="1166" w:type="dxa"/>
            <w:tcBorders>
              <w:top w:val="single" w:sz="4" w:space="0" w:color="auto"/>
            </w:tcBorders>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5.0</w:t>
            </w:r>
          </w:p>
        </w:tc>
      </w:tr>
      <w:tr w:rsidR="00103480" w:rsidRPr="00C12927" w:rsidTr="009F46C9">
        <w:trPr>
          <w:trHeight w:val="268"/>
        </w:trPr>
        <w:tc>
          <w:tcPr>
            <w:tcW w:w="852" w:type="dxa"/>
          </w:tcPr>
          <w:p w:rsidR="00103480" w:rsidRPr="00C12927" w:rsidRDefault="00103480" w:rsidP="009F46C9">
            <w:pPr>
              <w:spacing w:line="480" w:lineRule="auto"/>
              <w:rPr>
                <w:rFonts w:asciiTheme="majorBidi" w:hAnsiTheme="majorBidi" w:cstheme="majorBidi"/>
                <w:sz w:val="22"/>
                <w:szCs w:val="22"/>
              </w:rPr>
            </w:pPr>
            <w:r w:rsidRPr="00C12927">
              <w:rPr>
                <w:rFonts w:asciiTheme="majorBidi" w:hAnsiTheme="majorBidi" w:cstheme="majorBidi"/>
                <w:sz w:val="22"/>
                <w:szCs w:val="22"/>
              </w:rPr>
              <w:t>DS-2</w:t>
            </w:r>
          </w:p>
        </w:tc>
        <w:tc>
          <w:tcPr>
            <w:tcW w:w="1982"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0.083, &lt; 0.09 g</w:t>
            </w:r>
          </w:p>
        </w:tc>
        <w:tc>
          <w:tcPr>
            <w:tcW w:w="2141"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-0.09, &lt; -0.08 g</w:t>
            </w:r>
          </w:p>
        </w:tc>
        <w:tc>
          <w:tcPr>
            <w:tcW w:w="2150"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1.0,  &lt; 1.03 g</w:t>
            </w:r>
          </w:p>
        </w:tc>
        <w:tc>
          <w:tcPr>
            <w:tcW w:w="1159"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17482</w:t>
            </w:r>
          </w:p>
        </w:tc>
        <w:tc>
          <w:tcPr>
            <w:tcW w:w="1166"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18.3</w:t>
            </w:r>
          </w:p>
        </w:tc>
      </w:tr>
      <w:tr w:rsidR="00103480" w:rsidRPr="00C12927" w:rsidTr="009F46C9">
        <w:trPr>
          <w:trHeight w:val="268"/>
        </w:trPr>
        <w:tc>
          <w:tcPr>
            <w:tcW w:w="852" w:type="dxa"/>
          </w:tcPr>
          <w:p w:rsidR="00103480" w:rsidRPr="00C12927" w:rsidRDefault="00103480" w:rsidP="009F46C9">
            <w:pPr>
              <w:spacing w:line="480" w:lineRule="auto"/>
              <w:rPr>
                <w:rFonts w:asciiTheme="majorBidi" w:hAnsiTheme="majorBidi" w:cstheme="majorBidi"/>
                <w:sz w:val="22"/>
                <w:szCs w:val="22"/>
              </w:rPr>
            </w:pPr>
            <w:r w:rsidRPr="00C12927">
              <w:rPr>
                <w:rFonts w:asciiTheme="majorBidi" w:hAnsiTheme="majorBidi" w:cstheme="majorBidi"/>
                <w:sz w:val="22"/>
                <w:szCs w:val="22"/>
              </w:rPr>
              <w:t>DS-3</w:t>
            </w:r>
          </w:p>
        </w:tc>
        <w:tc>
          <w:tcPr>
            <w:tcW w:w="1982"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0.08,  &lt; 0.09 g</w:t>
            </w:r>
          </w:p>
        </w:tc>
        <w:tc>
          <w:tcPr>
            <w:tcW w:w="2141"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-0.09, &lt; -0.08 g</w:t>
            </w:r>
          </w:p>
        </w:tc>
        <w:tc>
          <w:tcPr>
            <w:tcW w:w="2150"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&gt;1.005, &lt; 1.013 g</w:t>
            </w:r>
          </w:p>
        </w:tc>
        <w:tc>
          <w:tcPr>
            <w:tcW w:w="1159"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17642</w:t>
            </w:r>
          </w:p>
        </w:tc>
        <w:tc>
          <w:tcPr>
            <w:tcW w:w="1166"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18.5</w:t>
            </w:r>
          </w:p>
        </w:tc>
      </w:tr>
      <w:tr w:rsidR="00103480" w:rsidRPr="00C12927" w:rsidTr="009F46C9">
        <w:trPr>
          <w:trHeight w:val="268"/>
        </w:trPr>
        <w:tc>
          <w:tcPr>
            <w:tcW w:w="852" w:type="dxa"/>
          </w:tcPr>
          <w:p w:rsidR="00103480" w:rsidRPr="00C12927" w:rsidRDefault="00103480" w:rsidP="009F46C9">
            <w:pPr>
              <w:spacing w:line="480" w:lineRule="auto"/>
              <w:rPr>
                <w:rFonts w:asciiTheme="majorBidi" w:hAnsiTheme="majorBidi" w:cstheme="majorBidi"/>
                <w:sz w:val="22"/>
                <w:szCs w:val="22"/>
              </w:rPr>
            </w:pPr>
            <w:r w:rsidRPr="00C12927">
              <w:rPr>
                <w:rFonts w:asciiTheme="majorBidi" w:hAnsiTheme="majorBidi" w:cstheme="majorBidi"/>
                <w:sz w:val="22"/>
                <w:szCs w:val="22"/>
              </w:rPr>
              <w:t>SO-1</w:t>
            </w:r>
          </w:p>
        </w:tc>
        <w:tc>
          <w:tcPr>
            <w:tcW w:w="1982"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-11.2, &lt; -10.8 d</w:t>
            </w:r>
          </w:p>
        </w:tc>
        <w:tc>
          <w:tcPr>
            <w:tcW w:w="2141"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10.4, &lt; 10.8 d</w:t>
            </w:r>
          </w:p>
        </w:tc>
        <w:tc>
          <w:tcPr>
            <w:tcW w:w="2150"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68.3, &lt; 68.6 d</w:t>
            </w:r>
          </w:p>
        </w:tc>
        <w:tc>
          <w:tcPr>
            <w:tcW w:w="1159"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3264</w:t>
            </w:r>
          </w:p>
        </w:tc>
        <w:tc>
          <w:tcPr>
            <w:tcW w:w="1166"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19.3</w:t>
            </w:r>
          </w:p>
        </w:tc>
      </w:tr>
      <w:tr w:rsidR="00103480" w:rsidRPr="00C12927" w:rsidTr="009F46C9">
        <w:trPr>
          <w:trHeight w:val="268"/>
        </w:trPr>
        <w:tc>
          <w:tcPr>
            <w:tcW w:w="852" w:type="dxa"/>
          </w:tcPr>
          <w:p w:rsidR="00103480" w:rsidRPr="00C12927" w:rsidRDefault="00103480" w:rsidP="009F46C9">
            <w:pPr>
              <w:spacing w:line="480" w:lineRule="auto"/>
              <w:rPr>
                <w:rFonts w:asciiTheme="majorBidi" w:hAnsiTheme="majorBidi" w:cstheme="majorBidi"/>
                <w:sz w:val="22"/>
                <w:szCs w:val="22"/>
              </w:rPr>
            </w:pPr>
            <w:r w:rsidRPr="00C12927">
              <w:rPr>
                <w:rFonts w:asciiTheme="majorBidi" w:hAnsiTheme="majorBidi" w:cstheme="majorBidi"/>
                <w:sz w:val="22"/>
                <w:szCs w:val="22"/>
              </w:rPr>
              <w:t>SO-2</w:t>
            </w:r>
          </w:p>
        </w:tc>
        <w:tc>
          <w:tcPr>
            <w:tcW w:w="1982"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-4.9, &lt; -4.5 d</w:t>
            </w:r>
          </w:p>
        </w:tc>
        <w:tc>
          <w:tcPr>
            <w:tcW w:w="2141"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0.25, &lt; 0.6 d</w:t>
            </w:r>
          </w:p>
        </w:tc>
        <w:tc>
          <w:tcPr>
            <w:tcW w:w="2150"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&gt; 84.8, &lt; 85.2 d</w:t>
            </w:r>
          </w:p>
        </w:tc>
        <w:tc>
          <w:tcPr>
            <w:tcW w:w="1159"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1986</w:t>
            </w:r>
          </w:p>
        </w:tc>
        <w:tc>
          <w:tcPr>
            <w:tcW w:w="1166" w:type="dxa"/>
          </w:tcPr>
          <w:p w:rsidR="00103480" w:rsidRPr="00C12927" w:rsidRDefault="00103480" w:rsidP="009F46C9">
            <w:pPr>
              <w:spacing w:line="480" w:lineRule="auto"/>
              <w:jc w:val="center"/>
              <w:rPr>
                <w:rFonts w:asciiTheme="majorBidi" w:hAnsiTheme="majorBidi" w:cstheme="majorBidi"/>
                <w:sz w:val="22"/>
                <w:szCs w:val="22"/>
              </w:rPr>
            </w:pPr>
            <w:r w:rsidRPr="00C12927">
              <w:rPr>
                <w:rFonts w:asciiTheme="majorBidi" w:hAnsiTheme="majorBidi" w:cstheme="majorBidi"/>
                <w:sz w:val="22"/>
                <w:szCs w:val="22"/>
              </w:rPr>
              <w:t>11.8</w:t>
            </w:r>
          </w:p>
        </w:tc>
      </w:tr>
    </w:tbl>
    <w:p w:rsidR="00103480" w:rsidRPr="00C12927" w:rsidRDefault="00103480" w:rsidP="00103480">
      <w:pPr>
        <w:spacing w:line="480" w:lineRule="auto"/>
        <w:rPr>
          <w:rFonts w:asciiTheme="majorBidi" w:hAnsiTheme="majorBidi" w:cstheme="majorBidi"/>
          <w:sz w:val="22"/>
          <w:szCs w:val="22"/>
        </w:rPr>
      </w:pPr>
    </w:p>
    <w:p w:rsidR="00103480" w:rsidRDefault="00103480" w:rsidP="00103480">
      <w:pPr>
        <w:rPr>
          <w:rFonts w:asciiTheme="majorBidi" w:hAnsiTheme="majorBidi" w:cstheme="majorBidi"/>
          <w:sz w:val="22"/>
          <w:szCs w:val="22"/>
        </w:rPr>
      </w:pPr>
      <w:r>
        <w:rPr>
          <w:rFonts w:asciiTheme="majorBidi" w:hAnsiTheme="majorBidi" w:cstheme="majorBidi"/>
          <w:sz w:val="22"/>
          <w:szCs w:val="22"/>
        </w:rPr>
        <w:br w:type="page"/>
      </w:r>
    </w:p>
    <w:p w:rsidR="00103480" w:rsidRPr="00C12927" w:rsidRDefault="00103480" w:rsidP="00103480">
      <w:pPr>
        <w:spacing w:line="480" w:lineRule="auto"/>
        <w:rPr>
          <w:rFonts w:asciiTheme="majorBidi" w:hAnsiTheme="majorBidi" w:cstheme="majorBidi"/>
          <w:sz w:val="22"/>
          <w:szCs w:val="22"/>
        </w:rPr>
      </w:pPr>
      <w:r w:rsidRPr="00C12927">
        <w:rPr>
          <w:rFonts w:asciiTheme="majorBidi" w:hAnsiTheme="majorBidi" w:cstheme="majorBidi"/>
          <w:noProof/>
          <w:sz w:val="22"/>
          <w:szCs w:val="22"/>
          <w:lang w:eastAsia="en-US"/>
        </w:rPr>
        <w:lastRenderedPageBreak/>
        <w:drawing>
          <wp:inline distT="0" distB="0" distL="0" distR="0">
            <wp:extent cx="5644972" cy="5178175"/>
            <wp:effectExtent l="0" t="0" r="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ientation_effects.pdf"/>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691391" cy="5220755"/>
                    </a:xfrm>
                    <a:prstGeom prst="rect">
                      <a:avLst/>
                    </a:prstGeom>
                  </pic:spPr>
                </pic:pic>
              </a:graphicData>
            </a:graphic>
          </wp:inline>
        </w:drawing>
      </w:r>
    </w:p>
    <w:p w:rsidR="00103480" w:rsidRDefault="00103480" w:rsidP="00103480">
      <w:pPr>
        <w:spacing w:line="480" w:lineRule="auto"/>
        <w:rPr>
          <w:rFonts w:asciiTheme="majorBidi" w:hAnsiTheme="majorBidi" w:cstheme="majorBidi"/>
          <w:sz w:val="22"/>
          <w:szCs w:val="22"/>
        </w:rPr>
      </w:pPr>
    </w:p>
    <w:p w:rsidR="00103480" w:rsidRDefault="00103480" w:rsidP="00103480">
      <w:pPr>
        <w:spacing w:line="480" w:lineRule="auto"/>
        <w:rPr>
          <w:rFonts w:asciiTheme="majorBidi" w:hAnsiTheme="majorBidi" w:cstheme="majorBidi"/>
          <w:sz w:val="22"/>
          <w:szCs w:val="22"/>
        </w:rPr>
      </w:pPr>
    </w:p>
    <w:p w:rsidR="00103480" w:rsidRDefault="00103480" w:rsidP="00103480">
      <w:pPr>
        <w:spacing w:line="480" w:lineRule="auto"/>
        <w:rPr>
          <w:rFonts w:asciiTheme="majorBidi" w:hAnsiTheme="majorBidi" w:cstheme="majorBidi"/>
          <w:sz w:val="22"/>
          <w:szCs w:val="22"/>
        </w:rPr>
      </w:pPr>
    </w:p>
    <w:p w:rsidR="00103480" w:rsidRDefault="00103480" w:rsidP="00103480">
      <w:pPr>
        <w:spacing w:line="480" w:lineRule="auto"/>
        <w:rPr>
          <w:rFonts w:asciiTheme="majorBidi" w:hAnsiTheme="majorBidi" w:cstheme="majorBidi"/>
          <w:sz w:val="22"/>
          <w:szCs w:val="22"/>
        </w:rPr>
      </w:pPr>
    </w:p>
    <w:p w:rsidR="00103480" w:rsidRDefault="00103480" w:rsidP="00103480">
      <w:pPr>
        <w:rPr>
          <w:rFonts w:asciiTheme="majorBidi" w:hAnsiTheme="majorBidi" w:cstheme="majorBidi"/>
          <w:sz w:val="22"/>
          <w:szCs w:val="22"/>
        </w:rPr>
      </w:pPr>
      <w:proofErr w:type="gramStart"/>
      <w:r w:rsidRPr="00C12927">
        <w:rPr>
          <w:rFonts w:asciiTheme="majorBidi" w:hAnsiTheme="majorBidi" w:cstheme="majorBidi"/>
          <w:sz w:val="22"/>
          <w:szCs w:val="22"/>
        </w:rPr>
        <w:t xml:space="preserve">Figure </w:t>
      </w:r>
      <w:r>
        <w:rPr>
          <w:rFonts w:asciiTheme="majorBidi" w:hAnsiTheme="majorBidi" w:cstheme="majorBidi"/>
          <w:sz w:val="22"/>
          <w:szCs w:val="22"/>
        </w:rPr>
        <w:t>2</w:t>
      </w:r>
      <w:r w:rsidRPr="00C12927">
        <w:rPr>
          <w:rFonts w:asciiTheme="majorBidi" w:hAnsiTheme="majorBidi" w:cstheme="majorBidi"/>
          <w:sz w:val="22"/>
          <w:szCs w:val="22"/>
        </w:rPr>
        <w:t>-1.</w:t>
      </w:r>
      <w:proofErr w:type="gramEnd"/>
      <w:r w:rsidRPr="00C12927">
        <w:rPr>
          <w:rFonts w:asciiTheme="majorBidi" w:hAnsiTheme="majorBidi" w:cstheme="majorBidi"/>
          <w:sz w:val="22"/>
          <w:szCs w:val="22"/>
        </w:rPr>
        <w:t xml:space="preserve"> </w:t>
      </w:r>
      <w:proofErr w:type="gramStart"/>
      <w:r w:rsidRPr="00C12927">
        <w:rPr>
          <w:rFonts w:asciiTheme="majorBidi" w:hAnsiTheme="majorBidi" w:cstheme="majorBidi"/>
          <w:sz w:val="22"/>
          <w:szCs w:val="22"/>
        </w:rPr>
        <w:t xml:space="preserve">Effect of tag rotation on total magnetic field values measured by a Desert Star (Marina, California, USA) </w:t>
      </w:r>
      <w:proofErr w:type="spellStart"/>
      <w:r w:rsidRPr="00C12927">
        <w:rPr>
          <w:rFonts w:asciiTheme="majorBidi" w:hAnsiTheme="majorBidi" w:cstheme="majorBidi"/>
          <w:sz w:val="22"/>
          <w:szCs w:val="22"/>
        </w:rPr>
        <w:t>SeaTagMOD</w:t>
      </w:r>
      <w:proofErr w:type="spellEnd"/>
      <w:r w:rsidRPr="00C12927">
        <w:rPr>
          <w:rFonts w:asciiTheme="majorBidi" w:hAnsiTheme="majorBidi" w:cstheme="majorBidi"/>
          <w:sz w:val="22"/>
          <w:szCs w:val="22"/>
        </w:rPr>
        <w:t xml:space="preserve"> in Juneau, Alaska, USA.</w:t>
      </w:r>
      <w:proofErr w:type="gramEnd"/>
      <w:r w:rsidRPr="00C12927">
        <w:rPr>
          <w:rFonts w:asciiTheme="majorBidi" w:hAnsiTheme="majorBidi" w:cstheme="majorBidi"/>
          <w:sz w:val="22"/>
          <w:szCs w:val="22"/>
        </w:rPr>
        <w:t xml:space="preserve"> Top: Magnetic field values collected during a 30-minute period of low light, when temperatures were 2 – 2.5°C. Dashed line indicates known value at tag location determined with a </w:t>
      </w:r>
      <w:r>
        <w:rPr>
          <w:rFonts w:asciiTheme="majorBidi" w:hAnsiTheme="majorBidi" w:cstheme="majorBidi"/>
          <w:sz w:val="22"/>
          <w:szCs w:val="22"/>
        </w:rPr>
        <w:t xml:space="preserve">G-857 </w:t>
      </w:r>
      <w:r w:rsidRPr="00C12927">
        <w:rPr>
          <w:rFonts w:asciiTheme="majorBidi" w:hAnsiTheme="majorBidi" w:cstheme="majorBidi"/>
          <w:sz w:val="22"/>
          <w:szCs w:val="22"/>
        </w:rPr>
        <w:t>proton precession magnetometer</w:t>
      </w:r>
      <w:r>
        <w:rPr>
          <w:rFonts w:asciiTheme="majorBidi" w:hAnsiTheme="majorBidi" w:cstheme="majorBidi"/>
          <w:sz w:val="22"/>
          <w:szCs w:val="22"/>
        </w:rPr>
        <w:t xml:space="preserve"> (Geometrics, San Jose, CA, USA)</w:t>
      </w:r>
      <w:r w:rsidRPr="00C12927">
        <w:rPr>
          <w:rFonts w:asciiTheme="majorBidi" w:hAnsiTheme="majorBidi" w:cstheme="majorBidi"/>
          <w:sz w:val="22"/>
          <w:szCs w:val="22"/>
        </w:rPr>
        <w:t xml:space="preserve">. Bottom: Acceleration values indicate different tag orientations during the same time period (when a tag is not in motion accelerometers measure sensor angle relative to the direction of gravity). Acceleration X axis is shown in red, the Y axis in blue, and the Z axis in green. </w:t>
      </w:r>
    </w:p>
    <w:p w:rsidR="00103480" w:rsidRDefault="00103480" w:rsidP="00103480">
      <w:pPr>
        <w:rPr>
          <w:rFonts w:asciiTheme="majorBidi" w:hAnsiTheme="majorBidi" w:cstheme="majorBidi"/>
          <w:sz w:val="22"/>
          <w:szCs w:val="22"/>
        </w:rPr>
      </w:pPr>
      <w:r>
        <w:rPr>
          <w:rFonts w:asciiTheme="majorBidi" w:hAnsiTheme="majorBidi" w:cstheme="majorBidi"/>
          <w:sz w:val="22"/>
          <w:szCs w:val="22"/>
        </w:rPr>
        <w:br w:type="page"/>
      </w:r>
    </w:p>
    <w:p w:rsidR="00103480" w:rsidRPr="00C12927" w:rsidRDefault="00103480" w:rsidP="00103480">
      <w:pPr>
        <w:spacing w:line="480" w:lineRule="auto"/>
        <w:rPr>
          <w:rFonts w:asciiTheme="majorBidi" w:hAnsiTheme="majorBidi" w:cstheme="majorBidi"/>
          <w:sz w:val="22"/>
          <w:szCs w:val="22"/>
        </w:rPr>
      </w:pPr>
      <w:r w:rsidRPr="00C12927">
        <w:rPr>
          <w:rFonts w:asciiTheme="majorBidi" w:hAnsiTheme="majorBidi" w:cstheme="majorBidi"/>
          <w:noProof/>
          <w:sz w:val="22"/>
          <w:szCs w:val="22"/>
          <w:lang w:eastAsia="en-US"/>
        </w:rPr>
        <w:lastRenderedPageBreak/>
        <w:drawing>
          <wp:inline distT="0" distB="0" distL="0" distR="0">
            <wp:extent cx="4329288" cy="4070732"/>
            <wp:effectExtent l="0" t="0" r="190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diak_offset_sensororient.jpe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08739" cy="4145438"/>
                    </a:xfrm>
                    <a:prstGeom prst="rect">
                      <a:avLst/>
                    </a:prstGeom>
                  </pic:spPr>
                </pic:pic>
              </a:graphicData>
            </a:graphic>
          </wp:inline>
        </w:drawing>
      </w:r>
    </w:p>
    <w:p w:rsidR="00103480" w:rsidRDefault="00103480" w:rsidP="00103480">
      <w:pPr>
        <w:spacing w:line="480" w:lineRule="auto"/>
        <w:rPr>
          <w:rFonts w:asciiTheme="majorBidi" w:hAnsiTheme="majorBidi" w:cstheme="majorBidi"/>
          <w:sz w:val="22"/>
          <w:szCs w:val="22"/>
        </w:rPr>
      </w:pPr>
    </w:p>
    <w:p w:rsidR="00103480" w:rsidRDefault="00103480" w:rsidP="00103480">
      <w:pPr>
        <w:spacing w:line="480" w:lineRule="auto"/>
        <w:rPr>
          <w:rFonts w:asciiTheme="majorBidi" w:hAnsiTheme="majorBidi" w:cstheme="majorBidi"/>
          <w:sz w:val="22"/>
          <w:szCs w:val="22"/>
        </w:rPr>
      </w:pPr>
    </w:p>
    <w:p w:rsidR="00103480" w:rsidRDefault="00103480" w:rsidP="00103480">
      <w:pPr>
        <w:spacing w:line="480" w:lineRule="auto"/>
        <w:rPr>
          <w:rFonts w:asciiTheme="majorBidi" w:hAnsiTheme="majorBidi" w:cstheme="majorBidi"/>
          <w:sz w:val="22"/>
          <w:szCs w:val="22"/>
        </w:rPr>
      </w:pPr>
    </w:p>
    <w:p w:rsidR="00103480" w:rsidRDefault="00103480" w:rsidP="00103480">
      <w:pPr>
        <w:spacing w:line="480" w:lineRule="auto"/>
        <w:rPr>
          <w:rFonts w:asciiTheme="majorBidi" w:hAnsiTheme="majorBidi" w:cstheme="majorBidi"/>
          <w:sz w:val="22"/>
          <w:szCs w:val="22"/>
        </w:rPr>
      </w:pPr>
    </w:p>
    <w:p w:rsidR="00103480" w:rsidRDefault="00103480" w:rsidP="00103480">
      <w:pPr>
        <w:rPr>
          <w:rFonts w:asciiTheme="majorBidi" w:hAnsiTheme="majorBidi" w:cstheme="majorBidi"/>
          <w:sz w:val="22"/>
          <w:szCs w:val="22"/>
        </w:rPr>
      </w:pPr>
    </w:p>
    <w:p w:rsidR="00103480" w:rsidRDefault="00103480" w:rsidP="00103480">
      <w:pPr>
        <w:rPr>
          <w:rFonts w:asciiTheme="majorBidi" w:hAnsiTheme="majorBidi" w:cstheme="majorBidi"/>
          <w:sz w:val="22"/>
          <w:szCs w:val="22"/>
        </w:rPr>
      </w:pPr>
    </w:p>
    <w:p w:rsidR="00103480" w:rsidRDefault="00103480" w:rsidP="00103480">
      <w:pPr>
        <w:rPr>
          <w:rFonts w:asciiTheme="majorBidi" w:hAnsiTheme="majorBidi" w:cstheme="majorBidi"/>
          <w:sz w:val="22"/>
          <w:szCs w:val="22"/>
        </w:rPr>
      </w:pPr>
    </w:p>
    <w:p w:rsidR="00103480" w:rsidRDefault="00103480" w:rsidP="00103480">
      <w:pPr>
        <w:rPr>
          <w:rFonts w:asciiTheme="majorBidi" w:hAnsiTheme="majorBidi" w:cstheme="majorBidi"/>
          <w:sz w:val="22"/>
          <w:szCs w:val="22"/>
        </w:rPr>
      </w:pPr>
    </w:p>
    <w:p w:rsidR="00103480" w:rsidRDefault="00103480" w:rsidP="00103480">
      <w:pPr>
        <w:rPr>
          <w:rFonts w:asciiTheme="majorBidi" w:hAnsiTheme="majorBidi" w:cstheme="majorBidi"/>
          <w:sz w:val="22"/>
          <w:szCs w:val="22"/>
        </w:rPr>
      </w:pPr>
    </w:p>
    <w:p w:rsidR="00103480" w:rsidRDefault="00103480" w:rsidP="00103480">
      <w:pPr>
        <w:rPr>
          <w:rFonts w:asciiTheme="majorBidi" w:hAnsiTheme="majorBidi" w:cstheme="majorBidi"/>
          <w:sz w:val="22"/>
          <w:szCs w:val="22"/>
        </w:rPr>
      </w:pPr>
    </w:p>
    <w:p w:rsidR="00103480" w:rsidRPr="00C12927" w:rsidRDefault="00103480" w:rsidP="00103480">
      <w:pPr>
        <w:rPr>
          <w:rFonts w:asciiTheme="majorBidi" w:hAnsiTheme="majorBidi" w:cstheme="majorBidi"/>
          <w:sz w:val="22"/>
          <w:szCs w:val="22"/>
        </w:rPr>
      </w:pPr>
      <w:proofErr w:type="gramStart"/>
      <w:r w:rsidRPr="00C12927">
        <w:rPr>
          <w:rFonts w:asciiTheme="majorBidi" w:hAnsiTheme="majorBidi" w:cstheme="majorBidi"/>
          <w:sz w:val="22"/>
          <w:szCs w:val="22"/>
        </w:rPr>
        <w:t xml:space="preserve">Figure </w:t>
      </w:r>
      <w:r>
        <w:rPr>
          <w:rFonts w:asciiTheme="majorBidi" w:hAnsiTheme="majorBidi" w:cstheme="majorBidi"/>
          <w:sz w:val="22"/>
          <w:szCs w:val="22"/>
        </w:rPr>
        <w:t>2</w:t>
      </w:r>
      <w:r w:rsidRPr="00C12927">
        <w:rPr>
          <w:rFonts w:asciiTheme="majorBidi" w:hAnsiTheme="majorBidi" w:cstheme="majorBidi"/>
          <w:sz w:val="22"/>
          <w:szCs w:val="22"/>
        </w:rPr>
        <w:t>-2.</w:t>
      </w:r>
      <w:proofErr w:type="gramEnd"/>
      <w:r w:rsidRPr="00C12927">
        <w:rPr>
          <w:rFonts w:asciiTheme="majorBidi" w:hAnsiTheme="majorBidi" w:cstheme="majorBidi"/>
          <w:sz w:val="22"/>
          <w:szCs w:val="22"/>
        </w:rPr>
        <w:t xml:space="preserve"> Total magnetic field values from a 3-month deployment of a </w:t>
      </w:r>
      <w:proofErr w:type="spellStart"/>
      <w:r>
        <w:rPr>
          <w:rFonts w:asciiTheme="majorBidi" w:hAnsiTheme="majorBidi" w:cstheme="majorBidi"/>
          <w:sz w:val="22"/>
          <w:szCs w:val="22"/>
        </w:rPr>
        <w:t>SeaTagMOD</w:t>
      </w:r>
      <w:proofErr w:type="spellEnd"/>
      <w:r>
        <w:rPr>
          <w:rFonts w:asciiTheme="majorBidi" w:hAnsiTheme="majorBidi" w:cstheme="majorBidi"/>
          <w:sz w:val="22"/>
          <w:szCs w:val="22"/>
        </w:rPr>
        <w:t xml:space="preserve"> </w:t>
      </w:r>
      <w:r w:rsidRPr="00C12927">
        <w:rPr>
          <w:rFonts w:asciiTheme="majorBidi" w:hAnsiTheme="majorBidi" w:cstheme="majorBidi"/>
          <w:sz w:val="22"/>
          <w:szCs w:val="22"/>
        </w:rPr>
        <w:t>geomagnetic archival tag (Desert Star</w:t>
      </w:r>
      <w:r>
        <w:rPr>
          <w:rFonts w:asciiTheme="majorBidi" w:hAnsiTheme="majorBidi" w:cstheme="majorBidi"/>
          <w:sz w:val="22"/>
          <w:szCs w:val="22"/>
        </w:rPr>
        <w:t xml:space="preserve">, </w:t>
      </w:r>
      <w:r w:rsidRPr="00C12927">
        <w:rPr>
          <w:rFonts w:asciiTheme="majorBidi" w:hAnsiTheme="majorBidi" w:cstheme="majorBidi"/>
          <w:sz w:val="22"/>
          <w:szCs w:val="22"/>
        </w:rPr>
        <w:t xml:space="preserve">Marina, California, USA) loosely affixed to a mooring line near Kodiak, Alaska, USA. Detailed (4-minute resolution) magnetic field measurements are shown in </w:t>
      </w:r>
      <w:proofErr w:type="gramStart"/>
      <w:r w:rsidRPr="00C12927">
        <w:rPr>
          <w:rFonts w:asciiTheme="majorBidi" w:hAnsiTheme="majorBidi" w:cstheme="majorBidi"/>
          <w:sz w:val="22"/>
          <w:szCs w:val="22"/>
        </w:rPr>
        <w:t>black,</w:t>
      </w:r>
      <w:proofErr w:type="gramEnd"/>
      <w:r w:rsidRPr="00C12927">
        <w:rPr>
          <w:rFonts w:asciiTheme="majorBidi" w:hAnsiTheme="majorBidi" w:cstheme="majorBidi"/>
          <w:sz w:val="22"/>
          <w:szCs w:val="22"/>
        </w:rPr>
        <w:t xml:space="preserve"> and daily means are indicated by white circles. The dashed line indicates the mapped value at the mooring location and the gray box indicates the range in daily averages. A subset of detailed measurements where the tag is restricted to only one tag orientation is indicated by green lines.</w:t>
      </w:r>
    </w:p>
    <w:p w:rsidR="00103480" w:rsidRDefault="00103480" w:rsidP="00103480">
      <w:pPr>
        <w:rPr>
          <w:rFonts w:asciiTheme="majorBidi" w:hAnsiTheme="majorBidi" w:cstheme="majorBidi"/>
          <w:sz w:val="22"/>
          <w:szCs w:val="22"/>
        </w:rPr>
      </w:pPr>
      <w:r>
        <w:rPr>
          <w:rFonts w:asciiTheme="majorBidi" w:hAnsiTheme="majorBidi" w:cstheme="majorBidi"/>
          <w:sz w:val="22"/>
          <w:szCs w:val="22"/>
        </w:rPr>
        <w:br w:type="page"/>
      </w:r>
    </w:p>
    <w:p w:rsidR="00103480" w:rsidRPr="00C12927" w:rsidRDefault="00A45122" w:rsidP="00103480">
      <w:pPr>
        <w:spacing w:line="480" w:lineRule="auto"/>
        <w:rPr>
          <w:rFonts w:asciiTheme="majorBidi" w:hAnsiTheme="majorBidi" w:cstheme="majorBidi"/>
          <w:sz w:val="22"/>
          <w:szCs w:val="22"/>
        </w:rPr>
      </w:pPr>
      <w:r>
        <w:rPr>
          <w:rFonts w:asciiTheme="majorBidi" w:hAnsiTheme="majorBidi" w:cstheme="majorBidi"/>
          <w:noProof/>
          <w:sz w:val="22"/>
          <w:szCs w:val="22"/>
          <w:lang w:eastAsia="en-US"/>
        </w:rPr>
        <w:lastRenderedPageBreak/>
        <w:drawing>
          <wp:inline distT="0" distB="0" distL="0" distR="0">
            <wp:extent cx="5384260" cy="7179013"/>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tr_orient_rev.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391233" cy="7188310"/>
                    </a:xfrm>
                    <a:prstGeom prst="rect">
                      <a:avLst/>
                    </a:prstGeom>
                  </pic:spPr>
                </pic:pic>
              </a:graphicData>
            </a:graphic>
          </wp:inline>
        </w:drawing>
      </w:r>
    </w:p>
    <w:p w:rsidR="00103480" w:rsidRDefault="00103480" w:rsidP="00A45122">
      <w:pPr>
        <w:rPr>
          <w:rFonts w:asciiTheme="majorBidi" w:hAnsiTheme="majorBidi" w:cstheme="majorBidi"/>
          <w:sz w:val="22"/>
          <w:szCs w:val="22"/>
        </w:rPr>
      </w:pPr>
      <w:r w:rsidRPr="00C12927">
        <w:rPr>
          <w:rFonts w:asciiTheme="majorBidi" w:hAnsiTheme="majorBidi" w:cstheme="majorBidi"/>
          <w:sz w:val="22"/>
          <w:szCs w:val="22"/>
        </w:rPr>
        <w:t xml:space="preserve">Figure </w:t>
      </w:r>
      <w:r>
        <w:rPr>
          <w:rFonts w:asciiTheme="majorBidi" w:hAnsiTheme="majorBidi" w:cstheme="majorBidi"/>
          <w:sz w:val="22"/>
          <w:szCs w:val="22"/>
        </w:rPr>
        <w:t>2</w:t>
      </w:r>
      <w:r w:rsidRPr="00C12927">
        <w:rPr>
          <w:rFonts w:asciiTheme="majorBidi" w:hAnsiTheme="majorBidi" w:cstheme="majorBidi"/>
          <w:sz w:val="22"/>
          <w:szCs w:val="22"/>
        </w:rPr>
        <w:t xml:space="preserve">-3. Detailed total magnetic field strength measurements from the five stationary archival tags deployed in Glacier Bay, USA, on the long-term mooring (also shown in Figure 7 of the main text; black lines). Measurements when tag was restricted to only one orientation (Table </w:t>
      </w:r>
      <w:r w:rsidR="00FC30D6">
        <w:rPr>
          <w:rFonts w:asciiTheme="majorBidi" w:hAnsiTheme="majorBidi" w:cstheme="majorBidi"/>
          <w:sz w:val="22"/>
          <w:szCs w:val="22"/>
        </w:rPr>
        <w:t>2</w:t>
      </w:r>
      <w:r w:rsidRPr="00C12927">
        <w:rPr>
          <w:rFonts w:asciiTheme="majorBidi" w:hAnsiTheme="majorBidi" w:cstheme="majorBidi"/>
          <w:sz w:val="22"/>
          <w:szCs w:val="22"/>
        </w:rPr>
        <w:t xml:space="preserve">-1) are indicated by yellow lines. The change in magnetic field </w:t>
      </w:r>
      <w:r>
        <w:rPr>
          <w:rFonts w:asciiTheme="majorBidi" w:hAnsiTheme="majorBidi" w:cstheme="majorBidi"/>
          <w:sz w:val="22"/>
          <w:szCs w:val="22"/>
        </w:rPr>
        <w:t xml:space="preserve">values </w:t>
      </w:r>
      <w:r w:rsidRPr="00C12927">
        <w:rPr>
          <w:rFonts w:asciiTheme="majorBidi" w:hAnsiTheme="majorBidi" w:cstheme="majorBidi"/>
          <w:sz w:val="22"/>
          <w:szCs w:val="22"/>
        </w:rPr>
        <w:t>recorded by the near-by Sitk</w:t>
      </w:r>
      <w:r>
        <w:rPr>
          <w:rFonts w:asciiTheme="majorBidi" w:hAnsiTheme="majorBidi" w:cstheme="majorBidi"/>
          <w:sz w:val="22"/>
          <w:szCs w:val="22"/>
        </w:rPr>
        <w:t>a Magnetic Observatory (SMO) is</w:t>
      </w:r>
      <w:r w:rsidRPr="00C12927">
        <w:rPr>
          <w:rFonts w:asciiTheme="majorBidi" w:hAnsiTheme="majorBidi" w:cstheme="majorBidi"/>
          <w:sz w:val="22"/>
          <w:szCs w:val="22"/>
        </w:rPr>
        <w:t xml:space="preserve"> indicated by pink lines. </w:t>
      </w:r>
      <w:r>
        <w:rPr>
          <w:rFonts w:asciiTheme="majorBidi" w:hAnsiTheme="majorBidi" w:cstheme="majorBidi"/>
          <w:sz w:val="22"/>
          <w:szCs w:val="22"/>
        </w:rPr>
        <w:br w:type="page"/>
      </w:r>
    </w:p>
    <w:p w:rsidR="00103480" w:rsidRPr="00C12927" w:rsidRDefault="00103480" w:rsidP="00103480">
      <w:pPr>
        <w:spacing w:line="480" w:lineRule="auto"/>
        <w:rPr>
          <w:rFonts w:asciiTheme="majorBidi" w:hAnsiTheme="majorBidi" w:cstheme="majorBidi"/>
          <w:sz w:val="22"/>
          <w:szCs w:val="22"/>
        </w:rPr>
      </w:pPr>
      <w:r w:rsidRPr="00C12927">
        <w:rPr>
          <w:rFonts w:asciiTheme="majorBidi" w:hAnsiTheme="majorBidi" w:cstheme="majorBidi"/>
          <w:noProof/>
          <w:sz w:val="22"/>
          <w:szCs w:val="22"/>
          <w:lang w:eastAsia="en-US"/>
        </w:rPr>
        <w:lastRenderedPageBreak/>
        <w:drawing>
          <wp:inline distT="0" distB="0" distL="0" distR="0">
            <wp:extent cx="5943600" cy="545211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mp_mag_regression_DS.pdf"/>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5452110"/>
                    </a:xfrm>
                    <a:prstGeom prst="rect">
                      <a:avLst/>
                    </a:prstGeom>
                  </pic:spPr>
                </pic:pic>
              </a:graphicData>
            </a:graphic>
          </wp:inline>
        </w:drawing>
      </w:r>
    </w:p>
    <w:p w:rsidR="00103480" w:rsidRPr="00C12927" w:rsidRDefault="00103480" w:rsidP="00103480">
      <w:pPr>
        <w:spacing w:line="480" w:lineRule="auto"/>
        <w:rPr>
          <w:rFonts w:asciiTheme="majorBidi" w:hAnsiTheme="majorBidi" w:cstheme="majorBidi"/>
          <w:sz w:val="22"/>
          <w:szCs w:val="22"/>
        </w:rPr>
      </w:pPr>
    </w:p>
    <w:p w:rsidR="00103480" w:rsidRDefault="00103480" w:rsidP="00103480">
      <w:pPr>
        <w:spacing w:line="480" w:lineRule="auto"/>
        <w:rPr>
          <w:rFonts w:asciiTheme="majorBidi" w:hAnsiTheme="majorBidi" w:cstheme="majorBidi"/>
          <w:sz w:val="22"/>
          <w:szCs w:val="22"/>
        </w:rPr>
      </w:pPr>
    </w:p>
    <w:p w:rsidR="00103480" w:rsidRDefault="00103480" w:rsidP="00103480">
      <w:pPr>
        <w:spacing w:line="480" w:lineRule="auto"/>
        <w:rPr>
          <w:rFonts w:asciiTheme="majorBidi" w:hAnsiTheme="majorBidi" w:cstheme="majorBidi"/>
          <w:sz w:val="22"/>
          <w:szCs w:val="22"/>
        </w:rPr>
      </w:pPr>
    </w:p>
    <w:p w:rsidR="00103480" w:rsidRDefault="00103480" w:rsidP="00103480">
      <w:pPr>
        <w:spacing w:line="480" w:lineRule="auto"/>
        <w:rPr>
          <w:rFonts w:asciiTheme="majorBidi" w:hAnsiTheme="majorBidi" w:cstheme="majorBidi"/>
          <w:sz w:val="22"/>
          <w:szCs w:val="22"/>
        </w:rPr>
      </w:pPr>
    </w:p>
    <w:p w:rsidR="00103480" w:rsidRDefault="00103480" w:rsidP="00103480">
      <w:pPr>
        <w:rPr>
          <w:rFonts w:asciiTheme="majorBidi" w:hAnsiTheme="majorBidi" w:cstheme="majorBidi"/>
          <w:sz w:val="22"/>
          <w:szCs w:val="22"/>
        </w:rPr>
      </w:pPr>
    </w:p>
    <w:p w:rsidR="00103480" w:rsidRDefault="00103480" w:rsidP="00103480">
      <w:pPr>
        <w:rPr>
          <w:rFonts w:asciiTheme="majorBidi" w:hAnsiTheme="majorBidi" w:cstheme="majorBidi"/>
          <w:sz w:val="22"/>
          <w:szCs w:val="22"/>
        </w:rPr>
      </w:pPr>
    </w:p>
    <w:p w:rsidR="00103480" w:rsidRPr="002450AC" w:rsidRDefault="00103480" w:rsidP="00103480">
      <w:pPr>
        <w:rPr>
          <w:rFonts w:asciiTheme="majorBidi" w:hAnsiTheme="majorBidi" w:cstheme="majorBidi"/>
          <w:sz w:val="22"/>
          <w:szCs w:val="22"/>
        </w:rPr>
      </w:pPr>
      <w:r w:rsidRPr="00C12927">
        <w:rPr>
          <w:rFonts w:asciiTheme="majorBidi" w:hAnsiTheme="majorBidi" w:cstheme="majorBidi"/>
          <w:sz w:val="22"/>
          <w:szCs w:val="22"/>
        </w:rPr>
        <w:t xml:space="preserve">Figure </w:t>
      </w:r>
      <w:r>
        <w:rPr>
          <w:rFonts w:asciiTheme="majorBidi" w:hAnsiTheme="majorBidi" w:cstheme="majorBidi"/>
          <w:sz w:val="22"/>
          <w:szCs w:val="22"/>
        </w:rPr>
        <w:t>2</w:t>
      </w:r>
      <w:r w:rsidRPr="00C12927">
        <w:rPr>
          <w:rFonts w:asciiTheme="majorBidi" w:hAnsiTheme="majorBidi" w:cstheme="majorBidi"/>
          <w:sz w:val="22"/>
          <w:szCs w:val="22"/>
        </w:rPr>
        <w:t xml:space="preserve">-4. Relationship between change in temperature and change in measured magnetic field values for a Desert Star (Marina, California, USA) </w:t>
      </w:r>
      <w:proofErr w:type="spellStart"/>
      <w:r w:rsidRPr="00C12927">
        <w:rPr>
          <w:rFonts w:asciiTheme="majorBidi" w:hAnsiTheme="majorBidi" w:cstheme="majorBidi"/>
          <w:sz w:val="22"/>
          <w:szCs w:val="22"/>
        </w:rPr>
        <w:t>SeaTagMOD</w:t>
      </w:r>
      <w:proofErr w:type="spellEnd"/>
      <w:r w:rsidRPr="00C12927">
        <w:rPr>
          <w:rFonts w:asciiTheme="majorBidi" w:hAnsiTheme="majorBidi" w:cstheme="majorBidi"/>
          <w:sz w:val="22"/>
          <w:szCs w:val="22"/>
        </w:rPr>
        <w:t xml:space="preserve"> in stationary and low light conditions in Juneau, Alaska. Red line indicates linear model fitted slope of -24.0 </w:t>
      </w:r>
      <w:proofErr w:type="spellStart"/>
      <w:proofErr w:type="gramStart"/>
      <w:r w:rsidRPr="00C12927">
        <w:rPr>
          <w:rFonts w:asciiTheme="majorBidi" w:hAnsiTheme="majorBidi" w:cstheme="majorBidi"/>
          <w:sz w:val="22"/>
          <w:szCs w:val="22"/>
        </w:rPr>
        <w:t>nT</w:t>
      </w:r>
      <w:proofErr w:type="spellEnd"/>
      <w:proofErr w:type="gramEnd"/>
      <w:r w:rsidRPr="00C12927">
        <w:rPr>
          <w:rFonts w:asciiTheme="majorBidi" w:hAnsiTheme="majorBidi" w:cstheme="majorBidi"/>
          <w:sz w:val="22"/>
          <w:szCs w:val="22"/>
        </w:rPr>
        <w:t xml:space="preserve"> per </w:t>
      </w:r>
      <w:r w:rsidRPr="00C12927">
        <w:rPr>
          <w:rFonts w:asciiTheme="majorBidi" w:hAnsiTheme="majorBidi" w:cstheme="majorBidi"/>
          <w:sz w:val="22"/>
          <w:szCs w:val="22"/>
        </w:rPr>
        <w:sym w:font="Symbol" w:char="F0B0"/>
      </w:r>
      <w:r w:rsidRPr="00C12927">
        <w:rPr>
          <w:rFonts w:asciiTheme="majorBidi" w:hAnsiTheme="majorBidi" w:cstheme="majorBidi"/>
          <w:sz w:val="22"/>
          <w:szCs w:val="22"/>
        </w:rPr>
        <w:t>C (p&lt;2e16).</w:t>
      </w:r>
    </w:p>
    <w:p w:rsidR="00C844CE" w:rsidRPr="002B4112" w:rsidRDefault="00C844CE" w:rsidP="002B4112">
      <w:pPr>
        <w:rPr>
          <w:rFonts w:asciiTheme="majorBidi" w:hAnsiTheme="majorBidi" w:cstheme="majorBidi"/>
          <w:sz w:val="22"/>
          <w:szCs w:val="22"/>
        </w:rPr>
      </w:pPr>
    </w:p>
    <w:sectPr w:rsidR="00C844CE" w:rsidRPr="002B4112" w:rsidSect="00794ED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2975" w:rsidRDefault="00392975" w:rsidP="00103480">
      <w:r>
        <w:separator/>
      </w:r>
    </w:p>
  </w:endnote>
  <w:endnote w:type="continuationSeparator" w:id="0">
    <w:p w:rsidR="00392975" w:rsidRDefault="00392975" w:rsidP="001034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roid Sans Fallback">
    <w:altName w:val="Arial"/>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2975" w:rsidRDefault="00392975" w:rsidP="00103480">
      <w:r>
        <w:separator/>
      </w:r>
    </w:p>
  </w:footnote>
  <w:footnote w:type="continuationSeparator" w:id="0">
    <w:p w:rsidR="00392975" w:rsidRDefault="00392975" w:rsidP="001034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DF9CE3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0A5"/>
    <w:multiLevelType w:val="hybridMultilevel"/>
    <w:tmpl w:val="419A3E9E"/>
    <w:lvl w:ilvl="0" w:tplc="AF40BF44">
      <w:start w:val="1"/>
      <w:numFmt w:val="bullet"/>
      <w:lvlText w:val="•"/>
      <w:lvlJc w:val="left"/>
      <w:pPr>
        <w:tabs>
          <w:tab w:val="num" w:pos="720"/>
        </w:tabs>
        <w:ind w:left="720" w:hanging="360"/>
      </w:pPr>
      <w:rPr>
        <w:rFonts w:ascii="Arial" w:hAnsi="Arial" w:hint="default"/>
      </w:rPr>
    </w:lvl>
    <w:lvl w:ilvl="1" w:tplc="0686B2AE">
      <w:start w:val="2024"/>
      <w:numFmt w:val="bullet"/>
      <w:lvlText w:val="–"/>
      <w:lvlJc w:val="left"/>
      <w:pPr>
        <w:tabs>
          <w:tab w:val="num" w:pos="1440"/>
        </w:tabs>
        <w:ind w:left="1440" w:hanging="360"/>
      </w:pPr>
      <w:rPr>
        <w:rFonts w:ascii="Arial" w:hAnsi="Arial" w:hint="default"/>
      </w:rPr>
    </w:lvl>
    <w:lvl w:ilvl="2" w:tplc="6FF4599E">
      <w:start w:val="2024"/>
      <w:numFmt w:val="bullet"/>
      <w:lvlText w:val="•"/>
      <w:lvlJc w:val="left"/>
      <w:pPr>
        <w:tabs>
          <w:tab w:val="num" w:pos="2160"/>
        </w:tabs>
        <w:ind w:left="2160" w:hanging="360"/>
      </w:pPr>
      <w:rPr>
        <w:rFonts w:ascii="Arial" w:hAnsi="Arial" w:hint="default"/>
      </w:rPr>
    </w:lvl>
    <w:lvl w:ilvl="3" w:tplc="975A0036" w:tentative="1">
      <w:start w:val="1"/>
      <w:numFmt w:val="bullet"/>
      <w:lvlText w:val="•"/>
      <w:lvlJc w:val="left"/>
      <w:pPr>
        <w:tabs>
          <w:tab w:val="num" w:pos="2880"/>
        </w:tabs>
        <w:ind w:left="2880" w:hanging="360"/>
      </w:pPr>
      <w:rPr>
        <w:rFonts w:ascii="Arial" w:hAnsi="Arial" w:hint="default"/>
      </w:rPr>
    </w:lvl>
    <w:lvl w:ilvl="4" w:tplc="55C4AE56" w:tentative="1">
      <w:start w:val="1"/>
      <w:numFmt w:val="bullet"/>
      <w:lvlText w:val="•"/>
      <w:lvlJc w:val="left"/>
      <w:pPr>
        <w:tabs>
          <w:tab w:val="num" w:pos="3600"/>
        </w:tabs>
        <w:ind w:left="3600" w:hanging="360"/>
      </w:pPr>
      <w:rPr>
        <w:rFonts w:ascii="Arial" w:hAnsi="Arial" w:hint="default"/>
      </w:rPr>
    </w:lvl>
    <w:lvl w:ilvl="5" w:tplc="8536E15E" w:tentative="1">
      <w:start w:val="1"/>
      <w:numFmt w:val="bullet"/>
      <w:lvlText w:val="•"/>
      <w:lvlJc w:val="left"/>
      <w:pPr>
        <w:tabs>
          <w:tab w:val="num" w:pos="4320"/>
        </w:tabs>
        <w:ind w:left="4320" w:hanging="360"/>
      </w:pPr>
      <w:rPr>
        <w:rFonts w:ascii="Arial" w:hAnsi="Arial" w:hint="default"/>
      </w:rPr>
    </w:lvl>
    <w:lvl w:ilvl="6" w:tplc="693471CE" w:tentative="1">
      <w:start w:val="1"/>
      <w:numFmt w:val="bullet"/>
      <w:lvlText w:val="•"/>
      <w:lvlJc w:val="left"/>
      <w:pPr>
        <w:tabs>
          <w:tab w:val="num" w:pos="5040"/>
        </w:tabs>
        <w:ind w:left="5040" w:hanging="360"/>
      </w:pPr>
      <w:rPr>
        <w:rFonts w:ascii="Arial" w:hAnsi="Arial" w:hint="default"/>
      </w:rPr>
    </w:lvl>
    <w:lvl w:ilvl="7" w:tplc="63CCEB24" w:tentative="1">
      <w:start w:val="1"/>
      <w:numFmt w:val="bullet"/>
      <w:lvlText w:val="•"/>
      <w:lvlJc w:val="left"/>
      <w:pPr>
        <w:tabs>
          <w:tab w:val="num" w:pos="5760"/>
        </w:tabs>
        <w:ind w:left="5760" w:hanging="360"/>
      </w:pPr>
      <w:rPr>
        <w:rFonts w:ascii="Arial" w:hAnsi="Arial" w:hint="default"/>
      </w:rPr>
    </w:lvl>
    <w:lvl w:ilvl="8" w:tplc="759EA2F8" w:tentative="1">
      <w:start w:val="1"/>
      <w:numFmt w:val="bullet"/>
      <w:lvlText w:val="•"/>
      <w:lvlJc w:val="left"/>
      <w:pPr>
        <w:tabs>
          <w:tab w:val="num" w:pos="6480"/>
        </w:tabs>
        <w:ind w:left="6480" w:hanging="360"/>
      </w:pPr>
      <w:rPr>
        <w:rFonts w:ascii="Arial" w:hAnsi="Arial" w:hint="default"/>
      </w:rPr>
    </w:lvl>
  </w:abstractNum>
  <w:abstractNum w:abstractNumId="3">
    <w:nsid w:val="01C048ED"/>
    <w:multiLevelType w:val="hybridMultilevel"/>
    <w:tmpl w:val="14183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806774"/>
    <w:multiLevelType w:val="hybridMultilevel"/>
    <w:tmpl w:val="593017F0"/>
    <w:lvl w:ilvl="0" w:tplc="CB60C1AC">
      <w:start w:val="1"/>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C411DF"/>
    <w:multiLevelType w:val="hybridMultilevel"/>
    <w:tmpl w:val="A8902688"/>
    <w:lvl w:ilvl="0" w:tplc="3D5C7F1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617364"/>
    <w:multiLevelType w:val="hybridMultilevel"/>
    <w:tmpl w:val="0140302A"/>
    <w:lvl w:ilvl="0" w:tplc="8E18D6B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6B56D8D"/>
    <w:multiLevelType w:val="hybridMultilevel"/>
    <w:tmpl w:val="05C6EA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7DD5C29"/>
    <w:multiLevelType w:val="hybridMultilevel"/>
    <w:tmpl w:val="BE4E4A9C"/>
    <w:lvl w:ilvl="0" w:tplc="5E5EA30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99C46B5"/>
    <w:multiLevelType w:val="hybridMultilevel"/>
    <w:tmpl w:val="A27E4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605071"/>
    <w:multiLevelType w:val="multilevel"/>
    <w:tmpl w:val="93F23A0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nsid w:val="148869AA"/>
    <w:multiLevelType w:val="hybridMultilevel"/>
    <w:tmpl w:val="2460FB7C"/>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AA36B5"/>
    <w:multiLevelType w:val="hybridMultilevel"/>
    <w:tmpl w:val="2C2029EE"/>
    <w:lvl w:ilvl="0" w:tplc="AA84F54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5A629F"/>
    <w:multiLevelType w:val="hybridMultilevel"/>
    <w:tmpl w:val="6F0A4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6B5982"/>
    <w:multiLevelType w:val="hybridMultilevel"/>
    <w:tmpl w:val="D914795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10B5A9A"/>
    <w:multiLevelType w:val="hybridMultilevel"/>
    <w:tmpl w:val="D40203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23160C3"/>
    <w:multiLevelType w:val="hybridMultilevel"/>
    <w:tmpl w:val="CAB2A094"/>
    <w:lvl w:ilvl="0" w:tplc="2B4ED3CC">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015BC8"/>
    <w:multiLevelType w:val="hybridMultilevel"/>
    <w:tmpl w:val="8F0438D4"/>
    <w:lvl w:ilvl="0" w:tplc="6DFE1BFE">
      <w:start w:val="1"/>
      <w:numFmt w:val="bullet"/>
      <w:lvlText w:val="•"/>
      <w:lvlJc w:val="left"/>
      <w:pPr>
        <w:tabs>
          <w:tab w:val="num" w:pos="720"/>
        </w:tabs>
        <w:ind w:left="720" w:hanging="360"/>
      </w:pPr>
      <w:rPr>
        <w:rFonts w:ascii="Arial" w:hAnsi="Arial" w:hint="default"/>
      </w:rPr>
    </w:lvl>
    <w:lvl w:ilvl="1" w:tplc="41829AD6">
      <w:start w:val="2024"/>
      <w:numFmt w:val="bullet"/>
      <w:lvlText w:val="–"/>
      <w:lvlJc w:val="left"/>
      <w:pPr>
        <w:tabs>
          <w:tab w:val="num" w:pos="1440"/>
        </w:tabs>
        <w:ind w:left="1440" w:hanging="360"/>
      </w:pPr>
      <w:rPr>
        <w:rFonts w:ascii="Arial" w:hAnsi="Arial" w:hint="default"/>
      </w:rPr>
    </w:lvl>
    <w:lvl w:ilvl="2" w:tplc="994A2874">
      <w:start w:val="2024"/>
      <w:numFmt w:val="bullet"/>
      <w:lvlText w:val="•"/>
      <w:lvlJc w:val="left"/>
      <w:pPr>
        <w:tabs>
          <w:tab w:val="num" w:pos="2160"/>
        </w:tabs>
        <w:ind w:left="2160" w:hanging="360"/>
      </w:pPr>
      <w:rPr>
        <w:rFonts w:ascii="Arial" w:hAnsi="Arial" w:hint="default"/>
      </w:rPr>
    </w:lvl>
    <w:lvl w:ilvl="3" w:tplc="5D109628" w:tentative="1">
      <w:start w:val="1"/>
      <w:numFmt w:val="bullet"/>
      <w:lvlText w:val="•"/>
      <w:lvlJc w:val="left"/>
      <w:pPr>
        <w:tabs>
          <w:tab w:val="num" w:pos="2880"/>
        </w:tabs>
        <w:ind w:left="2880" w:hanging="360"/>
      </w:pPr>
      <w:rPr>
        <w:rFonts w:ascii="Arial" w:hAnsi="Arial" w:hint="default"/>
      </w:rPr>
    </w:lvl>
    <w:lvl w:ilvl="4" w:tplc="E3140864" w:tentative="1">
      <w:start w:val="1"/>
      <w:numFmt w:val="bullet"/>
      <w:lvlText w:val="•"/>
      <w:lvlJc w:val="left"/>
      <w:pPr>
        <w:tabs>
          <w:tab w:val="num" w:pos="3600"/>
        </w:tabs>
        <w:ind w:left="3600" w:hanging="360"/>
      </w:pPr>
      <w:rPr>
        <w:rFonts w:ascii="Arial" w:hAnsi="Arial" w:hint="default"/>
      </w:rPr>
    </w:lvl>
    <w:lvl w:ilvl="5" w:tplc="38CA1152" w:tentative="1">
      <w:start w:val="1"/>
      <w:numFmt w:val="bullet"/>
      <w:lvlText w:val="•"/>
      <w:lvlJc w:val="left"/>
      <w:pPr>
        <w:tabs>
          <w:tab w:val="num" w:pos="4320"/>
        </w:tabs>
        <w:ind w:left="4320" w:hanging="360"/>
      </w:pPr>
      <w:rPr>
        <w:rFonts w:ascii="Arial" w:hAnsi="Arial" w:hint="default"/>
      </w:rPr>
    </w:lvl>
    <w:lvl w:ilvl="6" w:tplc="D38C53E0" w:tentative="1">
      <w:start w:val="1"/>
      <w:numFmt w:val="bullet"/>
      <w:lvlText w:val="•"/>
      <w:lvlJc w:val="left"/>
      <w:pPr>
        <w:tabs>
          <w:tab w:val="num" w:pos="5040"/>
        </w:tabs>
        <w:ind w:left="5040" w:hanging="360"/>
      </w:pPr>
      <w:rPr>
        <w:rFonts w:ascii="Arial" w:hAnsi="Arial" w:hint="default"/>
      </w:rPr>
    </w:lvl>
    <w:lvl w:ilvl="7" w:tplc="2FB8294E" w:tentative="1">
      <w:start w:val="1"/>
      <w:numFmt w:val="bullet"/>
      <w:lvlText w:val="•"/>
      <w:lvlJc w:val="left"/>
      <w:pPr>
        <w:tabs>
          <w:tab w:val="num" w:pos="5760"/>
        </w:tabs>
        <w:ind w:left="5760" w:hanging="360"/>
      </w:pPr>
      <w:rPr>
        <w:rFonts w:ascii="Arial" w:hAnsi="Arial" w:hint="default"/>
      </w:rPr>
    </w:lvl>
    <w:lvl w:ilvl="8" w:tplc="1EBA2686" w:tentative="1">
      <w:start w:val="1"/>
      <w:numFmt w:val="bullet"/>
      <w:lvlText w:val="•"/>
      <w:lvlJc w:val="left"/>
      <w:pPr>
        <w:tabs>
          <w:tab w:val="num" w:pos="6480"/>
        </w:tabs>
        <w:ind w:left="6480" w:hanging="360"/>
      </w:pPr>
      <w:rPr>
        <w:rFonts w:ascii="Arial" w:hAnsi="Arial" w:hint="default"/>
      </w:rPr>
    </w:lvl>
  </w:abstractNum>
  <w:abstractNum w:abstractNumId="18">
    <w:nsid w:val="27E82ADB"/>
    <w:multiLevelType w:val="hybridMultilevel"/>
    <w:tmpl w:val="A49A50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05D2180"/>
    <w:multiLevelType w:val="hybridMultilevel"/>
    <w:tmpl w:val="B040FA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0B85292"/>
    <w:multiLevelType w:val="hybridMultilevel"/>
    <w:tmpl w:val="DE0C0F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39A6703"/>
    <w:multiLevelType w:val="hybridMultilevel"/>
    <w:tmpl w:val="A0CA0BBC"/>
    <w:lvl w:ilvl="0" w:tplc="FBCE98E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88A38BC"/>
    <w:multiLevelType w:val="hybridMultilevel"/>
    <w:tmpl w:val="7834E908"/>
    <w:lvl w:ilvl="0" w:tplc="C1AC7A3E">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8A9595C"/>
    <w:multiLevelType w:val="hybridMultilevel"/>
    <w:tmpl w:val="6428C026"/>
    <w:lvl w:ilvl="0" w:tplc="C1AC7A3E">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AC556F9"/>
    <w:multiLevelType w:val="hybridMultilevel"/>
    <w:tmpl w:val="8B12A7DA"/>
    <w:lvl w:ilvl="0" w:tplc="F268004A">
      <w:start w:val="2"/>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5">
    <w:nsid w:val="3C651E94"/>
    <w:multiLevelType w:val="hybridMultilevel"/>
    <w:tmpl w:val="7F16CE9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ED41EF7"/>
    <w:multiLevelType w:val="hybridMultilevel"/>
    <w:tmpl w:val="F5BAA8C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F9D3D44"/>
    <w:multiLevelType w:val="hybridMultilevel"/>
    <w:tmpl w:val="662068AE"/>
    <w:lvl w:ilvl="0" w:tplc="B4D24E40">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12437B9"/>
    <w:multiLevelType w:val="hybridMultilevel"/>
    <w:tmpl w:val="89A2883A"/>
    <w:lvl w:ilvl="0" w:tplc="22D2527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16333B0"/>
    <w:multiLevelType w:val="hybridMultilevel"/>
    <w:tmpl w:val="A42813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2F43E92"/>
    <w:multiLevelType w:val="hybridMultilevel"/>
    <w:tmpl w:val="70EEE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86874F1"/>
    <w:multiLevelType w:val="hybridMultilevel"/>
    <w:tmpl w:val="47C84284"/>
    <w:lvl w:ilvl="0" w:tplc="08169896">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88E44B6"/>
    <w:multiLevelType w:val="hybridMultilevel"/>
    <w:tmpl w:val="37949FCA"/>
    <w:lvl w:ilvl="0" w:tplc="5D8A015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A740F0C"/>
    <w:multiLevelType w:val="hybridMultilevel"/>
    <w:tmpl w:val="CED669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4E9608E2"/>
    <w:multiLevelType w:val="hybridMultilevel"/>
    <w:tmpl w:val="82C8CAC4"/>
    <w:lvl w:ilvl="0" w:tplc="FB7EC21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24D1516"/>
    <w:multiLevelType w:val="hybridMultilevel"/>
    <w:tmpl w:val="DA0CA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56D0816"/>
    <w:multiLevelType w:val="hybridMultilevel"/>
    <w:tmpl w:val="0B38AECC"/>
    <w:lvl w:ilvl="0" w:tplc="68480EFE">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4314C93A">
      <w:start w:val="3"/>
      <w:numFmt w:val="bullet"/>
      <w:lvlText w:val="-"/>
      <w:lvlJc w:val="left"/>
      <w:pPr>
        <w:ind w:left="2880" w:hanging="360"/>
      </w:pPr>
      <w:rPr>
        <w:rFonts w:ascii="Calibri" w:eastAsia="Calibri" w:hAnsi="Calibri"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7FC3834"/>
    <w:multiLevelType w:val="hybridMultilevel"/>
    <w:tmpl w:val="BF582C9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D746B6F"/>
    <w:multiLevelType w:val="hybridMultilevel"/>
    <w:tmpl w:val="D8503524"/>
    <w:lvl w:ilvl="0" w:tplc="E49CF28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CA382A"/>
    <w:multiLevelType w:val="hybridMultilevel"/>
    <w:tmpl w:val="915C07A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30E523A"/>
    <w:multiLevelType w:val="hybridMultilevel"/>
    <w:tmpl w:val="676E49B2"/>
    <w:lvl w:ilvl="0" w:tplc="76B69338">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4B9691D"/>
    <w:multiLevelType w:val="hybridMultilevel"/>
    <w:tmpl w:val="07768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A434BBF"/>
    <w:multiLevelType w:val="hybridMultilevel"/>
    <w:tmpl w:val="46C0AD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6E197F68"/>
    <w:multiLevelType w:val="hybridMultilevel"/>
    <w:tmpl w:val="07BC2EC4"/>
    <w:lvl w:ilvl="0" w:tplc="F022F6AE">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F1D0729"/>
    <w:multiLevelType w:val="hybridMultilevel"/>
    <w:tmpl w:val="54DA943E"/>
    <w:lvl w:ilvl="0" w:tplc="F06293B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C662E55"/>
    <w:multiLevelType w:val="hybridMultilevel"/>
    <w:tmpl w:val="83BE8A12"/>
    <w:lvl w:ilvl="0" w:tplc="461063A8">
      <w:start w:val="1"/>
      <w:numFmt w:val="bullet"/>
      <w:lvlText w:val="•"/>
      <w:lvlJc w:val="left"/>
      <w:pPr>
        <w:tabs>
          <w:tab w:val="num" w:pos="720"/>
        </w:tabs>
        <w:ind w:left="720" w:hanging="360"/>
      </w:pPr>
      <w:rPr>
        <w:rFonts w:ascii="Arial" w:hAnsi="Arial" w:hint="default"/>
      </w:rPr>
    </w:lvl>
    <w:lvl w:ilvl="1" w:tplc="8DD0C62A" w:tentative="1">
      <w:start w:val="1"/>
      <w:numFmt w:val="bullet"/>
      <w:lvlText w:val="•"/>
      <w:lvlJc w:val="left"/>
      <w:pPr>
        <w:tabs>
          <w:tab w:val="num" w:pos="1440"/>
        </w:tabs>
        <w:ind w:left="1440" w:hanging="360"/>
      </w:pPr>
      <w:rPr>
        <w:rFonts w:ascii="Arial" w:hAnsi="Arial" w:hint="default"/>
      </w:rPr>
    </w:lvl>
    <w:lvl w:ilvl="2" w:tplc="B65687D6" w:tentative="1">
      <w:start w:val="1"/>
      <w:numFmt w:val="bullet"/>
      <w:lvlText w:val="•"/>
      <w:lvlJc w:val="left"/>
      <w:pPr>
        <w:tabs>
          <w:tab w:val="num" w:pos="2160"/>
        </w:tabs>
        <w:ind w:left="2160" w:hanging="360"/>
      </w:pPr>
      <w:rPr>
        <w:rFonts w:ascii="Arial" w:hAnsi="Arial" w:hint="default"/>
      </w:rPr>
    </w:lvl>
    <w:lvl w:ilvl="3" w:tplc="83886530" w:tentative="1">
      <w:start w:val="1"/>
      <w:numFmt w:val="bullet"/>
      <w:lvlText w:val="•"/>
      <w:lvlJc w:val="left"/>
      <w:pPr>
        <w:tabs>
          <w:tab w:val="num" w:pos="2880"/>
        </w:tabs>
        <w:ind w:left="2880" w:hanging="360"/>
      </w:pPr>
      <w:rPr>
        <w:rFonts w:ascii="Arial" w:hAnsi="Arial" w:hint="default"/>
      </w:rPr>
    </w:lvl>
    <w:lvl w:ilvl="4" w:tplc="76E4952A" w:tentative="1">
      <w:start w:val="1"/>
      <w:numFmt w:val="bullet"/>
      <w:lvlText w:val="•"/>
      <w:lvlJc w:val="left"/>
      <w:pPr>
        <w:tabs>
          <w:tab w:val="num" w:pos="3600"/>
        </w:tabs>
        <w:ind w:left="3600" w:hanging="360"/>
      </w:pPr>
      <w:rPr>
        <w:rFonts w:ascii="Arial" w:hAnsi="Arial" w:hint="default"/>
      </w:rPr>
    </w:lvl>
    <w:lvl w:ilvl="5" w:tplc="E1D6668C" w:tentative="1">
      <w:start w:val="1"/>
      <w:numFmt w:val="bullet"/>
      <w:lvlText w:val="•"/>
      <w:lvlJc w:val="left"/>
      <w:pPr>
        <w:tabs>
          <w:tab w:val="num" w:pos="4320"/>
        </w:tabs>
        <w:ind w:left="4320" w:hanging="360"/>
      </w:pPr>
      <w:rPr>
        <w:rFonts w:ascii="Arial" w:hAnsi="Arial" w:hint="default"/>
      </w:rPr>
    </w:lvl>
    <w:lvl w:ilvl="6" w:tplc="61B6FEEC" w:tentative="1">
      <w:start w:val="1"/>
      <w:numFmt w:val="bullet"/>
      <w:lvlText w:val="•"/>
      <w:lvlJc w:val="left"/>
      <w:pPr>
        <w:tabs>
          <w:tab w:val="num" w:pos="5040"/>
        </w:tabs>
        <w:ind w:left="5040" w:hanging="360"/>
      </w:pPr>
      <w:rPr>
        <w:rFonts w:ascii="Arial" w:hAnsi="Arial" w:hint="default"/>
      </w:rPr>
    </w:lvl>
    <w:lvl w:ilvl="7" w:tplc="3EEA2416" w:tentative="1">
      <w:start w:val="1"/>
      <w:numFmt w:val="bullet"/>
      <w:lvlText w:val="•"/>
      <w:lvlJc w:val="left"/>
      <w:pPr>
        <w:tabs>
          <w:tab w:val="num" w:pos="5760"/>
        </w:tabs>
        <w:ind w:left="5760" w:hanging="360"/>
      </w:pPr>
      <w:rPr>
        <w:rFonts w:ascii="Arial" w:hAnsi="Arial" w:hint="default"/>
      </w:rPr>
    </w:lvl>
    <w:lvl w:ilvl="8" w:tplc="E134178C" w:tentative="1">
      <w:start w:val="1"/>
      <w:numFmt w:val="bullet"/>
      <w:lvlText w:val="•"/>
      <w:lvlJc w:val="left"/>
      <w:pPr>
        <w:tabs>
          <w:tab w:val="num" w:pos="6480"/>
        </w:tabs>
        <w:ind w:left="6480" w:hanging="360"/>
      </w:pPr>
      <w:rPr>
        <w:rFonts w:ascii="Arial" w:hAnsi="Arial" w:hint="default"/>
      </w:rPr>
    </w:lvl>
  </w:abstractNum>
  <w:abstractNum w:abstractNumId="46">
    <w:nsid w:val="7C970687"/>
    <w:multiLevelType w:val="hybridMultilevel"/>
    <w:tmpl w:val="089483F6"/>
    <w:lvl w:ilvl="0" w:tplc="2918086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EA318B4"/>
    <w:multiLevelType w:val="hybridMultilevel"/>
    <w:tmpl w:val="8398F48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F094DB2"/>
    <w:multiLevelType w:val="hybridMultilevel"/>
    <w:tmpl w:val="E5C68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5"/>
  </w:num>
  <w:num w:numId="3">
    <w:abstractNumId w:val="26"/>
  </w:num>
  <w:num w:numId="4">
    <w:abstractNumId w:val="14"/>
  </w:num>
  <w:num w:numId="5">
    <w:abstractNumId w:val="20"/>
  </w:num>
  <w:num w:numId="6">
    <w:abstractNumId w:val="37"/>
  </w:num>
  <w:num w:numId="7">
    <w:abstractNumId w:val="47"/>
  </w:num>
  <w:num w:numId="8">
    <w:abstractNumId w:val="7"/>
  </w:num>
  <w:num w:numId="9">
    <w:abstractNumId w:val="24"/>
  </w:num>
  <w:num w:numId="10">
    <w:abstractNumId w:val="15"/>
  </w:num>
  <w:num w:numId="11">
    <w:abstractNumId w:val="18"/>
  </w:num>
  <w:num w:numId="12">
    <w:abstractNumId w:val="33"/>
  </w:num>
  <w:num w:numId="13">
    <w:abstractNumId w:val="44"/>
  </w:num>
  <w:num w:numId="14">
    <w:abstractNumId w:val="13"/>
  </w:num>
  <w:num w:numId="15">
    <w:abstractNumId w:val="3"/>
  </w:num>
  <w:num w:numId="16">
    <w:abstractNumId w:val="35"/>
  </w:num>
  <w:num w:numId="17">
    <w:abstractNumId w:val="17"/>
  </w:num>
  <w:num w:numId="18">
    <w:abstractNumId w:val="45"/>
  </w:num>
  <w:num w:numId="19">
    <w:abstractNumId w:val="2"/>
  </w:num>
  <w:num w:numId="20">
    <w:abstractNumId w:val="48"/>
  </w:num>
  <w:num w:numId="21">
    <w:abstractNumId w:val="39"/>
  </w:num>
  <w:num w:numId="22">
    <w:abstractNumId w:val="6"/>
  </w:num>
  <w:num w:numId="23">
    <w:abstractNumId w:val="5"/>
  </w:num>
  <w:num w:numId="24">
    <w:abstractNumId w:val="22"/>
  </w:num>
  <w:num w:numId="25">
    <w:abstractNumId w:val="23"/>
  </w:num>
  <w:num w:numId="26">
    <w:abstractNumId w:val="12"/>
  </w:num>
  <w:num w:numId="27">
    <w:abstractNumId w:val="32"/>
  </w:num>
  <w:num w:numId="28">
    <w:abstractNumId w:val="38"/>
  </w:num>
  <w:num w:numId="29">
    <w:abstractNumId w:val="1"/>
  </w:num>
  <w:num w:numId="30">
    <w:abstractNumId w:val="36"/>
  </w:num>
  <w:num w:numId="31">
    <w:abstractNumId w:val="21"/>
  </w:num>
  <w:num w:numId="32">
    <w:abstractNumId w:val="0"/>
  </w:num>
  <w:num w:numId="33">
    <w:abstractNumId w:val="34"/>
  </w:num>
  <w:num w:numId="34">
    <w:abstractNumId w:val="31"/>
  </w:num>
  <w:num w:numId="35">
    <w:abstractNumId w:val="9"/>
  </w:num>
  <w:num w:numId="36">
    <w:abstractNumId w:val="28"/>
  </w:num>
  <w:num w:numId="37">
    <w:abstractNumId w:val="8"/>
  </w:num>
  <w:num w:numId="38">
    <w:abstractNumId w:val="29"/>
  </w:num>
  <w:num w:numId="39">
    <w:abstractNumId w:val="41"/>
  </w:num>
  <w:num w:numId="40">
    <w:abstractNumId w:val="30"/>
  </w:num>
  <w:num w:numId="41">
    <w:abstractNumId w:val="4"/>
  </w:num>
  <w:num w:numId="42">
    <w:abstractNumId w:val="16"/>
  </w:num>
  <w:num w:numId="43">
    <w:abstractNumId w:val="27"/>
  </w:num>
  <w:num w:numId="44">
    <w:abstractNumId w:val="46"/>
  </w:num>
  <w:num w:numId="45">
    <w:abstractNumId w:val="43"/>
  </w:num>
  <w:num w:numId="46">
    <w:abstractNumId w:val="40"/>
  </w:num>
  <w:num w:numId="47">
    <w:abstractNumId w:val="10"/>
  </w:num>
  <w:num w:numId="48">
    <w:abstractNumId w:val="19"/>
  </w:num>
  <w:num w:numId="49">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Ecological Modelling&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ewf5p9rh2eaxpewfaupz0drdwwx2dv09de2&quot;&gt;UAF_SFOS&lt;record-ids&gt;&lt;item&gt;1699&lt;/item&gt;&lt;/record-ids&gt;&lt;/item&gt;&lt;/Libraries&gt;"/>
  </w:docVars>
  <w:rsids>
    <w:rsidRoot w:val="00103480"/>
    <w:rsid w:val="00001E7E"/>
    <w:rsid w:val="00042002"/>
    <w:rsid w:val="00103480"/>
    <w:rsid w:val="001A208D"/>
    <w:rsid w:val="001F6896"/>
    <w:rsid w:val="002028B7"/>
    <w:rsid w:val="00292A75"/>
    <w:rsid w:val="002A2942"/>
    <w:rsid w:val="002B003C"/>
    <w:rsid w:val="002B4112"/>
    <w:rsid w:val="002C7080"/>
    <w:rsid w:val="00327A52"/>
    <w:rsid w:val="00392975"/>
    <w:rsid w:val="0040004D"/>
    <w:rsid w:val="00436C34"/>
    <w:rsid w:val="006203C5"/>
    <w:rsid w:val="007416F8"/>
    <w:rsid w:val="00794EDC"/>
    <w:rsid w:val="008233EC"/>
    <w:rsid w:val="00824139"/>
    <w:rsid w:val="008A5A67"/>
    <w:rsid w:val="008D3237"/>
    <w:rsid w:val="008F66EC"/>
    <w:rsid w:val="00904FEE"/>
    <w:rsid w:val="009F46C9"/>
    <w:rsid w:val="00A45122"/>
    <w:rsid w:val="00AB715C"/>
    <w:rsid w:val="00B372B2"/>
    <w:rsid w:val="00B92560"/>
    <w:rsid w:val="00BF42CF"/>
    <w:rsid w:val="00C844CE"/>
    <w:rsid w:val="00CC57A8"/>
    <w:rsid w:val="00D17689"/>
    <w:rsid w:val="00E44016"/>
    <w:rsid w:val="00F1771D"/>
    <w:rsid w:val="00FA0F9D"/>
    <w:rsid w:val="00FC30D6"/>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480"/>
    <w:pPr>
      <w:spacing w:after="0" w:line="240" w:lineRule="auto"/>
    </w:pPr>
    <w:rPr>
      <w:rFonts w:eastAsiaTheme="minorEastAsia"/>
      <w:sz w:val="24"/>
      <w:szCs w:val="24"/>
      <w:lang w:eastAsia="zh-CN"/>
    </w:rPr>
  </w:style>
  <w:style w:type="paragraph" w:styleId="Heading1">
    <w:name w:val="heading 1"/>
    <w:basedOn w:val="Normal"/>
    <w:next w:val="Normal"/>
    <w:link w:val="Heading1Char"/>
    <w:qFormat/>
    <w:rsid w:val="00103480"/>
    <w:pPr>
      <w:keepNext/>
      <w:suppressAutoHyphens/>
      <w:spacing w:before="240" w:after="240"/>
      <w:ind w:firstLine="720"/>
      <w:outlineLvl w:val="0"/>
    </w:pPr>
    <w:rPr>
      <w:rFonts w:ascii="Arial" w:eastAsia="Droid Sans Fallback" w:hAnsi="Arial" w:cs="FreeSans"/>
      <w:b/>
      <w:color w:val="00000A"/>
      <w:sz w:val="32"/>
      <w:szCs w:val="28"/>
      <w:lang w:eastAsia="en-US"/>
    </w:rPr>
  </w:style>
  <w:style w:type="paragraph" w:styleId="Heading2">
    <w:name w:val="heading 2"/>
    <w:basedOn w:val="Normal"/>
    <w:next w:val="Normal"/>
    <w:link w:val="Heading2Char"/>
    <w:qFormat/>
    <w:rsid w:val="00103480"/>
    <w:pPr>
      <w:keepNext/>
      <w:suppressAutoHyphens/>
      <w:spacing w:before="240" w:after="100"/>
      <w:ind w:firstLine="720"/>
      <w:outlineLvl w:val="1"/>
    </w:pPr>
    <w:rPr>
      <w:rFonts w:ascii="Arial" w:eastAsia="Droid Sans Fallback" w:hAnsi="Arial" w:cs="FreeSans"/>
      <w:b/>
      <w:color w:val="00000A"/>
      <w:sz w:val="26"/>
      <w:szCs w:val="28"/>
      <w:lang w:eastAsia="en-US"/>
    </w:rPr>
  </w:style>
  <w:style w:type="paragraph" w:styleId="Heading3">
    <w:name w:val="heading 3"/>
    <w:basedOn w:val="Normal"/>
    <w:next w:val="Normal"/>
    <w:link w:val="Heading3Char"/>
    <w:qFormat/>
    <w:rsid w:val="00103480"/>
    <w:pPr>
      <w:keepNext/>
      <w:suppressAutoHyphens/>
      <w:spacing w:before="240" w:after="40"/>
      <w:ind w:firstLine="720"/>
      <w:outlineLvl w:val="2"/>
    </w:pPr>
    <w:rPr>
      <w:rFonts w:ascii="Liberation Sans" w:eastAsia="Droid Sans Fallback" w:hAnsi="Liberation Sans" w:cs="FreeSans"/>
      <w:b/>
      <w:color w:val="00000A"/>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3480"/>
    <w:rPr>
      <w:rFonts w:ascii="Arial" w:eastAsia="Droid Sans Fallback" w:hAnsi="Arial" w:cs="FreeSans"/>
      <w:b/>
      <w:color w:val="00000A"/>
      <w:sz w:val="32"/>
      <w:szCs w:val="28"/>
    </w:rPr>
  </w:style>
  <w:style w:type="character" w:customStyle="1" w:styleId="Heading2Char">
    <w:name w:val="Heading 2 Char"/>
    <w:basedOn w:val="DefaultParagraphFont"/>
    <w:link w:val="Heading2"/>
    <w:rsid w:val="00103480"/>
    <w:rPr>
      <w:rFonts w:ascii="Arial" w:eastAsia="Droid Sans Fallback" w:hAnsi="Arial" w:cs="FreeSans"/>
      <w:b/>
      <w:color w:val="00000A"/>
      <w:sz w:val="26"/>
      <w:szCs w:val="28"/>
    </w:rPr>
  </w:style>
  <w:style w:type="character" w:customStyle="1" w:styleId="Heading3Char">
    <w:name w:val="Heading 3 Char"/>
    <w:basedOn w:val="DefaultParagraphFont"/>
    <w:link w:val="Heading3"/>
    <w:rsid w:val="00103480"/>
    <w:rPr>
      <w:rFonts w:ascii="Liberation Sans" w:eastAsia="Droid Sans Fallback" w:hAnsi="Liberation Sans" w:cs="FreeSans"/>
      <w:b/>
      <w:color w:val="00000A"/>
      <w:sz w:val="24"/>
      <w:szCs w:val="28"/>
    </w:rPr>
  </w:style>
  <w:style w:type="paragraph" w:styleId="Date">
    <w:name w:val="Date"/>
    <w:basedOn w:val="Normal"/>
    <w:next w:val="Normal"/>
    <w:link w:val="DateChar"/>
    <w:uiPriority w:val="99"/>
    <w:semiHidden/>
    <w:unhideWhenUsed/>
    <w:rsid w:val="00103480"/>
  </w:style>
  <w:style w:type="character" w:customStyle="1" w:styleId="DateChar">
    <w:name w:val="Date Char"/>
    <w:basedOn w:val="DefaultParagraphFont"/>
    <w:link w:val="Date"/>
    <w:uiPriority w:val="99"/>
    <w:semiHidden/>
    <w:rsid w:val="00103480"/>
    <w:rPr>
      <w:rFonts w:eastAsiaTheme="minorEastAsia"/>
      <w:sz w:val="24"/>
      <w:szCs w:val="24"/>
      <w:lang w:eastAsia="zh-CN"/>
    </w:rPr>
  </w:style>
  <w:style w:type="paragraph" w:styleId="Footer">
    <w:name w:val="footer"/>
    <w:basedOn w:val="Normal"/>
    <w:link w:val="FooterChar"/>
    <w:uiPriority w:val="99"/>
    <w:unhideWhenUsed/>
    <w:rsid w:val="00103480"/>
    <w:pPr>
      <w:tabs>
        <w:tab w:val="center" w:pos="4680"/>
        <w:tab w:val="right" w:pos="9360"/>
      </w:tabs>
    </w:pPr>
  </w:style>
  <w:style w:type="character" w:customStyle="1" w:styleId="FooterChar">
    <w:name w:val="Footer Char"/>
    <w:basedOn w:val="DefaultParagraphFont"/>
    <w:link w:val="Footer"/>
    <w:uiPriority w:val="99"/>
    <w:rsid w:val="00103480"/>
    <w:rPr>
      <w:rFonts w:eastAsiaTheme="minorEastAsia"/>
      <w:sz w:val="24"/>
      <w:szCs w:val="24"/>
      <w:lang w:eastAsia="zh-CN"/>
    </w:rPr>
  </w:style>
  <w:style w:type="character" w:styleId="PageNumber">
    <w:name w:val="page number"/>
    <w:basedOn w:val="DefaultParagraphFont"/>
    <w:uiPriority w:val="99"/>
    <w:unhideWhenUsed/>
    <w:rsid w:val="00103480"/>
  </w:style>
  <w:style w:type="paragraph" w:styleId="Header">
    <w:name w:val="header"/>
    <w:basedOn w:val="Normal"/>
    <w:link w:val="HeaderChar"/>
    <w:uiPriority w:val="99"/>
    <w:unhideWhenUsed/>
    <w:rsid w:val="00103480"/>
    <w:pPr>
      <w:tabs>
        <w:tab w:val="center" w:pos="4680"/>
        <w:tab w:val="right" w:pos="9360"/>
      </w:tabs>
    </w:pPr>
  </w:style>
  <w:style w:type="character" w:customStyle="1" w:styleId="HeaderChar">
    <w:name w:val="Header Char"/>
    <w:basedOn w:val="DefaultParagraphFont"/>
    <w:link w:val="Header"/>
    <w:uiPriority w:val="99"/>
    <w:rsid w:val="00103480"/>
    <w:rPr>
      <w:rFonts w:eastAsiaTheme="minorEastAsia"/>
      <w:sz w:val="24"/>
      <w:szCs w:val="24"/>
      <w:lang w:eastAsia="zh-CN"/>
    </w:rPr>
  </w:style>
  <w:style w:type="character" w:styleId="Strong">
    <w:name w:val="Strong"/>
    <w:qFormat/>
    <w:rsid w:val="00103480"/>
    <w:rPr>
      <w:b/>
      <w:bCs/>
    </w:rPr>
  </w:style>
  <w:style w:type="character" w:styleId="Emphasis">
    <w:name w:val="Emphasis"/>
    <w:basedOn w:val="DefaultParagraphFont"/>
    <w:uiPriority w:val="20"/>
    <w:qFormat/>
    <w:rsid w:val="00103480"/>
    <w:rPr>
      <w:i/>
      <w:iCs/>
    </w:rPr>
  </w:style>
  <w:style w:type="paragraph" w:styleId="NormalWeb">
    <w:name w:val="Normal (Web)"/>
    <w:basedOn w:val="Normal"/>
    <w:uiPriority w:val="99"/>
    <w:unhideWhenUsed/>
    <w:rsid w:val="00103480"/>
    <w:pPr>
      <w:spacing w:before="100" w:beforeAutospacing="1" w:after="100" w:afterAutospacing="1"/>
    </w:pPr>
    <w:rPr>
      <w:rFonts w:ascii="Times New Roman" w:eastAsia="Times New Roman" w:hAnsi="Times New Roman" w:cs="Times New Roman"/>
      <w:lang w:eastAsia="en-US"/>
    </w:rPr>
  </w:style>
  <w:style w:type="paragraph" w:styleId="BalloonText">
    <w:name w:val="Balloon Text"/>
    <w:basedOn w:val="Normal"/>
    <w:link w:val="BalloonTextChar"/>
    <w:uiPriority w:val="99"/>
    <w:unhideWhenUsed/>
    <w:rsid w:val="00103480"/>
    <w:pPr>
      <w:suppressAutoHyphens/>
      <w:ind w:firstLine="720"/>
      <w:jc w:val="both"/>
    </w:pPr>
    <w:rPr>
      <w:rFonts w:ascii="Tahoma" w:eastAsia="Times New Roman" w:hAnsi="Tahoma" w:cs="Tahoma"/>
      <w:color w:val="00000A"/>
      <w:sz w:val="16"/>
      <w:szCs w:val="16"/>
      <w:lang w:eastAsia="en-US"/>
    </w:rPr>
  </w:style>
  <w:style w:type="character" w:customStyle="1" w:styleId="BalloonTextChar">
    <w:name w:val="Balloon Text Char"/>
    <w:basedOn w:val="DefaultParagraphFont"/>
    <w:link w:val="BalloonText"/>
    <w:uiPriority w:val="99"/>
    <w:rsid w:val="00103480"/>
    <w:rPr>
      <w:rFonts w:ascii="Tahoma" w:eastAsia="Times New Roman" w:hAnsi="Tahoma" w:cs="Tahoma"/>
      <w:color w:val="00000A"/>
      <w:sz w:val="16"/>
      <w:szCs w:val="16"/>
    </w:rPr>
  </w:style>
  <w:style w:type="character" w:styleId="CommentReference">
    <w:name w:val="annotation reference"/>
    <w:basedOn w:val="DefaultParagraphFont"/>
    <w:uiPriority w:val="99"/>
    <w:unhideWhenUsed/>
    <w:rsid w:val="00103480"/>
    <w:rPr>
      <w:sz w:val="16"/>
      <w:szCs w:val="16"/>
    </w:rPr>
  </w:style>
  <w:style w:type="paragraph" w:styleId="CommentText">
    <w:name w:val="annotation text"/>
    <w:basedOn w:val="Normal"/>
    <w:link w:val="CommentTextChar"/>
    <w:uiPriority w:val="99"/>
    <w:unhideWhenUsed/>
    <w:rsid w:val="00103480"/>
    <w:pPr>
      <w:suppressAutoHyphens/>
      <w:ind w:firstLine="720"/>
      <w:jc w:val="both"/>
    </w:pPr>
    <w:rPr>
      <w:rFonts w:ascii="Times New Roman" w:eastAsia="Times New Roman" w:hAnsi="Times New Roman" w:cs="Times New Roman"/>
      <w:color w:val="00000A"/>
      <w:sz w:val="20"/>
      <w:szCs w:val="20"/>
      <w:lang w:eastAsia="en-US"/>
    </w:rPr>
  </w:style>
  <w:style w:type="character" w:customStyle="1" w:styleId="CommentTextChar">
    <w:name w:val="Comment Text Char"/>
    <w:basedOn w:val="DefaultParagraphFont"/>
    <w:link w:val="CommentText"/>
    <w:uiPriority w:val="99"/>
    <w:rsid w:val="00103480"/>
    <w:rPr>
      <w:rFonts w:ascii="Times New Roman" w:eastAsia="Times New Roman" w:hAnsi="Times New Roman" w:cs="Times New Roman"/>
      <w:color w:val="00000A"/>
      <w:sz w:val="20"/>
      <w:szCs w:val="20"/>
    </w:rPr>
  </w:style>
  <w:style w:type="paragraph" w:styleId="CommentSubject">
    <w:name w:val="annotation subject"/>
    <w:basedOn w:val="CommentText"/>
    <w:next w:val="CommentText"/>
    <w:link w:val="CommentSubjectChar"/>
    <w:uiPriority w:val="99"/>
    <w:unhideWhenUsed/>
    <w:rsid w:val="00103480"/>
    <w:rPr>
      <w:b/>
      <w:bCs/>
    </w:rPr>
  </w:style>
  <w:style w:type="character" w:customStyle="1" w:styleId="CommentSubjectChar">
    <w:name w:val="Comment Subject Char"/>
    <w:basedOn w:val="CommentTextChar"/>
    <w:link w:val="CommentSubject"/>
    <w:uiPriority w:val="99"/>
    <w:rsid w:val="00103480"/>
    <w:rPr>
      <w:rFonts w:ascii="Times New Roman" w:eastAsia="Times New Roman" w:hAnsi="Times New Roman" w:cs="Times New Roman"/>
      <w:b/>
      <w:bCs/>
      <w:color w:val="00000A"/>
      <w:sz w:val="20"/>
      <w:szCs w:val="20"/>
    </w:rPr>
  </w:style>
  <w:style w:type="paragraph" w:customStyle="1" w:styleId="EndNoteBibliographyTitle">
    <w:name w:val="EndNote Bibliography Title"/>
    <w:basedOn w:val="Normal"/>
    <w:link w:val="EndNoteBibliographyTitleChar"/>
    <w:rsid w:val="00103480"/>
    <w:pPr>
      <w:suppressAutoHyphens/>
      <w:ind w:firstLine="720"/>
      <w:jc w:val="center"/>
    </w:pPr>
    <w:rPr>
      <w:rFonts w:ascii="Times New Roman" w:eastAsia="Times New Roman" w:hAnsi="Times New Roman" w:cs="Times New Roman"/>
      <w:color w:val="00000A"/>
      <w:sz w:val="22"/>
      <w:szCs w:val="20"/>
      <w:lang w:eastAsia="en-US"/>
    </w:rPr>
  </w:style>
  <w:style w:type="paragraph" w:customStyle="1" w:styleId="EndNoteBibliography">
    <w:name w:val="EndNote Bibliography"/>
    <w:basedOn w:val="Normal"/>
    <w:link w:val="EndNoteBibliographyChar"/>
    <w:rsid w:val="00103480"/>
    <w:pPr>
      <w:suppressAutoHyphens/>
      <w:ind w:firstLine="720"/>
      <w:jc w:val="both"/>
    </w:pPr>
    <w:rPr>
      <w:rFonts w:ascii="Times New Roman" w:eastAsia="Times New Roman" w:hAnsi="Times New Roman" w:cs="Times New Roman"/>
      <w:color w:val="00000A"/>
      <w:sz w:val="22"/>
      <w:szCs w:val="20"/>
      <w:lang w:eastAsia="en-US"/>
    </w:rPr>
  </w:style>
  <w:style w:type="character" w:styleId="Hyperlink">
    <w:name w:val="Hyperlink"/>
    <w:basedOn w:val="DefaultParagraphFont"/>
    <w:uiPriority w:val="99"/>
    <w:unhideWhenUsed/>
    <w:rsid w:val="00103480"/>
    <w:rPr>
      <w:color w:val="0000FF" w:themeColor="hyperlink"/>
      <w:u w:val="single"/>
    </w:rPr>
  </w:style>
  <w:style w:type="paragraph" w:styleId="ListParagraph">
    <w:name w:val="List Paragraph"/>
    <w:basedOn w:val="Normal"/>
    <w:link w:val="ListParagraphChar"/>
    <w:uiPriority w:val="34"/>
    <w:qFormat/>
    <w:rsid w:val="00103480"/>
    <w:pPr>
      <w:suppressAutoHyphens/>
      <w:ind w:left="720" w:firstLine="720"/>
      <w:contextualSpacing/>
      <w:jc w:val="both"/>
    </w:pPr>
    <w:rPr>
      <w:rFonts w:ascii="Times New Roman" w:eastAsia="Times New Roman" w:hAnsi="Times New Roman" w:cs="Times New Roman"/>
      <w:color w:val="00000A"/>
      <w:szCs w:val="20"/>
      <w:lang w:eastAsia="en-US"/>
    </w:rPr>
  </w:style>
  <w:style w:type="character" w:styleId="LineNumber">
    <w:name w:val="line number"/>
    <w:basedOn w:val="DefaultParagraphFont"/>
    <w:uiPriority w:val="99"/>
    <w:unhideWhenUsed/>
    <w:rsid w:val="00103480"/>
  </w:style>
  <w:style w:type="paragraph" w:styleId="FootnoteText">
    <w:name w:val="footnote text"/>
    <w:basedOn w:val="Normal"/>
    <w:link w:val="FootnoteTextChar"/>
    <w:uiPriority w:val="99"/>
    <w:semiHidden/>
    <w:unhideWhenUsed/>
    <w:rsid w:val="00103480"/>
    <w:pPr>
      <w:suppressAutoHyphens/>
      <w:ind w:firstLine="720"/>
      <w:jc w:val="both"/>
    </w:pPr>
    <w:rPr>
      <w:rFonts w:ascii="Times New Roman" w:eastAsia="Times New Roman" w:hAnsi="Times New Roman" w:cs="Times New Roman"/>
      <w:color w:val="00000A"/>
      <w:sz w:val="20"/>
      <w:szCs w:val="20"/>
      <w:lang w:eastAsia="en-US"/>
    </w:rPr>
  </w:style>
  <w:style w:type="character" w:customStyle="1" w:styleId="FootnoteTextChar">
    <w:name w:val="Footnote Text Char"/>
    <w:basedOn w:val="DefaultParagraphFont"/>
    <w:link w:val="FootnoteText"/>
    <w:uiPriority w:val="99"/>
    <w:semiHidden/>
    <w:rsid w:val="00103480"/>
    <w:rPr>
      <w:rFonts w:ascii="Times New Roman" w:eastAsia="Times New Roman" w:hAnsi="Times New Roman" w:cs="Times New Roman"/>
      <w:color w:val="00000A"/>
      <w:sz w:val="20"/>
      <w:szCs w:val="20"/>
    </w:rPr>
  </w:style>
  <w:style w:type="character" w:styleId="FootnoteReference">
    <w:name w:val="footnote reference"/>
    <w:basedOn w:val="DefaultParagraphFont"/>
    <w:uiPriority w:val="99"/>
    <w:semiHidden/>
    <w:unhideWhenUsed/>
    <w:rsid w:val="00103480"/>
    <w:rPr>
      <w:vertAlign w:val="superscript"/>
    </w:rPr>
  </w:style>
  <w:style w:type="paragraph" w:customStyle="1" w:styleId="abbreviations">
    <w:name w:val="abbreviations"/>
    <w:basedOn w:val="abstract"/>
    <w:next w:val="Normal"/>
    <w:rsid w:val="00103480"/>
  </w:style>
  <w:style w:type="paragraph" w:customStyle="1" w:styleId="Title1">
    <w:name w:val="Title1"/>
    <w:basedOn w:val="Normal"/>
    <w:next w:val="author"/>
    <w:rsid w:val="00103480"/>
    <w:pPr>
      <w:overflowPunct w:val="0"/>
      <w:autoSpaceDE w:val="0"/>
      <w:autoSpaceDN w:val="0"/>
      <w:adjustRightInd w:val="0"/>
      <w:spacing w:line="360" w:lineRule="auto"/>
      <w:textAlignment w:val="baseline"/>
    </w:pPr>
    <w:rPr>
      <w:rFonts w:ascii="Arial" w:eastAsia="Times New Roman" w:hAnsi="Arial" w:cs="Times New Roman"/>
      <w:b/>
      <w:sz w:val="36"/>
      <w:szCs w:val="20"/>
      <w:lang w:eastAsia="de-DE"/>
    </w:rPr>
  </w:style>
  <w:style w:type="paragraph" w:customStyle="1" w:styleId="heading10">
    <w:name w:val="heading1"/>
    <w:basedOn w:val="Normal"/>
    <w:next w:val="Normal"/>
    <w:rsid w:val="00103480"/>
    <w:pPr>
      <w:keepNext/>
      <w:overflowPunct w:val="0"/>
      <w:autoSpaceDE w:val="0"/>
      <w:autoSpaceDN w:val="0"/>
      <w:adjustRightInd w:val="0"/>
      <w:spacing w:before="240" w:after="180" w:line="360" w:lineRule="auto"/>
      <w:textAlignment w:val="baseline"/>
    </w:pPr>
    <w:rPr>
      <w:rFonts w:ascii="Arial" w:eastAsia="Times New Roman" w:hAnsi="Arial" w:cs="Times New Roman"/>
      <w:b/>
      <w:sz w:val="32"/>
      <w:szCs w:val="20"/>
      <w:lang w:eastAsia="de-DE"/>
    </w:rPr>
  </w:style>
  <w:style w:type="paragraph" w:customStyle="1" w:styleId="heading20">
    <w:name w:val="heading2"/>
    <w:basedOn w:val="Normal"/>
    <w:next w:val="Normal"/>
    <w:rsid w:val="00103480"/>
    <w:pPr>
      <w:keepNext/>
      <w:overflowPunct w:val="0"/>
      <w:autoSpaceDE w:val="0"/>
      <w:autoSpaceDN w:val="0"/>
      <w:adjustRightInd w:val="0"/>
      <w:spacing w:before="240" w:after="180" w:line="360" w:lineRule="auto"/>
      <w:textAlignment w:val="baseline"/>
    </w:pPr>
    <w:rPr>
      <w:rFonts w:ascii="Arial" w:eastAsia="Times New Roman" w:hAnsi="Arial" w:cs="Times New Roman"/>
      <w:b/>
      <w:szCs w:val="20"/>
      <w:lang w:eastAsia="de-DE"/>
    </w:rPr>
  </w:style>
  <w:style w:type="paragraph" w:customStyle="1" w:styleId="heading30">
    <w:name w:val="heading3"/>
    <w:basedOn w:val="Normal"/>
    <w:next w:val="Normal"/>
    <w:link w:val="heading3Char0"/>
    <w:rsid w:val="00103480"/>
    <w:pPr>
      <w:keepNext/>
      <w:overflowPunct w:val="0"/>
      <w:autoSpaceDE w:val="0"/>
      <w:autoSpaceDN w:val="0"/>
      <w:adjustRightInd w:val="0"/>
      <w:spacing w:before="240" w:after="180" w:line="360" w:lineRule="auto"/>
      <w:textAlignment w:val="baseline"/>
    </w:pPr>
    <w:rPr>
      <w:rFonts w:ascii="Arial" w:eastAsia="Times New Roman" w:hAnsi="Arial" w:cs="Times New Roman"/>
      <w:i/>
      <w:szCs w:val="20"/>
      <w:lang w:eastAsia="de-DE"/>
    </w:rPr>
  </w:style>
  <w:style w:type="paragraph" w:customStyle="1" w:styleId="run-in">
    <w:name w:val="run-in"/>
    <w:basedOn w:val="Normal"/>
    <w:next w:val="Normal"/>
    <w:rsid w:val="00103480"/>
    <w:pPr>
      <w:keepNext/>
      <w:overflowPunct w:val="0"/>
      <w:autoSpaceDE w:val="0"/>
      <w:autoSpaceDN w:val="0"/>
      <w:adjustRightInd w:val="0"/>
      <w:spacing w:before="120" w:line="360" w:lineRule="auto"/>
      <w:textAlignment w:val="baseline"/>
    </w:pPr>
    <w:rPr>
      <w:rFonts w:ascii="Times New Roman" w:eastAsia="Times New Roman" w:hAnsi="Times New Roman" w:cs="Times New Roman"/>
      <w:b/>
      <w:szCs w:val="20"/>
      <w:lang w:eastAsia="de-DE"/>
    </w:rPr>
  </w:style>
  <w:style w:type="paragraph" w:customStyle="1" w:styleId="figurecitation">
    <w:name w:val="figurecitation"/>
    <w:basedOn w:val="Normal"/>
    <w:rsid w:val="00103480"/>
    <w:pPr>
      <w:pBdr>
        <w:top w:val="single" w:sz="8" w:space="1" w:color="auto"/>
        <w:left w:val="single" w:sz="8" w:space="4" w:color="auto"/>
        <w:bottom w:val="single" w:sz="8" w:space="1" w:color="auto"/>
        <w:right w:val="single" w:sz="8" w:space="4" w:color="auto"/>
      </w:pBdr>
      <w:overflowPunct w:val="0"/>
      <w:autoSpaceDE w:val="0"/>
      <w:autoSpaceDN w:val="0"/>
      <w:adjustRightInd w:val="0"/>
      <w:spacing w:line="360" w:lineRule="auto"/>
      <w:textAlignment w:val="baseline"/>
    </w:pPr>
    <w:rPr>
      <w:rFonts w:ascii="Arial" w:eastAsia="Times New Roman" w:hAnsi="Arial" w:cs="Times New Roman"/>
      <w:b/>
      <w:sz w:val="36"/>
      <w:szCs w:val="20"/>
      <w:lang w:eastAsia="de-DE"/>
    </w:rPr>
  </w:style>
  <w:style w:type="paragraph" w:customStyle="1" w:styleId="acknowledgements">
    <w:name w:val="acknowledgements"/>
    <w:basedOn w:val="abstract"/>
    <w:next w:val="Normal"/>
    <w:rsid w:val="00103480"/>
  </w:style>
  <w:style w:type="paragraph" w:customStyle="1" w:styleId="author">
    <w:name w:val="author"/>
    <w:basedOn w:val="Normal"/>
    <w:next w:val="affiliation"/>
    <w:rsid w:val="00103480"/>
    <w:pPr>
      <w:overflowPunct w:val="0"/>
      <w:autoSpaceDE w:val="0"/>
      <w:autoSpaceDN w:val="0"/>
      <w:adjustRightInd w:val="0"/>
      <w:spacing w:before="120" w:line="360" w:lineRule="auto"/>
      <w:textAlignment w:val="baseline"/>
    </w:pPr>
    <w:rPr>
      <w:rFonts w:ascii="Times New Roman" w:eastAsia="Times New Roman" w:hAnsi="Times New Roman" w:cs="Times New Roman"/>
      <w:szCs w:val="20"/>
      <w:lang w:eastAsia="de-DE"/>
    </w:rPr>
  </w:style>
  <w:style w:type="paragraph" w:customStyle="1" w:styleId="affiliation">
    <w:name w:val="affiliation"/>
    <w:basedOn w:val="Normal"/>
    <w:next w:val="phone"/>
    <w:rsid w:val="00103480"/>
    <w:pPr>
      <w:overflowPunct w:val="0"/>
      <w:autoSpaceDE w:val="0"/>
      <w:autoSpaceDN w:val="0"/>
      <w:adjustRightInd w:val="0"/>
      <w:spacing w:before="120"/>
      <w:textAlignment w:val="baseline"/>
    </w:pPr>
    <w:rPr>
      <w:rFonts w:ascii="Times New Roman" w:eastAsia="Times New Roman" w:hAnsi="Times New Roman" w:cs="Times New Roman"/>
      <w:i/>
      <w:szCs w:val="20"/>
      <w:lang w:eastAsia="de-DE"/>
    </w:rPr>
  </w:style>
  <w:style w:type="paragraph" w:customStyle="1" w:styleId="email">
    <w:name w:val="email"/>
    <w:basedOn w:val="Normal"/>
    <w:next w:val="url"/>
    <w:rsid w:val="00103480"/>
    <w:pPr>
      <w:overflowPunct w:val="0"/>
      <w:autoSpaceDE w:val="0"/>
      <w:autoSpaceDN w:val="0"/>
      <w:adjustRightInd w:val="0"/>
      <w:spacing w:before="120"/>
      <w:textAlignment w:val="baseline"/>
    </w:pPr>
    <w:rPr>
      <w:rFonts w:ascii="Times New Roman" w:eastAsia="Times New Roman" w:hAnsi="Times New Roman" w:cs="Times New Roman"/>
      <w:sz w:val="20"/>
      <w:szCs w:val="20"/>
      <w:lang w:eastAsia="de-DE"/>
    </w:rPr>
  </w:style>
  <w:style w:type="paragraph" w:customStyle="1" w:styleId="phone">
    <w:name w:val="phone"/>
    <w:basedOn w:val="email"/>
    <w:next w:val="fax"/>
    <w:rsid w:val="00103480"/>
  </w:style>
  <w:style w:type="paragraph" w:customStyle="1" w:styleId="fax">
    <w:name w:val="fax"/>
    <w:basedOn w:val="email"/>
    <w:next w:val="email"/>
    <w:rsid w:val="00103480"/>
  </w:style>
  <w:style w:type="paragraph" w:customStyle="1" w:styleId="abstract">
    <w:name w:val="abstract"/>
    <w:basedOn w:val="Normal"/>
    <w:next w:val="keywords"/>
    <w:rsid w:val="00103480"/>
    <w:pPr>
      <w:overflowPunct w:val="0"/>
      <w:autoSpaceDE w:val="0"/>
      <w:autoSpaceDN w:val="0"/>
      <w:adjustRightInd w:val="0"/>
      <w:spacing w:before="120" w:line="360" w:lineRule="auto"/>
      <w:textAlignment w:val="baseline"/>
    </w:pPr>
    <w:rPr>
      <w:rFonts w:ascii="Times New Roman" w:eastAsia="Times New Roman" w:hAnsi="Times New Roman" w:cs="Times New Roman"/>
      <w:sz w:val="20"/>
      <w:szCs w:val="20"/>
      <w:lang w:eastAsia="de-DE"/>
    </w:rPr>
  </w:style>
  <w:style w:type="paragraph" w:customStyle="1" w:styleId="keywords">
    <w:name w:val="keywords"/>
    <w:basedOn w:val="Normal"/>
    <w:next w:val="Normal"/>
    <w:rsid w:val="00103480"/>
    <w:pPr>
      <w:overflowPunct w:val="0"/>
      <w:autoSpaceDE w:val="0"/>
      <w:autoSpaceDN w:val="0"/>
      <w:adjustRightInd w:val="0"/>
      <w:spacing w:before="120" w:line="360" w:lineRule="auto"/>
      <w:textAlignment w:val="baseline"/>
    </w:pPr>
    <w:rPr>
      <w:rFonts w:ascii="Times New Roman" w:eastAsia="Times New Roman" w:hAnsi="Times New Roman" w:cs="Times New Roman"/>
      <w:i/>
      <w:szCs w:val="20"/>
      <w:lang w:eastAsia="de-DE"/>
    </w:rPr>
  </w:style>
  <w:style w:type="paragraph" w:customStyle="1" w:styleId="extraaddress">
    <w:name w:val="extraaddress"/>
    <w:basedOn w:val="email"/>
    <w:rsid w:val="00103480"/>
  </w:style>
  <w:style w:type="paragraph" w:customStyle="1" w:styleId="reference">
    <w:name w:val="reference"/>
    <w:basedOn w:val="Normal"/>
    <w:rsid w:val="00103480"/>
    <w:pPr>
      <w:overflowPunct w:val="0"/>
      <w:autoSpaceDE w:val="0"/>
      <w:autoSpaceDN w:val="0"/>
      <w:adjustRightInd w:val="0"/>
      <w:spacing w:line="360" w:lineRule="auto"/>
      <w:textAlignment w:val="baseline"/>
    </w:pPr>
    <w:rPr>
      <w:rFonts w:ascii="Times New Roman" w:eastAsia="Times New Roman" w:hAnsi="Times New Roman" w:cs="Times New Roman"/>
      <w:sz w:val="20"/>
      <w:szCs w:val="20"/>
      <w:lang w:eastAsia="de-DE"/>
    </w:rPr>
  </w:style>
  <w:style w:type="paragraph" w:customStyle="1" w:styleId="equation">
    <w:name w:val="equation"/>
    <w:basedOn w:val="Normal"/>
    <w:next w:val="Normal"/>
    <w:rsid w:val="00103480"/>
    <w:pPr>
      <w:overflowPunct w:val="0"/>
      <w:autoSpaceDE w:val="0"/>
      <w:autoSpaceDN w:val="0"/>
      <w:adjustRightInd w:val="0"/>
      <w:spacing w:before="120" w:after="120" w:line="360" w:lineRule="auto"/>
      <w:jc w:val="center"/>
      <w:textAlignment w:val="baseline"/>
    </w:pPr>
    <w:rPr>
      <w:rFonts w:ascii="Times New Roman" w:eastAsia="Times New Roman" w:hAnsi="Times New Roman" w:cs="Times New Roman"/>
      <w:szCs w:val="20"/>
      <w:lang w:eastAsia="de-DE"/>
    </w:rPr>
  </w:style>
  <w:style w:type="paragraph" w:customStyle="1" w:styleId="articlenote">
    <w:name w:val="articlenote"/>
    <w:basedOn w:val="Normal"/>
    <w:next w:val="Normal"/>
    <w:rsid w:val="00103480"/>
    <w:pPr>
      <w:overflowPunct w:val="0"/>
      <w:autoSpaceDE w:val="0"/>
      <w:autoSpaceDN w:val="0"/>
      <w:adjustRightInd w:val="0"/>
      <w:textAlignment w:val="baseline"/>
    </w:pPr>
    <w:rPr>
      <w:rFonts w:ascii="Times New Roman" w:eastAsia="Times New Roman" w:hAnsi="Times New Roman" w:cs="Times New Roman"/>
      <w:sz w:val="22"/>
      <w:szCs w:val="20"/>
      <w:lang w:eastAsia="de-DE"/>
    </w:rPr>
  </w:style>
  <w:style w:type="paragraph" w:customStyle="1" w:styleId="figlegend">
    <w:name w:val="figlegend"/>
    <w:basedOn w:val="Normal"/>
    <w:next w:val="Normal"/>
    <w:rsid w:val="00103480"/>
    <w:pPr>
      <w:overflowPunct w:val="0"/>
      <w:autoSpaceDE w:val="0"/>
      <w:autoSpaceDN w:val="0"/>
      <w:adjustRightInd w:val="0"/>
      <w:spacing w:before="120" w:line="360" w:lineRule="auto"/>
      <w:textAlignment w:val="baseline"/>
    </w:pPr>
    <w:rPr>
      <w:rFonts w:ascii="Times New Roman" w:eastAsia="Times New Roman" w:hAnsi="Times New Roman" w:cs="Times New Roman"/>
      <w:sz w:val="20"/>
      <w:szCs w:val="20"/>
      <w:lang w:eastAsia="de-DE"/>
    </w:rPr>
  </w:style>
  <w:style w:type="paragraph" w:customStyle="1" w:styleId="tablelegend">
    <w:name w:val="tablelegend"/>
    <w:basedOn w:val="Normal"/>
    <w:next w:val="Normal"/>
    <w:rsid w:val="00103480"/>
    <w:pPr>
      <w:overflowPunct w:val="0"/>
      <w:autoSpaceDE w:val="0"/>
      <w:autoSpaceDN w:val="0"/>
      <w:adjustRightInd w:val="0"/>
      <w:spacing w:before="120" w:line="360" w:lineRule="auto"/>
      <w:textAlignment w:val="baseline"/>
    </w:pPr>
    <w:rPr>
      <w:rFonts w:ascii="Times New Roman" w:eastAsia="Times New Roman" w:hAnsi="Times New Roman" w:cs="Times New Roman"/>
      <w:sz w:val="20"/>
      <w:szCs w:val="20"/>
      <w:lang w:eastAsia="de-DE"/>
    </w:rPr>
  </w:style>
  <w:style w:type="paragraph" w:customStyle="1" w:styleId="url">
    <w:name w:val="url"/>
    <w:basedOn w:val="email"/>
    <w:next w:val="Normal"/>
    <w:rsid w:val="00103480"/>
  </w:style>
  <w:style w:type="paragraph" w:styleId="BodyText">
    <w:name w:val="Body Text"/>
    <w:basedOn w:val="Normal"/>
    <w:link w:val="BodyTextChar"/>
    <w:rsid w:val="00103480"/>
    <w:pPr>
      <w:spacing w:line="480" w:lineRule="atLeast"/>
    </w:pPr>
    <w:rPr>
      <w:rFonts w:ascii="Times New Roman" w:eastAsia="Times New Roman" w:hAnsi="Times New Roman" w:cs="Times New Roman"/>
      <w:szCs w:val="20"/>
      <w:lang w:eastAsia="en-US"/>
    </w:rPr>
  </w:style>
  <w:style w:type="character" w:customStyle="1" w:styleId="BodyTextChar">
    <w:name w:val="Body Text Char"/>
    <w:basedOn w:val="DefaultParagraphFont"/>
    <w:link w:val="BodyText"/>
    <w:rsid w:val="00103480"/>
    <w:rPr>
      <w:rFonts w:ascii="Times New Roman" w:eastAsia="Times New Roman" w:hAnsi="Times New Roman" w:cs="Times New Roman"/>
      <w:sz w:val="24"/>
      <w:szCs w:val="20"/>
    </w:rPr>
  </w:style>
  <w:style w:type="table" w:styleId="TableGrid">
    <w:name w:val="Table Grid"/>
    <w:basedOn w:val="TableNormal"/>
    <w:uiPriority w:val="39"/>
    <w:rsid w:val="00103480"/>
    <w:pPr>
      <w:spacing w:after="0" w:line="240" w:lineRule="auto"/>
    </w:pPr>
    <w:rPr>
      <w:rFonts w:ascii="Times New Roman" w:eastAsia="Times New Roman" w:hAnsi="Times New Roman" w:cs="Times New Roman"/>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0">
    <w:name w:val="heading3 Char"/>
    <w:link w:val="heading30"/>
    <w:rsid w:val="00103480"/>
    <w:rPr>
      <w:rFonts w:ascii="Arial" w:eastAsia="Times New Roman" w:hAnsi="Arial" w:cs="Times New Roman"/>
      <w:i/>
      <w:sz w:val="24"/>
      <w:szCs w:val="20"/>
      <w:lang w:eastAsia="de-DE"/>
    </w:rPr>
  </w:style>
  <w:style w:type="paragraph" w:styleId="Revision">
    <w:name w:val="Revision"/>
    <w:hidden/>
    <w:uiPriority w:val="99"/>
    <w:semiHidden/>
    <w:rsid w:val="00103480"/>
    <w:pPr>
      <w:spacing w:after="0" w:line="240" w:lineRule="auto"/>
    </w:pPr>
    <w:rPr>
      <w:rFonts w:ascii="Times New Roman" w:eastAsia="Times New Roman" w:hAnsi="Times New Roman" w:cs="Times New Roman"/>
      <w:sz w:val="24"/>
      <w:szCs w:val="20"/>
      <w:lang w:eastAsia="de-DE"/>
    </w:rPr>
  </w:style>
  <w:style w:type="paragraph" w:customStyle="1" w:styleId="ColorfulShading-Accent11">
    <w:name w:val="Colorful Shading - Accent 11"/>
    <w:hidden/>
    <w:uiPriority w:val="99"/>
    <w:semiHidden/>
    <w:rsid w:val="00103480"/>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rsid w:val="00103480"/>
    <w:rPr>
      <w:rFonts w:ascii="Times New Roman" w:eastAsia="Times New Roman" w:hAnsi="Times New Roman" w:cs="Times New Roman"/>
      <w:sz w:val="20"/>
      <w:szCs w:val="20"/>
      <w:lang w:eastAsia="en-US"/>
    </w:rPr>
  </w:style>
  <w:style w:type="character" w:customStyle="1" w:styleId="EndnoteTextChar">
    <w:name w:val="Endnote Text Char"/>
    <w:basedOn w:val="DefaultParagraphFont"/>
    <w:link w:val="EndnoteText"/>
    <w:rsid w:val="00103480"/>
    <w:rPr>
      <w:rFonts w:ascii="Times New Roman" w:eastAsia="Times New Roman" w:hAnsi="Times New Roman" w:cs="Times New Roman"/>
      <w:sz w:val="20"/>
      <w:szCs w:val="20"/>
    </w:rPr>
  </w:style>
  <w:style w:type="character" w:styleId="EndnoteReference">
    <w:name w:val="endnote reference"/>
    <w:rsid w:val="00103480"/>
    <w:rPr>
      <w:vertAlign w:val="superscript"/>
    </w:rPr>
  </w:style>
  <w:style w:type="character" w:customStyle="1" w:styleId="EndNoteBibliographyTitleChar">
    <w:name w:val="EndNote Bibliography Title Char"/>
    <w:link w:val="EndNoteBibliographyTitle"/>
    <w:rsid w:val="00103480"/>
    <w:rPr>
      <w:rFonts w:ascii="Times New Roman" w:eastAsia="Times New Roman" w:hAnsi="Times New Roman" w:cs="Times New Roman"/>
      <w:color w:val="00000A"/>
      <w:szCs w:val="20"/>
    </w:rPr>
  </w:style>
  <w:style w:type="character" w:customStyle="1" w:styleId="EndNoteBibliographyChar">
    <w:name w:val="EndNote Bibliography Char"/>
    <w:link w:val="EndNoteBibliography"/>
    <w:rsid w:val="00103480"/>
    <w:rPr>
      <w:rFonts w:ascii="Times New Roman" w:eastAsia="Times New Roman" w:hAnsi="Times New Roman" w:cs="Times New Roman"/>
      <w:color w:val="00000A"/>
      <w:szCs w:val="20"/>
    </w:rPr>
  </w:style>
  <w:style w:type="paragraph" w:customStyle="1" w:styleId="ColorfulList-Accent11">
    <w:name w:val="Colorful List - Accent 11"/>
    <w:basedOn w:val="Normal"/>
    <w:uiPriority w:val="34"/>
    <w:qFormat/>
    <w:rsid w:val="00103480"/>
    <w:pPr>
      <w:spacing w:after="200" w:line="276" w:lineRule="auto"/>
      <w:ind w:left="720"/>
      <w:contextualSpacing/>
    </w:pPr>
    <w:rPr>
      <w:rFonts w:ascii="Calibri" w:eastAsia="Calibri" w:hAnsi="Calibri" w:cs="Times New Roman"/>
      <w:sz w:val="22"/>
      <w:szCs w:val="22"/>
      <w:lang w:eastAsia="en-US"/>
    </w:rPr>
  </w:style>
  <w:style w:type="character" w:styleId="FollowedHyperlink">
    <w:name w:val="FollowedHyperlink"/>
    <w:basedOn w:val="DefaultParagraphFont"/>
    <w:uiPriority w:val="99"/>
    <w:rsid w:val="00103480"/>
    <w:rPr>
      <w:color w:val="800080" w:themeColor="followedHyperlink"/>
      <w:u w:val="single"/>
    </w:rPr>
  </w:style>
  <w:style w:type="character" w:styleId="PlaceholderText">
    <w:name w:val="Placeholder Text"/>
    <w:basedOn w:val="DefaultParagraphFont"/>
    <w:uiPriority w:val="99"/>
    <w:rsid w:val="00103480"/>
    <w:rPr>
      <w:color w:val="808080"/>
    </w:rPr>
  </w:style>
  <w:style w:type="paragraph" w:styleId="PlainText">
    <w:name w:val="Plain Text"/>
    <w:basedOn w:val="Normal"/>
    <w:link w:val="PlainTextChar"/>
    <w:uiPriority w:val="99"/>
    <w:unhideWhenUsed/>
    <w:rsid w:val="00103480"/>
    <w:rPr>
      <w:rFonts w:ascii="Courier" w:hAnsi="Courier"/>
      <w:sz w:val="21"/>
      <w:szCs w:val="21"/>
    </w:rPr>
  </w:style>
  <w:style w:type="character" w:customStyle="1" w:styleId="PlainTextChar">
    <w:name w:val="Plain Text Char"/>
    <w:basedOn w:val="DefaultParagraphFont"/>
    <w:link w:val="PlainText"/>
    <w:uiPriority w:val="99"/>
    <w:rsid w:val="00103480"/>
    <w:rPr>
      <w:rFonts w:ascii="Courier" w:eastAsiaTheme="minorEastAsia" w:hAnsi="Courier"/>
      <w:sz w:val="21"/>
      <w:szCs w:val="21"/>
      <w:lang w:eastAsia="zh-CN"/>
    </w:rPr>
  </w:style>
  <w:style w:type="character" w:customStyle="1" w:styleId="ListParagraphChar">
    <w:name w:val="List Paragraph Char"/>
    <w:basedOn w:val="DefaultParagraphFont"/>
    <w:link w:val="ListParagraph"/>
    <w:uiPriority w:val="34"/>
    <w:rsid w:val="00103480"/>
    <w:rPr>
      <w:rFonts w:ascii="Times New Roman" w:eastAsia="Times New Roman" w:hAnsi="Times New Roman" w:cs="Times New Roman"/>
      <w:color w:val="00000A"/>
      <w:sz w:val="24"/>
      <w:szCs w:val="20"/>
    </w:rPr>
  </w:style>
  <w:style w:type="paragraph" w:styleId="NoSpacing">
    <w:name w:val="No Spacing"/>
    <w:uiPriority w:val="1"/>
    <w:qFormat/>
    <w:rsid w:val="00103480"/>
    <w:pPr>
      <w:spacing w:after="0" w:line="240" w:lineRule="auto"/>
    </w:pPr>
    <w:rPr>
      <w:rFonts w:eastAsiaTheme="minorEastAsia"/>
      <w:sz w:val="24"/>
      <w:szCs w:val="24"/>
      <w:lang w:eastAsia="zh-CN"/>
    </w:rPr>
  </w:style>
  <w:style w:type="paragraph" w:customStyle="1" w:styleId="Default">
    <w:name w:val="Default"/>
    <w:link w:val="DefaultChar"/>
    <w:rsid w:val="0010348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DefaultChar">
    <w:name w:val="Default Char"/>
    <w:basedOn w:val="DefaultParagraphFont"/>
    <w:link w:val="Default"/>
    <w:rsid w:val="00103480"/>
    <w:rPr>
      <w:rFonts w:ascii="Times New Roman" w:eastAsia="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2028B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EFCFE-3C67-41BA-BDE0-7AA0C5D68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1505</Words>
  <Characters>8581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School of Fish anc Ocean Sciences</Company>
  <LinksUpToDate>false</LinksUpToDate>
  <CharactersWithSpaces>10066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dc:creator>
  <cp:lastModifiedBy>CS0221</cp:lastModifiedBy>
  <cp:revision>8</cp:revision>
  <dcterms:created xsi:type="dcterms:W3CDTF">2019-10-25T22:39:00Z</dcterms:created>
  <dcterms:modified xsi:type="dcterms:W3CDTF">2020-05-23T05:25:00Z</dcterms:modified>
</cp:coreProperties>
</file>