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A8873" w14:textId="77777777" w:rsidR="0035692D" w:rsidRPr="0035692D" w:rsidRDefault="0035692D" w:rsidP="0035692D">
      <w:pPr>
        <w:rPr>
          <w:rFonts w:ascii="Lato" w:hAnsi="Lato"/>
          <w:b/>
          <w:bCs/>
          <w:sz w:val="28"/>
          <w:szCs w:val="28"/>
          <w:u w:val="single"/>
        </w:rPr>
      </w:pPr>
      <w:r w:rsidRPr="0035692D">
        <w:rPr>
          <w:rFonts w:ascii="Lato" w:hAnsi="Lato"/>
          <w:b/>
          <w:bCs/>
          <w:sz w:val="28"/>
          <w:szCs w:val="28"/>
          <w:u w:val="single"/>
        </w:rPr>
        <w:t xml:space="preserve">Supplementary Materials </w:t>
      </w:r>
    </w:p>
    <w:p w14:paraId="0CED3550" w14:textId="77777777" w:rsidR="002D5C9B" w:rsidRDefault="002D5C9B">
      <w:pPr>
        <w:rPr>
          <w:rFonts w:ascii="Lato" w:hAnsi="Lato"/>
          <w:b/>
          <w:bCs/>
          <w:sz w:val="24"/>
          <w:szCs w:val="24"/>
        </w:rPr>
      </w:pPr>
      <w:r w:rsidRPr="002D5C9B">
        <w:rPr>
          <w:rFonts w:ascii="Lato" w:hAnsi="Lato"/>
          <w:b/>
          <w:bCs/>
          <w:sz w:val="24"/>
          <w:szCs w:val="24"/>
        </w:rPr>
        <w:t>Gone with the wind : Local environmental variation influences detection efficiency in a coastal acoustic array</w:t>
      </w:r>
    </w:p>
    <w:p w14:paraId="76D18344" w14:textId="005D58B6" w:rsidR="00ED3C8E" w:rsidRPr="002D5C9B" w:rsidRDefault="0035692D">
      <w:pPr>
        <w:rPr>
          <w:rFonts w:ascii="Lato" w:hAnsi="Lato"/>
          <w:sz w:val="24"/>
          <w:szCs w:val="24"/>
          <w:vertAlign w:val="superscript"/>
          <w:lang w:val="en-CA"/>
        </w:rPr>
      </w:pPr>
      <w:r w:rsidRPr="002D5C9B">
        <w:rPr>
          <w:rFonts w:ascii="Lato" w:hAnsi="Lato"/>
          <w:sz w:val="24"/>
          <w:szCs w:val="24"/>
          <w:lang w:val="en-CA"/>
        </w:rPr>
        <w:t>Edwards, J.E., Buijse, A.D., Winter, H.V., Bijleveld, A.I.</w:t>
      </w:r>
    </w:p>
    <w:p w14:paraId="4E4E7416" w14:textId="77777777" w:rsidR="00176C2C" w:rsidRDefault="00176C2C">
      <w:pPr>
        <w:rPr>
          <w:rFonts w:ascii="Lato" w:hAnsi="Lato"/>
          <w:lang w:val="en-CA"/>
        </w:rPr>
      </w:pPr>
    </w:p>
    <w:p w14:paraId="0AF4A356" w14:textId="08547B52" w:rsidR="00176C2C" w:rsidRPr="00005566" w:rsidRDefault="00176C2C" w:rsidP="00005566">
      <w:pPr>
        <w:pStyle w:val="ListParagraph"/>
        <w:numPr>
          <w:ilvl w:val="0"/>
          <w:numId w:val="1"/>
        </w:numPr>
        <w:rPr>
          <w:rFonts w:ascii="Lato" w:hAnsi="Lato"/>
          <w:b/>
          <w:bCs/>
          <w:lang w:val="en-CA"/>
        </w:rPr>
      </w:pPr>
      <w:r w:rsidRPr="00005566">
        <w:rPr>
          <w:rFonts w:ascii="Lato" w:hAnsi="Lato"/>
          <w:b/>
          <w:bCs/>
          <w:lang w:val="en-CA"/>
        </w:rPr>
        <w:t>Attachment designs for fixed acoustic receiver deployments</w:t>
      </w:r>
    </w:p>
    <w:p w14:paraId="52327158" w14:textId="77777777" w:rsidR="00005566" w:rsidRDefault="00176C2C" w:rsidP="00005566">
      <w:pPr>
        <w:pStyle w:val="NormalWeb"/>
        <w:spacing w:before="0" w:beforeAutospacing="0" w:after="0" w:afterAutospacing="0"/>
        <w:ind w:firstLine="720"/>
        <w:rPr>
          <w:rFonts w:ascii="Lato" w:hAnsi="Lato"/>
          <w:sz w:val="22"/>
          <w:szCs w:val="22"/>
        </w:rPr>
      </w:pPr>
      <w:r w:rsidRPr="0004380C">
        <w:rPr>
          <w:rFonts w:ascii="Lato" w:hAnsi="Lato"/>
          <w:sz w:val="22"/>
          <w:szCs w:val="22"/>
        </w:rPr>
        <w:t xml:space="preserve">For each </w:t>
      </w:r>
      <w:r w:rsidRPr="0030648F">
        <w:rPr>
          <w:rFonts w:ascii="Lato" w:hAnsi="Lato"/>
          <w:sz w:val="22"/>
          <w:szCs w:val="22"/>
        </w:rPr>
        <w:t>of the two classes of floating buoys</w:t>
      </w:r>
      <w:r>
        <w:rPr>
          <w:rFonts w:ascii="Lato" w:hAnsi="Lato"/>
          <w:sz w:val="22"/>
          <w:szCs w:val="22"/>
        </w:rPr>
        <w:t xml:space="preserve"> used in this study</w:t>
      </w:r>
      <w:r w:rsidRPr="0030648F">
        <w:rPr>
          <w:rFonts w:ascii="Lato" w:hAnsi="Lato"/>
          <w:sz w:val="22"/>
          <w:szCs w:val="22"/>
        </w:rPr>
        <w:t>, specialized attachment designs were used. For the larger buoys (Fig. 2a), a ha</w:t>
      </w:r>
      <w:r w:rsidRPr="0004380C">
        <w:rPr>
          <w:rFonts w:ascii="Lato" w:hAnsi="Lato"/>
          <w:sz w:val="22"/>
          <w:szCs w:val="22"/>
        </w:rPr>
        <w:t>rness was constructed using a 6 m length of stainless steel chain wrapped in plastic tubing to prevent abrasion, and was suspended from the exposed portion of the float. The harness and equipment were weighed down by approximately 10 kg of steel chain links at a depth of approximately 4.5 m below the surface. Acoustic receivers were attached to each harness at a depth of ~3 m below the surface via hose clamps or zip ties</w:t>
      </w:r>
      <w:r>
        <w:rPr>
          <w:rFonts w:ascii="Lato" w:hAnsi="Lato"/>
          <w:sz w:val="22"/>
          <w:szCs w:val="22"/>
        </w:rPr>
        <w:t xml:space="preserve">. A </w:t>
      </w:r>
      <w:r w:rsidRPr="0004380C">
        <w:rPr>
          <w:rFonts w:ascii="Lato" w:hAnsi="Lato"/>
          <w:sz w:val="22"/>
          <w:szCs w:val="22"/>
        </w:rPr>
        <w:t>PVC-coated steel safety cable</w:t>
      </w:r>
      <w:r>
        <w:rPr>
          <w:rFonts w:ascii="Lato" w:hAnsi="Lato"/>
          <w:sz w:val="22"/>
          <w:szCs w:val="22"/>
        </w:rPr>
        <w:t xml:space="preserve"> was used as an extra precaution to secure the receivers by looping one end of the cable around a metal loop at the top of the buoy and running the opposite end of the cable through the lower portion of the receiver housing</w:t>
      </w:r>
      <w:r w:rsidRPr="0004380C">
        <w:rPr>
          <w:rFonts w:ascii="Lato" w:hAnsi="Lato"/>
          <w:sz w:val="22"/>
          <w:szCs w:val="22"/>
        </w:rPr>
        <w:t xml:space="preserve">. </w:t>
      </w:r>
    </w:p>
    <w:p w14:paraId="27FE9B8A" w14:textId="485078AD" w:rsidR="00176C2C" w:rsidRDefault="00176C2C" w:rsidP="00005566">
      <w:pPr>
        <w:pStyle w:val="NormalWeb"/>
        <w:spacing w:before="0" w:beforeAutospacing="0" w:after="0" w:afterAutospacing="0"/>
        <w:ind w:firstLine="720"/>
        <w:rPr>
          <w:rFonts w:ascii="Lato" w:hAnsi="Lato"/>
          <w:sz w:val="22"/>
          <w:szCs w:val="22"/>
        </w:rPr>
      </w:pPr>
      <w:r w:rsidRPr="0004380C">
        <w:rPr>
          <w:rFonts w:ascii="Lato" w:hAnsi="Lato"/>
          <w:sz w:val="22"/>
          <w:szCs w:val="22"/>
        </w:rPr>
        <w:t xml:space="preserve">For smaller spar-type buoys, a rope-and-pulley system was constructed to facilitate the retrieval and deployment of receivers from </w:t>
      </w:r>
      <w:r w:rsidRPr="0030648F">
        <w:rPr>
          <w:rFonts w:ascii="Lato" w:hAnsi="Lato"/>
          <w:sz w:val="22"/>
          <w:szCs w:val="22"/>
        </w:rPr>
        <w:t>the surface (Fig. 2b). A halved length</w:t>
      </w:r>
      <w:r w:rsidRPr="0004380C">
        <w:rPr>
          <w:rFonts w:ascii="Lato" w:hAnsi="Lato"/>
          <w:sz w:val="22"/>
          <w:szCs w:val="22"/>
        </w:rPr>
        <w:t xml:space="preserve"> of Dyneema rope was fixed at both ends to the top of the spar and was fed at its midpoint through a pulley which was anchored at the submerged base of the spar by a horizontal steel rod</w:t>
      </w:r>
      <w:r>
        <w:rPr>
          <w:rFonts w:ascii="Lato" w:hAnsi="Lato"/>
          <w:sz w:val="22"/>
          <w:szCs w:val="22"/>
        </w:rPr>
        <w:t>.</w:t>
      </w:r>
      <w:r w:rsidRPr="0004380C">
        <w:rPr>
          <w:rFonts w:ascii="Lato" w:hAnsi="Lato"/>
          <w:sz w:val="22"/>
          <w:szCs w:val="22"/>
        </w:rPr>
        <w:t xml:space="preserve"> Receivers were attached </w:t>
      </w:r>
      <w:r>
        <w:rPr>
          <w:rFonts w:ascii="Lato" w:hAnsi="Lato"/>
          <w:sz w:val="22"/>
          <w:szCs w:val="22"/>
        </w:rPr>
        <w:t>by running one length of the rope through the base of the receiver which was then attached lengthwise to the same rope using</w:t>
      </w:r>
      <w:r w:rsidRPr="0004380C">
        <w:rPr>
          <w:rFonts w:ascii="Lato" w:hAnsi="Lato"/>
          <w:sz w:val="22"/>
          <w:szCs w:val="22"/>
        </w:rPr>
        <w:t xml:space="preserve"> zip ties.    </w:t>
      </w:r>
    </w:p>
    <w:p w14:paraId="1D4CF84A" w14:textId="2CDDF5FE" w:rsidR="00281FC6" w:rsidRDefault="00281FC6" w:rsidP="00005566">
      <w:pPr>
        <w:pStyle w:val="NormalWeb"/>
        <w:spacing w:before="0" w:beforeAutospacing="0" w:after="0" w:afterAutospacing="0"/>
        <w:ind w:firstLine="720"/>
        <w:rPr>
          <w:rFonts w:ascii="Lato" w:hAnsi="Lato"/>
          <w:sz w:val="22"/>
          <w:szCs w:val="22"/>
        </w:rPr>
      </w:pPr>
      <w:r w:rsidRPr="0004380C">
        <w:rPr>
          <w:rFonts w:ascii="Lato" w:hAnsi="Lato"/>
          <w:sz w:val="22"/>
          <w:szCs w:val="22"/>
        </w:rPr>
        <w:t xml:space="preserve">For stations deployed either on metal poles or on the jetty (exclusively in </w:t>
      </w:r>
      <w:r>
        <w:rPr>
          <w:rFonts w:ascii="Lato" w:hAnsi="Lato"/>
          <w:sz w:val="22"/>
          <w:szCs w:val="22"/>
        </w:rPr>
        <w:t>the small array</w:t>
      </w:r>
      <w:r w:rsidRPr="0004380C">
        <w:rPr>
          <w:rFonts w:ascii="Lato" w:hAnsi="Lato"/>
          <w:sz w:val="22"/>
          <w:szCs w:val="22"/>
        </w:rPr>
        <w:t>), telemetry equipment were attached using a weighted harness system composed of nylon rope</w:t>
      </w:r>
      <w:r>
        <w:rPr>
          <w:rFonts w:ascii="Lato" w:hAnsi="Lato"/>
          <w:sz w:val="22"/>
          <w:szCs w:val="22"/>
        </w:rPr>
        <w:t xml:space="preserve"> </w:t>
      </w:r>
      <w:r w:rsidRPr="0004380C">
        <w:rPr>
          <w:rFonts w:ascii="Lato" w:hAnsi="Lato"/>
          <w:sz w:val="22"/>
          <w:szCs w:val="22"/>
        </w:rPr>
        <w:t xml:space="preserve">which was tied to the pole or jetty above the water line and suspended vertically in the water column </w:t>
      </w:r>
      <w:r w:rsidRPr="0082753A">
        <w:rPr>
          <w:rFonts w:ascii="Lato" w:hAnsi="Lato"/>
          <w:sz w:val="22"/>
          <w:szCs w:val="22"/>
        </w:rPr>
        <w:t>(Fig. 2c).</w:t>
      </w:r>
      <w:r w:rsidRPr="0004380C">
        <w:rPr>
          <w:rFonts w:ascii="Lato" w:hAnsi="Lato"/>
          <w:sz w:val="22"/>
          <w:szCs w:val="22"/>
        </w:rPr>
        <w:t xml:space="preserve"> </w:t>
      </w:r>
      <w:r>
        <w:rPr>
          <w:rFonts w:ascii="Lato" w:hAnsi="Lato"/>
          <w:sz w:val="22"/>
          <w:szCs w:val="22"/>
        </w:rPr>
        <w:t xml:space="preserve">To prevent wearing or abrasion, the nylon rope was fed through a length of rubber garden hose. </w:t>
      </w:r>
      <w:r w:rsidRPr="0004380C">
        <w:rPr>
          <w:rFonts w:ascii="Lato" w:hAnsi="Lato"/>
          <w:sz w:val="22"/>
          <w:szCs w:val="22"/>
        </w:rPr>
        <w:t xml:space="preserve">The submerged end of the rope was then anchored to the seabed using a cement block. Acoustic receivers were attached to the vertical section of rope at height of 1 m above the seabed and test tags were placed 10 cm below the upward-facing receiver (15 cm below at R6). Receivers and test tags were secured to the nylon rope using hose clamps or zip ties and gangion line. Using a similar method, test tags used in </w:t>
      </w:r>
      <w:r>
        <w:rPr>
          <w:rFonts w:ascii="Lato" w:hAnsi="Lato"/>
          <w:sz w:val="22"/>
          <w:szCs w:val="22"/>
        </w:rPr>
        <w:t>the small array</w:t>
      </w:r>
      <w:r w:rsidRPr="0004380C">
        <w:rPr>
          <w:rFonts w:ascii="Lato" w:hAnsi="Lato"/>
          <w:sz w:val="22"/>
          <w:szCs w:val="22"/>
        </w:rPr>
        <w:t xml:space="preserve"> were also secured to the deployment harnesses using a zip tie and a small piece of gangion line situated 50 cm above the downward-facing receiver.</w:t>
      </w:r>
    </w:p>
    <w:p w14:paraId="4EE4CE4C" w14:textId="77777777" w:rsidR="00005566" w:rsidRDefault="00005566" w:rsidP="00A03BA9">
      <w:pPr>
        <w:pStyle w:val="NormalWeb"/>
        <w:spacing w:before="0" w:beforeAutospacing="0" w:after="0" w:afterAutospacing="0" w:line="480" w:lineRule="auto"/>
        <w:rPr>
          <w:rFonts w:ascii="Lato" w:hAnsi="Lato"/>
          <w:b/>
          <w:bCs/>
          <w:sz w:val="22"/>
          <w:szCs w:val="22"/>
        </w:rPr>
      </w:pPr>
    </w:p>
    <w:p w14:paraId="069F869E" w14:textId="77225D9C" w:rsidR="00A03BA9" w:rsidRPr="00A03BA9" w:rsidRDefault="00A03BA9" w:rsidP="00005566">
      <w:pPr>
        <w:pStyle w:val="NormalWeb"/>
        <w:numPr>
          <w:ilvl w:val="0"/>
          <w:numId w:val="1"/>
        </w:numPr>
        <w:spacing w:before="0" w:beforeAutospacing="0" w:after="240" w:afterAutospacing="0"/>
        <w:rPr>
          <w:rFonts w:ascii="Lato" w:hAnsi="Lato"/>
          <w:b/>
          <w:bCs/>
          <w:sz w:val="22"/>
          <w:szCs w:val="22"/>
        </w:rPr>
      </w:pPr>
      <w:r w:rsidRPr="00A03BA9">
        <w:rPr>
          <w:rFonts w:ascii="Lato" w:hAnsi="Lato"/>
          <w:b/>
          <w:bCs/>
          <w:sz w:val="22"/>
          <w:szCs w:val="22"/>
        </w:rPr>
        <w:t xml:space="preserve">Environmental data </w:t>
      </w:r>
    </w:p>
    <w:p w14:paraId="2C3FB559" w14:textId="636E20EC" w:rsidR="00A03BA9" w:rsidRPr="0004380C" w:rsidRDefault="00A03BA9" w:rsidP="00A03BA9">
      <w:pPr>
        <w:spacing w:after="0" w:line="240" w:lineRule="auto"/>
        <w:ind w:firstLine="720"/>
        <w:rPr>
          <w:rFonts w:ascii="Lato" w:hAnsi="Lato"/>
        </w:rPr>
      </w:pPr>
      <w:r w:rsidRPr="0004380C">
        <w:rPr>
          <w:rFonts w:ascii="Lato" w:hAnsi="Lato"/>
        </w:rPr>
        <w:t>For</w:t>
      </w:r>
      <w:r>
        <w:rPr>
          <w:rFonts w:ascii="Lato" w:hAnsi="Lato"/>
        </w:rPr>
        <w:t xml:space="preserve"> the small-scale study</w:t>
      </w:r>
      <w:r w:rsidRPr="0004380C">
        <w:rPr>
          <w:rFonts w:ascii="Lato" w:hAnsi="Lato"/>
        </w:rPr>
        <w:t>, these included hourly wind speed</w:t>
      </w:r>
      <w:r>
        <w:rPr>
          <w:rFonts w:ascii="Lato" w:hAnsi="Lato"/>
        </w:rPr>
        <w:t xml:space="preserve"> (m/sec), wind </w:t>
      </w:r>
      <w:r w:rsidRPr="0004380C">
        <w:rPr>
          <w:rFonts w:ascii="Lato" w:hAnsi="Lato"/>
        </w:rPr>
        <w:t>direction</w:t>
      </w:r>
      <w:r>
        <w:rPr>
          <w:rFonts w:ascii="Lato" w:hAnsi="Lato"/>
        </w:rPr>
        <w:t xml:space="preserve"> (°) and precipitation amount (mm)</w:t>
      </w:r>
      <w:r w:rsidRPr="0004380C">
        <w:rPr>
          <w:rFonts w:ascii="Lato" w:hAnsi="Lato"/>
        </w:rPr>
        <w:t xml:space="preserve"> recorded by a Dutch national weather station located approximately 7.5 km south of the array (station</w:t>
      </w:r>
      <w:r>
        <w:rPr>
          <w:rFonts w:ascii="Lato" w:hAnsi="Lato"/>
        </w:rPr>
        <w:t xml:space="preserve"> 235</w:t>
      </w:r>
      <w:r w:rsidRPr="0004380C">
        <w:rPr>
          <w:rFonts w:ascii="Lato" w:hAnsi="Lato"/>
        </w:rPr>
        <w:t xml:space="preserve"> De Kooy; KMNI: https://daggegevens.knmi.nl/klimatologie/uurgegevens).</w:t>
      </w:r>
      <w:r>
        <w:rPr>
          <w:rFonts w:ascii="Lato" w:hAnsi="Lato"/>
        </w:rPr>
        <w:t xml:space="preserve"> </w:t>
      </w:r>
      <w:r w:rsidR="005836A4">
        <w:rPr>
          <w:rFonts w:ascii="Lato" w:hAnsi="Lato"/>
        </w:rPr>
        <w:t>To calculate tidal range, w</w:t>
      </w:r>
      <w:r>
        <w:rPr>
          <w:rFonts w:ascii="Lato" w:hAnsi="Lato"/>
        </w:rPr>
        <w:t>ater level measurements</w:t>
      </w:r>
      <w:r w:rsidR="005836A4">
        <w:rPr>
          <w:rFonts w:ascii="Lato" w:hAnsi="Lato"/>
        </w:rPr>
        <w:t xml:space="preserve"> </w:t>
      </w:r>
      <w:r>
        <w:rPr>
          <w:rFonts w:ascii="Lato" w:hAnsi="Lato"/>
        </w:rPr>
        <w:t>(m NAP</w:t>
      </w:r>
      <w:r w:rsidR="005836A4">
        <w:rPr>
          <w:rFonts w:ascii="Lato" w:hAnsi="Lato"/>
        </w:rPr>
        <w:t xml:space="preserve"> </w:t>
      </w:r>
      <w:r>
        <w:rPr>
          <w:rFonts w:ascii="Lato" w:hAnsi="Lato"/>
        </w:rPr>
        <w:t xml:space="preserve">– a standard reference altitude used in the Netherlands) were obtained from the Dutch </w:t>
      </w:r>
      <w:r w:rsidRPr="00353B34">
        <w:rPr>
          <w:rFonts w:ascii="Lato" w:hAnsi="Lato"/>
        </w:rPr>
        <w:t xml:space="preserve">Department of Waterways and Public Works </w:t>
      </w:r>
      <w:r>
        <w:rPr>
          <w:rFonts w:ascii="Lato" w:hAnsi="Lato"/>
        </w:rPr>
        <w:t xml:space="preserve">(Rijkswaterstaat: </w:t>
      </w:r>
      <w:r w:rsidRPr="00052D36">
        <w:rPr>
          <w:rFonts w:ascii="Lato" w:hAnsi="Lato"/>
        </w:rPr>
        <w:t>https://waterinfo.rws.nl/#/publiek/waterhoogte</w:t>
      </w:r>
      <w:r>
        <w:rPr>
          <w:rFonts w:ascii="Lato" w:hAnsi="Lato"/>
        </w:rPr>
        <w:t>) and included records from the Den Helder measurement station. W</w:t>
      </w:r>
      <w:r w:rsidRPr="0004380C">
        <w:rPr>
          <w:rFonts w:ascii="Lato" w:hAnsi="Lato"/>
        </w:rPr>
        <w:t>ater temperature</w:t>
      </w:r>
      <w:r>
        <w:rPr>
          <w:rFonts w:ascii="Lato" w:hAnsi="Lato"/>
        </w:rPr>
        <w:t xml:space="preserve"> and </w:t>
      </w:r>
      <w:r w:rsidRPr="0004380C">
        <w:rPr>
          <w:rFonts w:ascii="Lato" w:hAnsi="Lato"/>
        </w:rPr>
        <w:t>salinity</w:t>
      </w:r>
      <w:r>
        <w:rPr>
          <w:rFonts w:ascii="Lato" w:hAnsi="Lato"/>
        </w:rPr>
        <w:t xml:space="preserve"> measurements </w:t>
      </w:r>
      <w:r w:rsidRPr="0004380C">
        <w:rPr>
          <w:rFonts w:ascii="Lato" w:hAnsi="Lato"/>
        </w:rPr>
        <w:t xml:space="preserve">were recorded at 10-minute intervals throughout the study period by the NIOZ jetty located in the northeastern </w:t>
      </w:r>
      <w:r w:rsidRPr="0004380C">
        <w:rPr>
          <w:rFonts w:ascii="Lato" w:hAnsi="Lato"/>
        </w:rPr>
        <w:lastRenderedPageBreak/>
        <w:t>corner of the array</w:t>
      </w:r>
      <w:r w:rsidRPr="0004380C">
        <w:rPr>
          <w:rFonts w:ascii="Lato" w:hAnsi="Lato"/>
          <w:color w:val="FF0000"/>
        </w:rPr>
        <w:t xml:space="preserve"> </w:t>
      </w:r>
      <w:r w:rsidRPr="0004380C">
        <w:rPr>
          <w:rFonts w:ascii="Lato" w:hAnsi="Lato"/>
          <w:color w:val="FF0000"/>
        </w:rPr>
        <w:fldChar w:fldCharType="begin"/>
      </w:r>
      <w:r>
        <w:rPr>
          <w:rFonts w:ascii="Lato" w:hAnsi="Lato"/>
          <w:color w:val="FF0000"/>
        </w:rPr>
        <w:instrText xml:space="preserve"> ADDIN ZOTERO_ITEM CSL_CITATION {"citationID":"9QpbW09e","properties":{"formattedCitation":"(21,22)","plainCitation":"(21,22)","noteIndex":0},"citationItems":[{"id":1289,"uris":["http://zotero.org/users/11258962/items/58RZFV66"],"itemData":{"id":1289,"type":"article-journal","container-title":"Journal of Sea Research","DOI":"10.1016/j.seares.2008.09.001","ISSN":"1385-1101","issue":"4","note":"publisher: Elsevier B.V.","page":"227-234","title":"Variability of the water temperature in the western Wadden Sea on tidal to centennial time scales","volume":"60","author":[{"family":"Aken","given":"Hendrik M","non-dropping-particle":"van"}],"issued":{"date-parts":[["2008"]]}}},{"id":2600,"uris":["http://zotero.org/users/11258962/items/L33DWHDQ"],"itemData":{"id":2600,"type":"article-journal","container-title":"Journal of Sea Research","issue":"3","note":"publisher: Elsevier","page":"121–132","source":"Google Scholar","title":"Variability of the salinity in the western Wadden Sea on tidal to centennial time scales","volume":"59","author":[{"family":"Aken","given":"Hendrik M.","non-dropping-particle":"van"}],"issued":{"date-parts":[["2008"]]}}}],"schema":"https://github.com/citation-style-language/schema/raw/master/csl-citation.json"} </w:instrText>
      </w:r>
      <w:r w:rsidRPr="0004380C">
        <w:rPr>
          <w:rFonts w:ascii="Lato" w:hAnsi="Lato"/>
          <w:color w:val="FF0000"/>
        </w:rPr>
        <w:fldChar w:fldCharType="separate"/>
      </w:r>
      <w:r w:rsidRPr="000B7BEE">
        <w:rPr>
          <w:rFonts w:ascii="Lato" w:hAnsi="Lato"/>
        </w:rPr>
        <w:t>(21,22)</w:t>
      </w:r>
      <w:r w:rsidRPr="0004380C">
        <w:rPr>
          <w:rFonts w:ascii="Lato" w:hAnsi="Lato"/>
          <w:color w:val="FF0000"/>
        </w:rPr>
        <w:fldChar w:fldCharType="end"/>
      </w:r>
      <w:r w:rsidRPr="0004380C">
        <w:rPr>
          <w:rFonts w:ascii="Lato" w:hAnsi="Lato"/>
        </w:rPr>
        <w:t>.</w:t>
      </w:r>
      <w:r>
        <w:rPr>
          <w:rFonts w:ascii="Lato" w:hAnsi="Lato"/>
        </w:rPr>
        <w:t xml:space="preserve"> These records were summarized into hourly mean values for comparison with the response variable.</w:t>
      </w:r>
      <w:r w:rsidRPr="0004380C">
        <w:rPr>
          <w:rFonts w:ascii="Lato" w:hAnsi="Lato"/>
        </w:rPr>
        <w:t xml:space="preserve"> </w:t>
      </w:r>
      <w:r w:rsidR="00720250">
        <w:rPr>
          <w:rFonts w:ascii="Lato" w:hAnsi="Lato"/>
        </w:rPr>
        <w:t>Bathymetric measurements (m NAP) were obtained for the location of each station via</w:t>
      </w:r>
      <w:r w:rsidR="00A33D31">
        <w:rPr>
          <w:rStyle w:val="CommentReference"/>
        </w:rPr>
        <w:t xml:space="preserve"> </w:t>
      </w:r>
      <w:r w:rsidR="00720250">
        <w:rPr>
          <w:rFonts w:ascii="Lato" w:hAnsi="Lato"/>
        </w:rPr>
        <w:t>Rijkswaterstaat</w:t>
      </w:r>
      <w:r w:rsidR="00A33D31">
        <w:rPr>
          <w:rFonts w:ascii="Lato" w:hAnsi="Lato"/>
        </w:rPr>
        <w:t xml:space="preserve"> (</w:t>
      </w:r>
      <w:r w:rsidR="00A33D31" w:rsidRPr="00A33D31">
        <w:rPr>
          <w:rFonts w:ascii="Lato" w:hAnsi="Lato"/>
        </w:rPr>
        <w:t>https://www.rijkswaterstaat.nl/)</w:t>
      </w:r>
      <w:r w:rsidR="00A33D31">
        <w:rPr>
          <w:rFonts w:ascii="Lato" w:hAnsi="Lato"/>
        </w:rPr>
        <w:t>,</w:t>
      </w:r>
      <w:r w:rsidR="00A33D31" w:rsidRPr="00A33D31">
        <w:rPr>
          <w:rFonts w:ascii="Lato" w:hAnsi="Lato"/>
        </w:rPr>
        <w:t xml:space="preserve"> </w:t>
      </w:r>
      <w:r w:rsidR="00720250">
        <w:rPr>
          <w:rFonts w:ascii="Lato" w:hAnsi="Lato"/>
        </w:rPr>
        <w:t xml:space="preserve">which is </w:t>
      </w:r>
      <w:r w:rsidR="00720250" w:rsidRPr="007F1D48">
        <w:rPr>
          <w:rFonts w:ascii="Lato" w:hAnsi="Lato"/>
        </w:rPr>
        <w:t>the executive organization of the Ministry of Infrastructure and Water Management</w:t>
      </w:r>
      <w:r w:rsidR="00720250">
        <w:rPr>
          <w:rFonts w:ascii="Lato" w:hAnsi="Lato"/>
        </w:rPr>
        <w:t xml:space="preserve">. </w:t>
      </w:r>
      <w:r>
        <w:rPr>
          <w:rFonts w:ascii="Lato" w:hAnsi="Lato"/>
        </w:rPr>
        <w:t xml:space="preserve"> </w:t>
      </w:r>
    </w:p>
    <w:p w14:paraId="68396A4E" w14:textId="44924A4A" w:rsidR="00300142" w:rsidRDefault="00A03BA9" w:rsidP="00FA3FFB">
      <w:pPr>
        <w:spacing w:after="0" w:line="240" w:lineRule="auto"/>
        <w:ind w:firstLine="720"/>
        <w:rPr>
          <w:rFonts w:ascii="Lato" w:hAnsi="Lato"/>
        </w:rPr>
      </w:pPr>
      <w:r>
        <w:rPr>
          <w:rFonts w:ascii="Lato" w:hAnsi="Lato"/>
        </w:rPr>
        <w:t>At the larger array scale</w:t>
      </w:r>
      <w:r w:rsidRPr="0004380C">
        <w:rPr>
          <w:rFonts w:ascii="Lato" w:hAnsi="Lato"/>
        </w:rPr>
        <w:t xml:space="preserve">, hourly wind speed and direction were also obtained via three of the Dutch national weather stations located in the vicinity of the array (stations </w:t>
      </w:r>
      <w:r>
        <w:rPr>
          <w:rFonts w:ascii="Lato" w:hAnsi="Lato"/>
        </w:rPr>
        <w:t xml:space="preserve">235 </w:t>
      </w:r>
      <w:r w:rsidRPr="0004380C">
        <w:rPr>
          <w:rFonts w:ascii="Lato" w:hAnsi="Lato"/>
        </w:rPr>
        <w:t xml:space="preserve">De Kooy, </w:t>
      </w:r>
      <w:r>
        <w:rPr>
          <w:rFonts w:ascii="Lato" w:hAnsi="Lato"/>
        </w:rPr>
        <w:t xml:space="preserve">242 </w:t>
      </w:r>
      <w:r w:rsidRPr="0004380C">
        <w:rPr>
          <w:rFonts w:ascii="Lato" w:hAnsi="Lato"/>
        </w:rPr>
        <w:t xml:space="preserve">Vlieland, and </w:t>
      </w:r>
      <w:r>
        <w:rPr>
          <w:rFonts w:ascii="Lato" w:hAnsi="Lato"/>
        </w:rPr>
        <w:t xml:space="preserve">251 Hoorn </w:t>
      </w:r>
      <w:r w:rsidRPr="0004380C">
        <w:rPr>
          <w:rFonts w:ascii="Lato" w:hAnsi="Lato"/>
        </w:rPr>
        <w:t xml:space="preserve">Terschelling; KMNI: https://daggegevens.knmi.nl/klimatologie/uurgegevens) with measurements from the nearest weather station assigned to each receiver </w:t>
      </w:r>
      <w:r w:rsidRPr="00EE5758">
        <w:rPr>
          <w:rFonts w:ascii="Lato" w:hAnsi="Lato"/>
        </w:rPr>
        <w:t>station</w:t>
      </w:r>
      <w:r w:rsidR="00B05E3E">
        <w:rPr>
          <w:rFonts w:ascii="Lato" w:hAnsi="Lato"/>
        </w:rPr>
        <w:t xml:space="preserve"> (Fig. 1c, main article)</w:t>
      </w:r>
      <w:r w:rsidRPr="00EE5758">
        <w:rPr>
          <w:rFonts w:ascii="Lato" w:hAnsi="Lato"/>
        </w:rPr>
        <w:t>. Bathymet</w:t>
      </w:r>
      <w:r w:rsidRPr="0004380C">
        <w:rPr>
          <w:rFonts w:ascii="Lato" w:hAnsi="Lato"/>
        </w:rPr>
        <w:t>ric data for each station w</w:t>
      </w:r>
      <w:r>
        <w:rPr>
          <w:rFonts w:ascii="Lato" w:hAnsi="Lato"/>
        </w:rPr>
        <w:t>ere</w:t>
      </w:r>
      <w:r w:rsidRPr="0004380C">
        <w:rPr>
          <w:rFonts w:ascii="Lato" w:hAnsi="Lato"/>
        </w:rPr>
        <w:t xml:space="preserve"> obtained</w:t>
      </w:r>
      <w:r>
        <w:rPr>
          <w:rFonts w:ascii="Lato" w:hAnsi="Lato"/>
        </w:rPr>
        <w:t xml:space="preserve"> via Rijkswaterstaat </w:t>
      </w:r>
      <w:r w:rsidR="00B05E3E">
        <w:rPr>
          <w:rFonts w:ascii="Lato" w:hAnsi="Lato"/>
        </w:rPr>
        <w:t>(</w:t>
      </w:r>
      <w:r w:rsidRPr="0003203A">
        <w:rPr>
          <w:rFonts w:ascii="Lato" w:hAnsi="Lato"/>
        </w:rPr>
        <w:t>https://www.rijkswaterstaat.nl/</w:t>
      </w:r>
      <w:r>
        <w:rPr>
          <w:rFonts w:ascii="Lato" w:hAnsi="Lato"/>
        </w:rPr>
        <w:t>)</w:t>
      </w:r>
      <w:r w:rsidRPr="0004380C">
        <w:rPr>
          <w:rFonts w:ascii="Lato" w:hAnsi="Lato"/>
        </w:rPr>
        <w:t>.</w:t>
      </w:r>
      <w:r>
        <w:rPr>
          <w:rFonts w:ascii="Lato" w:hAnsi="Lato"/>
        </w:rPr>
        <w:t xml:space="preserve"> </w:t>
      </w:r>
      <w:r w:rsidRPr="00A56618">
        <w:rPr>
          <w:rFonts w:ascii="Lato" w:hAnsi="Lato"/>
        </w:rPr>
        <w:t>Hourly water levels for each receiver station were derived from interpolated sea surface height fields using the Rappoldt method (three-point interpolation</w:t>
      </w:r>
      <w:r>
        <w:rPr>
          <w:rFonts w:ascii="Lato" w:hAnsi="Lato"/>
        </w:rPr>
        <w:t xml:space="preserve">) </w:t>
      </w:r>
      <w:r>
        <w:rPr>
          <w:rFonts w:ascii="Lato" w:hAnsi="Lato"/>
        </w:rPr>
        <w:fldChar w:fldCharType="begin"/>
      </w:r>
      <w:r>
        <w:rPr>
          <w:rFonts w:ascii="Lato" w:hAnsi="Lato"/>
        </w:rPr>
        <w:instrText xml:space="preserve"> ADDIN ZOTERO_ITEM CSL_CITATION {"citationID":"VPh2hmW2","properties":{"formattedCitation":"(23)","plainCitation":"(23)","noteIndex":0},"citationItems":[{"id":2768,"uris":["http://zotero.org/users/11258962/items/PZKIGR7X"],"itemData":{"id":2768,"type":"article-journal","container-title":"Ecocurves rapport","source":"Google Scholar","title":"InterTides, maps of the intertidal by interpolation of tidal gauge data","volume":"19","author":[{"family":"Rappoldt","given":"C."},{"family":"Roosenschoon","given":"O. R."},{"family":"Kraalingen","given":"D. W. G.","non-dropping-particle":"van"}],"issued":{"date-parts":[["2014"]]}}}],"schema":"https://github.com/citation-style-language/schema/raw/master/csl-citation.json"} </w:instrText>
      </w:r>
      <w:r>
        <w:rPr>
          <w:rFonts w:ascii="Lato" w:hAnsi="Lato"/>
        </w:rPr>
        <w:fldChar w:fldCharType="separate"/>
      </w:r>
      <w:r w:rsidRPr="000B7BEE">
        <w:rPr>
          <w:rFonts w:ascii="Lato" w:hAnsi="Lato"/>
        </w:rPr>
        <w:t>(23)</w:t>
      </w:r>
      <w:r>
        <w:rPr>
          <w:rFonts w:ascii="Lato" w:hAnsi="Lato"/>
        </w:rPr>
        <w:fldChar w:fldCharType="end"/>
      </w:r>
      <w:r>
        <w:rPr>
          <w:rFonts w:ascii="Lato" w:hAnsi="Lato"/>
        </w:rPr>
        <w:t xml:space="preserve"> </w:t>
      </w:r>
      <w:r w:rsidRPr="00A56618">
        <w:rPr>
          <w:rFonts w:ascii="Lato" w:hAnsi="Lato"/>
        </w:rPr>
        <w:t>combined with Rijkswaterstaat depth data</w:t>
      </w:r>
      <w:r>
        <w:rPr>
          <w:rFonts w:ascii="Lato" w:hAnsi="Lato"/>
        </w:rPr>
        <w:t xml:space="preserve"> </w:t>
      </w:r>
      <w:r w:rsidRPr="00DC56B2">
        <w:rPr>
          <w:rFonts w:ascii="Lato" w:hAnsi="Lato" w:cs="Calibri"/>
          <w:color w:val="242424"/>
          <w:shd w:val="clear" w:color="auto" w:fill="FFFFFF"/>
        </w:rPr>
        <w:t>(Water info:</w:t>
      </w:r>
      <w:r>
        <w:rPr>
          <w:rFonts w:ascii="Calibri" w:hAnsi="Calibri" w:cs="Calibri"/>
          <w:color w:val="242424"/>
          <w:shd w:val="clear" w:color="auto" w:fill="FFFFFF"/>
        </w:rPr>
        <w:t xml:space="preserve"> </w:t>
      </w:r>
      <w:r w:rsidRPr="00B43AA1">
        <w:t xml:space="preserve"> </w:t>
      </w:r>
      <w:r w:rsidRPr="00B43AA1">
        <w:rPr>
          <w:rFonts w:ascii="Lato" w:hAnsi="Lato" w:cs="Calibri"/>
          <w:color w:val="242424"/>
          <w:shd w:val="clear" w:color="auto" w:fill="FFFFFF"/>
        </w:rPr>
        <w:t>https://waterinfo.rws.nl/#/nav/bulkdownload</w:t>
      </w:r>
      <w:r>
        <w:rPr>
          <w:rFonts w:ascii="Calibri" w:hAnsi="Calibri" w:cs="Calibri"/>
          <w:color w:val="242424"/>
          <w:shd w:val="clear" w:color="auto" w:fill="FFFFFF"/>
        </w:rPr>
        <w:t>)</w:t>
      </w:r>
      <w:r w:rsidRPr="00A56618">
        <w:rPr>
          <w:rFonts w:ascii="Lato" w:hAnsi="Lato"/>
        </w:rPr>
        <w:t>. The Rappoldt method was applied over the entire Dutch Wadden Sea area, using sea surface height observations from Rijkswaterstaat (Netherlands) and the Federal Waterways and Shipping Administration (Eems-Dollard region,</w:t>
      </w:r>
      <w:r>
        <w:rPr>
          <w:rFonts w:ascii="Lato" w:hAnsi="Lato"/>
        </w:rPr>
        <w:t xml:space="preserve"> </w:t>
      </w:r>
      <w:r w:rsidRPr="00A56618">
        <w:rPr>
          <w:rFonts w:ascii="Lato" w:hAnsi="Lato"/>
        </w:rPr>
        <w:t>Germany).</w:t>
      </w:r>
      <w:r>
        <w:rPr>
          <w:rFonts w:ascii="Lato" w:hAnsi="Lato"/>
        </w:rPr>
        <w:t xml:space="preserve"> </w:t>
      </w:r>
      <w:r w:rsidRPr="0004380C">
        <w:rPr>
          <w:rFonts w:ascii="Lato" w:hAnsi="Lato"/>
        </w:rPr>
        <w:t xml:space="preserve">To </w:t>
      </w:r>
      <w:r w:rsidR="00B80175">
        <w:rPr>
          <w:rFonts w:ascii="Lato" w:hAnsi="Lato"/>
        </w:rPr>
        <w:t xml:space="preserve">calculate tidal range while </w:t>
      </w:r>
      <w:r w:rsidRPr="0004380C">
        <w:rPr>
          <w:rFonts w:ascii="Lato" w:hAnsi="Lato"/>
        </w:rPr>
        <w:t>account</w:t>
      </w:r>
      <w:r w:rsidR="00B80175">
        <w:rPr>
          <w:rFonts w:ascii="Lato" w:hAnsi="Lato"/>
        </w:rPr>
        <w:t>ing</w:t>
      </w:r>
      <w:r w:rsidRPr="0004380C">
        <w:rPr>
          <w:rFonts w:ascii="Lato" w:hAnsi="Lato"/>
        </w:rPr>
        <w:t xml:space="preserve"> for variation in water column depth at each receiver station,</w:t>
      </w:r>
      <w:r>
        <w:rPr>
          <w:rFonts w:ascii="Lato" w:hAnsi="Lato"/>
        </w:rPr>
        <w:t xml:space="preserve"> water level measurements were centered around each station’s mean.</w:t>
      </w:r>
      <w:r w:rsidR="00FA3FFB">
        <w:rPr>
          <w:rFonts w:ascii="Lato" w:hAnsi="Lato"/>
        </w:rPr>
        <w:t xml:space="preserve"> H</w:t>
      </w:r>
      <w:r>
        <w:rPr>
          <w:rFonts w:ascii="Lato" w:hAnsi="Lato"/>
        </w:rPr>
        <w:t xml:space="preserve">ourly </w:t>
      </w:r>
      <w:r w:rsidRPr="0004380C">
        <w:rPr>
          <w:rFonts w:ascii="Lato" w:hAnsi="Lato"/>
        </w:rPr>
        <w:t xml:space="preserve">water temperature, receiver tilt (used as a proxy for </w:t>
      </w:r>
      <w:r w:rsidR="009F76AF">
        <w:rPr>
          <w:rFonts w:ascii="Lato" w:hAnsi="Lato"/>
        </w:rPr>
        <w:t xml:space="preserve">tidal </w:t>
      </w:r>
      <w:r w:rsidRPr="0004380C">
        <w:rPr>
          <w:rFonts w:ascii="Lato" w:hAnsi="Lato"/>
        </w:rPr>
        <w:t xml:space="preserve">current strength), and </w:t>
      </w:r>
      <w:r>
        <w:rPr>
          <w:rFonts w:ascii="Lato" w:hAnsi="Lato"/>
        </w:rPr>
        <w:t xml:space="preserve">average </w:t>
      </w:r>
      <w:r w:rsidRPr="0004380C">
        <w:rPr>
          <w:rFonts w:ascii="Lato" w:hAnsi="Lato"/>
        </w:rPr>
        <w:t>ambient noise</w:t>
      </w:r>
      <w:r w:rsidR="00FA3FFB">
        <w:rPr>
          <w:rFonts w:ascii="Lato" w:hAnsi="Lato"/>
        </w:rPr>
        <w:t xml:space="preserve"> levels used in these </w:t>
      </w:r>
      <w:r w:rsidR="002312F6">
        <w:rPr>
          <w:rFonts w:ascii="Lato" w:hAnsi="Lato"/>
        </w:rPr>
        <w:t xml:space="preserve">analyses were recorded by internal sensors incorporated in the </w:t>
      </w:r>
      <w:r w:rsidR="00FA3FFB" w:rsidRPr="0004380C">
        <w:rPr>
          <w:rFonts w:ascii="Lato" w:hAnsi="Lato"/>
        </w:rPr>
        <w:t>VR2Tx receivers</w:t>
      </w:r>
      <w:r w:rsidR="002312F6">
        <w:rPr>
          <w:rFonts w:ascii="Lato" w:hAnsi="Lato"/>
        </w:rPr>
        <w:t xml:space="preserve">. </w:t>
      </w:r>
    </w:p>
    <w:p w14:paraId="0AD04FA5" w14:textId="77777777" w:rsidR="00005566" w:rsidRPr="00005566" w:rsidRDefault="00005566" w:rsidP="00005566">
      <w:pPr>
        <w:spacing w:line="240" w:lineRule="auto"/>
        <w:rPr>
          <w:rFonts w:ascii="Lato" w:hAnsi="Lato"/>
        </w:rPr>
      </w:pPr>
    </w:p>
    <w:p w14:paraId="72CF9680" w14:textId="522A0137" w:rsidR="00176C2C" w:rsidRPr="00300142" w:rsidRDefault="00005566" w:rsidP="00005566">
      <w:pPr>
        <w:jc w:val="center"/>
        <w:rPr>
          <w:rFonts w:ascii="Lato" w:hAnsi="Lato"/>
          <w:b/>
          <w:bCs/>
          <w:lang w:val="en-CA"/>
        </w:rPr>
      </w:pPr>
      <w:r>
        <w:rPr>
          <w:rFonts w:ascii="Lato" w:hAnsi="Lato"/>
          <w:b/>
          <w:bCs/>
        </w:rPr>
        <w:br w:type="page"/>
      </w:r>
      <w:r w:rsidR="00300142">
        <w:rPr>
          <w:rFonts w:ascii="Lato" w:hAnsi="Lato"/>
          <w:b/>
          <w:bCs/>
        </w:rPr>
        <w:lastRenderedPageBreak/>
        <w:t xml:space="preserve">Supplementary </w:t>
      </w:r>
      <w:r w:rsidR="00300142" w:rsidRPr="00300142">
        <w:rPr>
          <w:rFonts w:ascii="Lato" w:hAnsi="Lato"/>
          <w:b/>
          <w:bCs/>
        </w:rPr>
        <w:t>Tables and Figures</w:t>
      </w:r>
    </w:p>
    <w:p w14:paraId="48743EE7" w14:textId="77777777" w:rsidR="0035692D" w:rsidRPr="00D2091C" w:rsidRDefault="0035692D" w:rsidP="0035692D">
      <w:pPr>
        <w:spacing w:after="0"/>
        <w:rPr>
          <w:rFonts w:ascii="Lato" w:hAnsi="Lato"/>
          <w:b/>
          <w:bCs/>
        </w:rPr>
      </w:pPr>
      <w:r>
        <w:rPr>
          <w:rFonts w:ascii="Lato" w:hAnsi="Lato"/>
          <w:b/>
          <w:bCs/>
          <w:noProof/>
        </w:rPr>
        <w:drawing>
          <wp:inline distT="0" distB="0" distL="0" distR="0" wp14:anchorId="7D7614A5" wp14:editId="36030689">
            <wp:extent cx="5943600" cy="5943600"/>
            <wp:effectExtent l="0" t="0" r="0" b="0"/>
            <wp:docPr id="12" name="Picture 1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graph&#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BFE96D2" w14:textId="3232FB5B" w:rsidR="00ED0455" w:rsidRDefault="0035692D">
      <w:pPr>
        <w:rPr>
          <w:rFonts w:ascii="Lato" w:hAnsi="Lato"/>
        </w:rPr>
      </w:pPr>
      <w:r w:rsidRPr="000831EE">
        <w:rPr>
          <w:rFonts w:ascii="Lato" w:hAnsi="Lato"/>
          <w:b/>
          <w:bCs/>
        </w:rPr>
        <w:t xml:space="preserve">Figure </w:t>
      </w:r>
      <w:r>
        <w:rPr>
          <w:rFonts w:ascii="Lato" w:hAnsi="Lato"/>
          <w:b/>
          <w:bCs/>
        </w:rPr>
        <w:t>S1</w:t>
      </w:r>
      <w:r w:rsidRPr="000831EE">
        <w:rPr>
          <w:rFonts w:ascii="Lato" w:hAnsi="Lato"/>
        </w:rPr>
        <w:t xml:space="preserve"> </w:t>
      </w:r>
      <w:r w:rsidRPr="000831EE">
        <w:rPr>
          <w:rFonts w:ascii="Lato" w:hAnsi="Lato"/>
          <w:b/>
          <w:bCs/>
        </w:rPr>
        <w:t xml:space="preserve">| </w:t>
      </w:r>
      <w:r w:rsidRPr="00860525">
        <w:rPr>
          <w:rFonts w:ascii="Lato" w:hAnsi="Lato"/>
        </w:rPr>
        <w:t xml:space="preserve">Hourly </w:t>
      </w:r>
      <w:r>
        <w:rPr>
          <w:rFonts w:ascii="Lato" w:hAnsi="Lato"/>
        </w:rPr>
        <w:t xml:space="preserve">detection efficiency for six static acoustic receiver stations (R1-R6) over a one-month study period and at a range of fixed distances from the acoustic transmitters (0-1431 m).   </w:t>
      </w:r>
    </w:p>
    <w:p w14:paraId="792E438D" w14:textId="77777777" w:rsidR="00ED0455" w:rsidRPr="005A3816" w:rsidRDefault="00ED0455" w:rsidP="00ED0455">
      <w:pPr>
        <w:spacing w:after="0"/>
        <w:jc w:val="center"/>
        <w:rPr>
          <w:lang w:val="en-CA"/>
        </w:rPr>
      </w:pPr>
      <w:r w:rsidRPr="005A3816">
        <w:rPr>
          <w:noProof/>
          <w:lang w:val="en-CA"/>
        </w:rPr>
        <w:lastRenderedPageBreak/>
        <w:drawing>
          <wp:inline distT="0" distB="0" distL="0" distR="0" wp14:anchorId="5271D110" wp14:editId="736E3D22">
            <wp:extent cx="4552950" cy="4629150"/>
            <wp:effectExtent l="0" t="0" r="0" b="0"/>
            <wp:docPr id="513349914" name="Picture 4" descr="A diagram of different types of wea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95396" name="Picture 4" descr="A diagram of different types of weath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52950" cy="4629150"/>
                    </a:xfrm>
                    <a:prstGeom prst="rect">
                      <a:avLst/>
                    </a:prstGeom>
                    <a:noFill/>
                    <a:ln>
                      <a:noFill/>
                    </a:ln>
                  </pic:spPr>
                </pic:pic>
              </a:graphicData>
            </a:graphic>
          </wp:inline>
        </w:drawing>
      </w:r>
    </w:p>
    <w:p w14:paraId="7EE280BD" w14:textId="5A4FA455" w:rsidR="00ED0455" w:rsidRPr="007F5315" w:rsidRDefault="00ED0455" w:rsidP="00ED0455">
      <w:pPr>
        <w:rPr>
          <w:lang w:val="en-CA"/>
        </w:rPr>
      </w:pPr>
      <w:r w:rsidRPr="007F5315">
        <w:rPr>
          <w:rFonts w:ascii="Lato" w:hAnsi="Lato"/>
          <w:b/>
          <w:bCs/>
        </w:rPr>
        <w:t>Figure S</w:t>
      </w:r>
      <w:r>
        <w:rPr>
          <w:rFonts w:ascii="Lato" w:hAnsi="Lato"/>
          <w:b/>
          <w:bCs/>
        </w:rPr>
        <w:t>2</w:t>
      </w:r>
      <w:r w:rsidRPr="007F5315">
        <w:rPr>
          <w:rFonts w:ascii="Lato" w:hAnsi="Lato"/>
        </w:rPr>
        <w:t xml:space="preserve"> </w:t>
      </w:r>
      <w:r w:rsidRPr="007F5315">
        <w:rPr>
          <w:rFonts w:ascii="Lato" w:hAnsi="Lato"/>
          <w:b/>
          <w:bCs/>
        </w:rPr>
        <w:t xml:space="preserve">| </w:t>
      </w:r>
      <w:r w:rsidRPr="007F5315">
        <w:rPr>
          <w:rFonts w:ascii="Lato" w:hAnsi="Lato"/>
        </w:rPr>
        <w:t>Correlation matrix for</w:t>
      </w:r>
      <w:r>
        <w:rPr>
          <w:rFonts w:ascii="Lato" w:hAnsi="Lato"/>
        </w:rPr>
        <w:t xml:space="preserve"> </w:t>
      </w:r>
      <w:r w:rsidRPr="007F5315">
        <w:rPr>
          <w:rFonts w:ascii="Lato" w:hAnsi="Lato"/>
        </w:rPr>
        <w:t xml:space="preserve">potential factors influencing variation in detection efficiency in a </w:t>
      </w:r>
      <w:r w:rsidR="00B57709">
        <w:rPr>
          <w:rFonts w:ascii="Lato" w:hAnsi="Lato"/>
        </w:rPr>
        <w:t>small</w:t>
      </w:r>
      <w:r w:rsidRPr="007F5315">
        <w:rPr>
          <w:rFonts w:ascii="Lato" w:hAnsi="Lato"/>
        </w:rPr>
        <w:t>-scale range test (N=</w:t>
      </w:r>
      <w:r>
        <w:rPr>
          <w:rFonts w:ascii="Lato" w:hAnsi="Lato"/>
        </w:rPr>
        <w:t>5</w:t>
      </w:r>
      <w:r w:rsidRPr="007F5315">
        <w:rPr>
          <w:rFonts w:ascii="Lato" w:hAnsi="Lato"/>
        </w:rPr>
        <w:t xml:space="preserve"> receiver stations).</w:t>
      </w:r>
      <w:r>
        <w:rPr>
          <w:rFonts w:ascii="Lato" w:hAnsi="Lato"/>
        </w:rPr>
        <w:t xml:space="preserve"> Units of measurement for the displayed factors are as follows: wind speed (m/s), bottom depth (m), relative water level (m), temperature (°C), salinity (PSU), precipitation (mm). </w:t>
      </w:r>
    </w:p>
    <w:p w14:paraId="31CE0FB9" w14:textId="77777777" w:rsidR="00ED0455" w:rsidRDefault="00ED0455" w:rsidP="00ED0455">
      <w:pPr>
        <w:spacing w:after="0"/>
        <w:jc w:val="center"/>
        <w:rPr>
          <w:lang w:val="en-CA"/>
        </w:rPr>
      </w:pPr>
      <w:r w:rsidRPr="00D20503">
        <w:rPr>
          <w:noProof/>
          <w:lang w:val="en-CA"/>
        </w:rPr>
        <w:lastRenderedPageBreak/>
        <w:drawing>
          <wp:inline distT="0" distB="0" distL="0" distR="0" wp14:anchorId="6C0D656F" wp14:editId="58F940B8">
            <wp:extent cx="5143500" cy="4524375"/>
            <wp:effectExtent l="0" t="0" r="0" b="9525"/>
            <wp:docPr id="1330129809" name="Picture 6" descr="A diagram of a weather foreca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53408" name="Picture 6" descr="A diagram of a weather forecas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0" cy="4524375"/>
                    </a:xfrm>
                    <a:prstGeom prst="rect">
                      <a:avLst/>
                    </a:prstGeom>
                    <a:noFill/>
                    <a:ln>
                      <a:noFill/>
                    </a:ln>
                  </pic:spPr>
                </pic:pic>
              </a:graphicData>
            </a:graphic>
          </wp:inline>
        </w:drawing>
      </w:r>
    </w:p>
    <w:p w14:paraId="493E09DE" w14:textId="3A72E76C" w:rsidR="00ED0455" w:rsidRPr="00A21D23" w:rsidRDefault="00ED0455" w:rsidP="00ED0455">
      <w:pPr>
        <w:rPr>
          <w:rFonts w:ascii="Lato" w:hAnsi="Lato"/>
        </w:rPr>
      </w:pPr>
      <w:r w:rsidRPr="000702D0">
        <w:rPr>
          <w:rFonts w:ascii="Lato" w:hAnsi="Lato"/>
          <w:b/>
          <w:bCs/>
        </w:rPr>
        <w:t>Figure S</w:t>
      </w:r>
      <w:r>
        <w:rPr>
          <w:rFonts w:ascii="Lato" w:hAnsi="Lato"/>
          <w:b/>
          <w:bCs/>
        </w:rPr>
        <w:t>3</w:t>
      </w:r>
      <w:r w:rsidRPr="000702D0">
        <w:rPr>
          <w:rFonts w:ascii="Lato" w:hAnsi="Lato"/>
        </w:rPr>
        <w:t xml:space="preserve"> </w:t>
      </w:r>
      <w:r w:rsidRPr="000702D0">
        <w:rPr>
          <w:rFonts w:ascii="Lato" w:hAnsi="Lato"/>
          <w:b/>
          <w:bCs/>
        </w:rPr>
        <w:t xml:space="preserve">| </w:t>
      </w:r>
      <w:r w:rsidR="00B57709" w:rsidRPr="007F5315">
        <w:rPr>
          <w:rFonts w:ascii="Lato" w:hAnsi="Lato"/>
        </w:rPr>
        <w:t>Correlation matrix for</w:t>
      </w:r>
      <w:r w:rsidR="00B57709">
        <w:rPr>
          <w:rFonts w:ascii="Lato" w:hAnsi="Lato"/>
        </w:rPr>
        <w:t xml:space="preserve"> </w:t>
      </w:r>
      <w:r w:rsidR="00B57709" w:rsidRPr="007F5315">
        <w:rPr>
          <w:rFonts w:ascii="Lato" w:hAnsi="Lato"/>
        </w:rPr>
        <w:t xml:space="preserve">potential factors influencing variation in detection efficiency in a </w:t>
      </w:r>
      <w:r w:rsidR="00B57709">
        <w:rPr>
          <w:rFonts w:ascii="Lato" w:hAnsi="Lato"/>
        </w:rPr>
        <w:t>large</w:t>
      </w:r>
      <w:r w:rsidR="00B57709" w:rsidRPr="007F5315">
        <w:rPr>
          <w:rFonts w:ascii="Lato" w:hAnsi="Lato"/>
        </w:rPr>
        <w:t>-scale range test (N=</w:t>
      </w:r>
      <w:r w:rsidR="00B57709">
        <w:rPr>
          <w:rFonts w:ascii="Lato" w:hAnsi="Lato"/>
        </w:rPr>
        <w:t>22</w:t>
      </w:r>
      <w:r w:rsidR="00B57709" w:rsidRPr="007F5315">
        <w:rPr>
          <w:rFonts w:ascii="Lato" w:hAnsi="Lato"/>
        </w:rPr>
        <w:t xml:space="preserve"> receiver stations).</w:t>
      </w:r>
      <w:r w:rsidR="00B57709">
        <w:rPr>
          <w:rFonts w:ascii="Lato" w:hAnsi="Lato"/>
        </w:rPr>
        <w:t xml:space="preserve"> </w:t>
      </w:r>
      <w:r w:rsidRPr="000702D0">
        <w:rPr>
          <w:rFonts w:ascii="Lato" w:hAnsi="Lato"/>
        </w:rPr>
        <w:t>Units of measurement for the displayed factors are as follows: bottom depth (m), precipitation (mm)</w:t>
      </w:r>
      <w:r>
        <w:rPr>
          <w:rFonts w:ascii="Lato" w:hAnsi="Lato"/>
        </w:rPr>
        <w:t xml:space="preserve">, </w:t>
      </w:r>
      <w:r w:rsidRPr="000702D0">
        <w:rPr>
          <w:rFonts w:ascii="Lato" w:hAnsi="Lato"/>
        </w:rPr>
        <w:t>wind speed (m/s),</w:t>
      </w:r>
      <w:r>
        <w:rPr>
          <w:rFonts w:ascii="Lato" w:hAnsi="Lato"/>
        </w:rPr>
        <w:t xml:space="preserve"> relative water level (m), ambient noise (mV), and </w:t>
      </w:r>
      <w:r w:rsidRPr="000702D0">
        <w:rPr>
          <w:rFonts w:ascii="Lato" w:hAnsi="Lato"/>
        </w:rPr>
        <w:t>temperature (°C).</w:t>
      </w:r>
      <w:r>
        <w:rPr>
          <w:rFonts w:ascii="Lato" w:hAnsi="Lato"/>
        </w:rPr>
        <w:t xml:space="preserve"> </w:t>
      </w:r>
      <w:r w:rsidRPr="000702D0">
        <w:rPr>
          <w:rFonts w:ascii="Lato" w:hAnsi="Lato"/>
        </w:rPr>
        <w:t xml:space="preserve"> </w:t>
      </w:r>
    </w:p>
    <w:p w14:paraId="651F3482" w14:textId="77777777" w:rsidR="00ED0455" w:rsidRPr="00ED0455" w:rsidRDefault="00ED0455">
      <w:pPr>
        <w:rPr>
          <w:rFonts w:ascii="Lato" w:hAnsi="Lato"/>
        </w:rPr>
      </w:pPr>
    </w:p>
    <w:p w14:paraId="659DD21A" w14:textId="77777777" w:rsidR="001455EB" w:rsidRDefault="001455EB">
      <w:pPr>
        <w:rPr>
          <w:rFonts w:ascii="Lato" w:hAnsi="Lato"/>
        </w:rPr>
      </w:pPr>
    </w:p>
    <w:p w14:paraId="6B777947" w14:textId="77777777" w:rsidR="001455EB" w:rsidRDefault="001455EB">
      <w:pPr>
        <w:rPr>
          <w:rFonts w:ascii="Lato" w:hAnsi="Lato"/>
        </w:rPr>
      </w:pPr>
    </w:p>
    <w:p w14:paraId="5F5659D4" w14:textId="77777777" w:rsidR="00B752EE" w:rsidRDefault="00B752EE">
      <w:pPr>
        <w:rPr>
          <w:rFonts w:ascii="Lato" w:hAnsi="Lato"/>
          <w:lang w:val="en-CA"/>
        </w:rPr>
      </w:pPr>
    </w:p>
    <w:p w14:paraId="6C30AEA0" w14:textId="77777777" w:rsidR="00834533" w:rsidRDefault="00834533">
      <w:pPr>
        <w:rPr>
          <w:rFonts w:ascii="Lato" w:hAnsi="Lato"/>
          <w:lang w:val="en-CA"/>
        </w:rPr>
      </w:pPr>
    </w:p>
    <w:p w14:paraId="25B541E8" w14:textId="7EC12D83" w:rsidR="00834533" w:rsidRPr="001817BA" w:rsidRDefault="001817BA" w:rsidP="001817BA">
      <w:pPr>
        <w:pStyle w:val="NormalWeb"/>
        <w:spacing w:after="0" w:afterAutospacing="0"/>
      </w:pPr>
      <w:r>
        <w:rPr>
          <w:noProof/>
        </w:rPr>
        <w:lastRenderedPageBreak/>
        <w:drawing>
          <wp:inline distT="0" distB="0" distL="0" distR="0" wp14:anchorId="6098A7DD" wp14:editId="150959A6">
            <wp:extent cx="5943600" cy="3275965"/>
            <wp:effectExtent l="0" t="0" r="0" b="635"/>
            <wp:docPr id="370500037" name="Picture 1" descr="A group of graphs showing the results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00037" name="Picture 1" descr="A group of graphs showing the results of a graph&#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275965"/>
                    </a:xfrm>
                    <a:prstGeom prst="rect">
                      <a:avLst/>
                    </a:prstGeom>
                    <a:noFill/>
                    <a:ln>
                      <a:noFill/>
                    </a:ln>
                  </pic:spPr>
                </pic:pic>
              </a:graphicData>
            </a:graphic>
          </wp:inline>
        </w:drawing>
      </w:r>
    </w:p>
    <w:p w14:paraId="02B2D639" w14:textId="3E7142AE" w:rsidR="0035692D" w:rsidRPr="00ED62E7" w:rsidRDefault="00834533" w:rsidP="00834533">
      <w:pPr>
        <w:rPr>
          <w:rFonts w:ascii="Lato" w:hAnsi="Lato"/>
        </w:rPr>
      </w:pPr>
      <w:r w:rsidRPr="00ED62E7">
        <w:rPr>
          <w:rFonts w:ascii="Lato" w:hAnsi="Lato"/>
          <w:b/>
          <w:bCs/>
        </w:rPr>
        <w:t>Figure S</w:t>
      </w:r>
      <w:r w:rsidR="00ED0455" w:rsidRPr="00ED62E7">
        <w:rPr>
          <w:rFonts w:ascii="Lato" w:hAnsi="Lato"/>
          <w:b/>
          <w:bCs/>
        </w:rPr>
        <w:t>4</w:t>
      </w:r>
      <w:r w:rsidRPr="00ED62E7">
        <w:rPr>
          <w:rFonts w:ascii="Lato" w:hAnsi="Lato"/>
        </w:rPr>
        <w:t xml:space="preserve"> </w:t>
      </w:r>
      <w:r w:rsidRPr="00ED62E7">
        <w:rPr>
          <w:rFonts w:ascii="Lato" w:hAnsi="Lato"/>
          <w:b/>
          <w:bCs/>
        </w:rPr>
        <w:t xml:space="preserve">| </w:t>
      </w:r>
      <w:r w:rsidR="00E30999" w:rsidRPr="00ED62E7">
        <w:rPr>
          <w:rFonts w:ascii="Lato" w:hAnsi="Lato"/>
        </w:rPr>
        <w:t>Predicted detection efficiency relative to distance from tag recorded in a large-scale range test array (N=22 receiver stations). P</w:t>
      </w:r>
      <w:r w:rsidR="00C5545A" w:rsidRPr="00ED62E7">
        <w:rPr>
          <w:rFonts w:ascii="Lato" w:hAnsi="Lato"/>
        </w:rPr>
        <w:t>anels depict changes in predicted detection efficiency with</w:t>
      </w:r>
      <w:r w:rsidR="00E30999" w:rsidRPr="00ED62E7">
        <w:rPr>
          <w:rFonts w:ascii="Lato" w:hAnsi="Lato"/>
        </w:rPr>
        <w:t xml:space="preserve"> variation in the sine and cosine of wind direction </w:t>
      </w:r>
      <w:r w:rsidR="0030609F" w:rsidRPr="00ED62E7">
        <w:rPr>
          <w:rFonts w:ascii="Lato" w:hAnsi="Lato"/>
        </w:rPr>
        <w:t xml:space="preserve">and </w:t>
      </w:r>
      <w:r w:rsidR="00E30999" w:rsidRPr="00ED62E7">
        <w:rPr>
          <w:rFonts w:ascii="Lato" w:hAnsi="Lato"/>
        </w:rPr>
        <w:t>all other variables held constant at their respective mean values. The effect of wind speed is shown by predicting detection efficiency at three wind speeds: the first quartile value (4 m/s), the mean value (6.1 m/s), and the 3</w:t>
      </w:r>
      <w:r w:rsidR="00E30999" w:rsidRPr="00ED62E7">
        <w:rPr>
          <w:rFonts w:ascii="Lato" w:hAnsi="Lato"/>
          <w:vertAlign w:val="superscript"/>
        </w:rPr>
        <w:t>rd</w:t>
      </w:r>
      <w:r w:rsidR="00E30999" w:rsidRPr="00ED62E7">
        <w:rPr>
          <w:rFonts w:ascii="Lato" w:hAnsi="Lato"/>
        </w:rPr>
        <w:t xml:space="preserve"> quartile value (8 m/s).    </w:t>
      </w:r>
    </w:p>
    <w:p w14:paraId="7C03F8B1" w14:textId="77777777" w:rsidR="007F0C32" w:rsidRDefault="007F0C32" w:rsidP="00834533">
      <w:pPr>
        <w:rPr>
          <w:rFonts w:ascii="Lato" w:hAnsi="Lato"/>
          <w:sz w:val="20"/>
          <w:szCs w:val="20"/>
        </w:rPr>
      </w:pPr>
    </w:p>
    <w:p w14:paraId="17DA2E22" w14:textId="77777777" w:rsidR="007F0C32" w:rsidRDefault="007F0C32" w:rsidP="00834533">
      <w:pPr>
        <w:rPr>
          <w:rFonts w:ascii="Lato" w:hAnsi="Lato"/>
          <w:sz w:val="20"/>
          <w:szCs w:val="20"/>
        </w:rPr>
      </w:pPr>
    </w:p>
    <w:p w14:paraId="549C375C" w14:textId="77777777" w:rsidR="007F0C32" w:rsidRDefault="007F0C32" w:rsidP="007F0C32">
      <w:pPr>
        <w:spacing w:after="0" w:line="240" w:lineRule="auto"/>
        <w:rPr>
          <w:rFonts w:ascii="Lato" w:hAnsi="Lato"/>
        </w:rPr>
      </w:pPr>
      <w:r>
        <w:rPr>
          <w:rFonts w:ascii="Lato" w:hAnsi="Lato"/>
          <w:b/>
          <w:bCs/>
        </w:rPr>
        <w:t>Table</w:t>
      </w:r>
      <w:r w:rsidRPr="000831EE">
        <w:rPr>
          <w:rFonts w:ascii="Lato" w:hAnsi="Lato"/>
          <w:b/>
          <w:bCs/>
        </w:rPr>
        <w:t xml:space="preserve"> </w:t>
      </w:r>
      <w:r>
        <w:rPr>
          <w:rFonts w:ascii="Lato" w:hAnsi="Lato"/>
          <w:b/>
          <w:bCs/>
        </w:rPr>
        <w:t>S1</w:t>
      </w:r>
      <w:r w:rsidRPr="000831EE">
        <w:rPr>
          <w:rFonts w:ascii="Lato" w:hAnsi="Lato"/>
        </w:rPr>
        <w:t xml:space="preserve"> </w:t>
      </w:r>
      <w:r w:rsidRPr="00F96E37">
        <w:rPr>
          <w:rFonts w:ascii="Lato" w:hAnsi="Lato"/>
          <w:b/>
          <w:bCs/>
        </w:rPr>
        <w:t xml:space="preserve">|  </w:t>
      </w:r>
      <w:r>
        <w:rPr>
          <w:rFonts w:ascii="Lato" w:hAnsi="Lato"/>
        </w:rPr>
        <w:t xml:space="preserve">Results of a likelihood ratio test to compare a null model and two versions of the logistic regression model with and without and interaction between wind speed and the combined effects of sine of wind direction and cosine of wind direction. </w:t>
      </w:r>
    </w:p>
    <w:tbl>
      <w:tblPr>
        <w:tblW w:w="0" w:type="auto"/>
        <w:tblLook w:val="04A0" w:firstRow="1" w:lastRow="0" w:firstColumn="1" w:lastColumn="0" w:noHBand="0" w:noVBand="1"/>
      </w:tblPr>
      <w:tblGrid>
        <w:gridCol w:w="332"/>
        <w:gridCol w:w="3648"/>
        <w:gridCol w:w="1024"/>
        <w:gridCol w:w="1165"/>
        <w:gridCol w:w="440"/>
        <w:gridCol w:w="1049"/>
        <w:gridCol w:w="937"/>
        <w:gridCol w:w="765"/>
      </w:tblGrid>
      <w:tr w:rsidR="007F0C32" w:rsidRPr="00826C48" w14:paraId="4D89FC67" w14:textId="77777777" w:rsidTr="006776C5">
        <w:trPr>
          <w:trHeight w:val="300"/>
        </w:trPr>
        <w:tc>
          <w:tcPr>
            <w:tcW w:w="0" w:type="auto"/>
            <w:tcBorders>
              <w:top w:val="single" w:sz="4" w:space="0" w:color="auto"/>
              <w:left w:val="nil"/>
              <w:bottom w:val="single" w:sz="8" w:space="0" w:color="auto"/>
              <w:right w:val="nil"/>
            </w:tcBorders>
            <w:shd w:val="clear" w:color="auto" w:fill="auto"/>
            <w:noWrap/>
            <w:vAlign w:val="bottom"/>
            <w:hideMark/>
          </w:tcPr>
          <w:p w14:paraId="08049CEA" w14:textId="77777777" w:rsidR="007F0C32" w:rsidRPr="00826C48" w:rsidRDefault="007F0C32" w:rsidP="006776C5">
            <w:pPr>
              <w:spacing w:after="0"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 </w:t>
            </w:r>
          </w:p>
        </w:tc>
        <w:tc>
          <w:tcPr>
            <w:tcW w:w="0" w:type="auto"/>
            <w:tcBorders>
              <w:top w:val="single" w:sz="4" w:space="0" w:color="auto"/>
              <w:left w:val="nil"/>
              <w:bottom w:val="single" w:sz="8" w:space="0" w:color="auto"/>
              <w:right w:val="nil"/>
            </w:tcBorders>
            <w:shd w:val="clear" w:color="auto" w:fill="auto"/>
            <w:noWrap/>
            <w:vAlign w:val="bottom"/>
            <w:hideMark/>
          </w:tcPr>
          <w:p w14:paraId="34048457"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Model</w:t>
            </w:r>
          </w:p>
        </w:tc>
        <w:tc>
          <w:tcPr>
            <w:tcW w:w="0" w:type="auto"/>
            <w:tcBorders>
              <w:top w:val="single" w:sz="4" w:space="0" w:color="auto"/>
              <w:left w:val="nil"/>
              <w:bottom w:val="single" w:sz="8" w:space="0" w:color="auto"/>
              <w:right w:val="nil"/>
            </w:tcBorders>
            <w:shd w:val="clear" w:color="auto" w:fill="auto"/>
            <w:noWrap/>
            <w:vAlign w:val="bottom"/>
            <w:hideMark/>
          </w:tcPr>
          <w:p w14:paraId="2C55D473"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Resid. Df</w:t>
            </w:r>
          </w:p>
        </w:tc>
        <w:tc>
          <w:tcPr>
            <w:tcW w:w="0" w:type="auto"/>
            <w:tcBorders>
              <w:top w:val="single" w:sz="4" w:space="0" w:color="auto"/>
              <w:left w:val="nil"/>
              <w:bottom w:val="single" w:sz="8" w:space="0" w:color="auto"/>
              <w:right w:val="nil"/>
            </w:tcBorders>
            <w:shd w:val="clear" w:color="auto" w:fill="auto"/>
            <w:noWrap/>
            <w:vAlign w:val="bottom"/>
            <w:hideMark/>
          </w:tcPr>
          <w:p w14:paraId="73C40742"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Resid. Dev</w:t>
            </w:r>
          </w:p>
        </w:tc>
        <w:tc>
          <w:tcPr>
            <w:tcW w:w="0" w:type="auto"/>
            <w:tcBorders>
              <w:top w:val="single" w:sz="4" w:space="0" w:color="auto"/>
              <w:left w:val="nil"/>
              <w:bottom w:val="single" w:sz="8" w:space="0" w:color="auto"/>
              <w:right w:val="nil"/>
            </w:tcBorders>
            <w:shd w:val="clear" w:color="auto" w:fill="auto"/>
            <w:noWrap/>
            <w:vAlign w:val="bottom"/>
            <w:hideMark/>
          </w:tcPr>
          <w:p w14:paraId="425753C1"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Df</w:t>
            </w:r>
          </w:p>
        </w:tc>
        <w:tc>
          <w:tcPr>
            <w:tcW w:w="0" w:type="auto"/>
            <w:tcBorders>
              <w:top w:val="single" w:sz="4" w:space="0" w:color="auto"/>
              <w:left w:val="nil"/>
              <w:bottom w:val="single" w:sz="8" w:space="0" w:color="auto"/>
              <w:right w:val="nil"/>
            </w:tcBorders>
            <w:shd w:val="clear" w:color="auto" w:fill="auto"/>
            <w:noWrap/>
            <w:vAlign w:val="bottom"/>
            <w:hideMark/>
          </w:tcPr>
          <w:p w14:paraId="2B34F8CB"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Deviance</w:t>
            </w:r>
          </w:p>
        </w:tc>
        <w:tc>
          <w:tcPr>
            <w:tcW w:w="0" w:type="auto"/>
            <w:tcBorders>
              <w:top w:val="single" w:sz="4" w:space="0" w:color="auto"/>
              <w:left w:val="nil"/>
              <w:bottom w:val="single" w:sz="8" w:space="0" w:color="auto"/>
              <w:right w:val="nil"/>
            </w:tcBorders>
            <w:shd w:val="clear" w:color="auto" w:fill="auto"/>
            <w:noWrap/>
            <w:vAlign w:val="bottom"/>
            <w:hideMark/>
          </w:tcPr>
          <w:p w14:paraId="2A3949E1"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sidRPr="00826C48">
              <w:rPr>
                <w:rFonts w:ascii="Lato" w:eastAsia="Times New Roman" w:hAnsi="Lato" w:cs="Calibri"/>
                <w:b/>
                <w:bCs/>
                <w:color w:val="000000"/>
                <w:sz w:val="20"/>
                <w:szCs w:val="20"/>
                <w:lang w:eastAsia="en-CA"/>
              </w:rPr>
              <w:t>Pr(&gt;Chi)</w:t>
            </w:r>
          </w:p>
        </w:tc>
        <w:tc>
          <w:tcPr>
            <w:tcW w:w="0" w:type="auto"/>
            <w:tcBorders>
              <w:top w:val="single" w:sz="4" w:space="0" w:color="auto"/>
              <w:left w:val="nil"/>
              <w:bottom w:val="single" w:sz="8" w:space="0" w:color="auto"/>
              <w:right w:val="nil"/>
            </w:tcBorders>
            <w:vAlign w:val="bottom"/>
          </w:tcPr>
          <w:p w14:paraId="72D4172D" w14:textId="77777777" w:rsidR="007F0C32" w:rsidRPr="00826C48" w:rsidRDefault="007F0C32" w:rsidP="006776C5">
            <w:pPr>
              <w:spacing w:after="0" w:line="240" w:lineRule="auto"/>
              <w:rPr>
                <w:rFonts w:ascii="Lato" w:eastAsia="Times New Roman" w:hAnsi="Lato" w:cs="Calibri"/>
                <w:b/>
                <w:bCs/>
                <w:color w:val="000000"/>
                <w:sz w:val="20"/>
                <w:szCs w:val="20"/>
                <w:lang w:eastAsia="en-CA"/>
              </w:rPr>
            </w:pPr>
            <w:r>
              <w:rPr>
                <w:rFonts w:ascii="Lato" w:eastAsia="Times New Roman" w:hAnsi="Lato" w:cs="Calibri"/>
                <w:b/>
                <w:bCs/>
                <w:color w:val="000000"/>
                <w:sz w:val="20"/>
                <w:szCs w:val="20"/>
                <w:lang w:eastAsia="en-CA"/>
              </w:rPr>
              <w:t>Signif.</w:t>
            </w:r>
          </w:p>
        </w:tc>
      </w:tr>
      <w:tr w:rsidR="007F0C32" w:rsidRPr="00791CC5" w14:paraId="2DA9E018" w14:textId="77777777" w:rsidTr="006776C5">
        <w:trPr>
          <w:trHeight w:val="288"/>
        </w:trPr>
        <w:tc>
          <w:tcPr>
            <w:tcW w:w="0" w:type="auto"/>
            <w:tcBorders>
              <w:top w:val="nil"/>
              <w:left w:val="nil"/>
              <w:bottom w:val="nil"/>
              <w:right w:val="nil"/>
            </w:tcBorders>
            <w:shd w:val="clear" w:color="auto" w:fill="auto"/>
            <w:noWrap/>
            <w:hideMark/>
          </w:tcPr>
          <w:p w14:paraId="41A4DA5A"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1</w:t>
            </w:r>
          </w:p>
        </w:tc>
        <w:tc>
          <w:tcPr>
            <w:tcW w:w="0" w:type="auto"/>
            <w:tcBorders>
              <w:top w:val="nil"/>
              <w:left w:val="nil"/>
              <w:bottom w:val="nil"/>
              <w:right w:val="nil"/>
            </w:tcBorders>
            <w:shd w:val="clear" w:color="auto" w:fill="auto"/>
            <w:hideMark/>
          </w:tcPr>
          <w:p w14:paraId="6C598DDA"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better ~ 1</w:t>
            </w:r>
          </w:p>
        </w:tc>
        <w:tc>
          <w:tcPr>
            <w:tcW w:w="0" w:type="auto"/>
            <w:tcBorders>
              <w:top w:val="nil"/>
              <w:left w:val="nil"/>
              <w:bottom w:val="nil"/>
              <w:right w:val="nil"/>
            </w:tcBorders>
            <w:shd w:val="clear" w:color="auto" w:fill="auto"/>
            <w:noWrap/>
            <w:hideMark/>
          </w:tcPr>
          <w:p w14:paraId="42A3D842"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10655</w:t>
            </w:r>
          </w:p>
        </w:tc>
        <w:tc>
          <w:tcPr>
            <w:tcW w:w="0" w:type="auto"/>
            <w:tcBorders>
              <w:top w:val="nil"/>
              <w:left w:val="nil"/>
              <w:bottom w:val="nil"/>
              <w:right w:val="nil"/>
            </w:tcBorders>
            <w:shd w:val="clear" w:color="auto" w:fill="auto"/>
            <w:noWrap/>
            <w:hideMark/>
          </w:tcPr>
          <w:p w14:paraId="22AC43C1"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12052.1</w:t>
            </w:r>
          </w:p>
        </w:tc>
        <w:tc>
          <w:tcPr>
            <w:tcW w:w="0" w:type="auto"/>
            <w:tcBorders>
              <w:top w:val="nil"/>
              <w:left w:val="nil"/>
              <w:bottom w:val="nil"/>
              <w:right w:val="nil"/>
            </w:tcBorders>
            <w:shd w:val="clear" w:color="auto" w:fill="auto"/>
            <w:noWrap/>
            <w:hideMark/>
          </w:tcPr>
          <w:p w14:paraId="45B00C8B"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p>
        </w:tc>
        <w:tc>
          <w:tcPr>
            <w:tcW w:w="0" w:type="auto"/>
            <w:tcBorders>
              <w:top w:val="nil"/>
              <w:left w:val="nil"/>
              <w:bottom w:val="nil"/>
              <w:right w:val="nil"/>
            </w:tcBorders>
            <w:shd w:val="clear" w:color="auto" w:fill="auto"/>
            <w:noWrap/>
            <w:hideMark/>
          </w:tcPr>
          <w:p w14:paraId="0DDE0AA3" w14:textId="77777777" w:rsidR="007F0C32" w:rsidRPr="00826C48" w:rsidRDefault="007F0C32" w:rsidP="006776C5">
            <w:pPr>
              <w:spacing w:line="240" w:lineRule="auto"/>
              <w:jc w:val="right"/>
              <w:rPr>
                <w:rFonts w:ascii="Lato" w:eastAsia="Times New Roman" w:hAnsi="Lato" w:cs="Times New Roman"/>
                <w:sz w:val="20"/>
                <w:szCs w:val="20"/>
                <w:lang w:eastAsia="en-CA"/>
              </w:rPr>
            </w:pPr>
          </w:p>
        </w:tc>
        <w:tc>
          <w:tcPr>
            <w:tcW w:w="0" w:type="auto"/>
            <w:tcBorders>
              <w:top w:val="nil"/>
              <w:left w:val="nil"/>
              <w:bottom w:val="nil"/>
              <w:right w:val="nil"/>
            </w:tcBorders>
            <w:shd w:val="clear" w:color="auto" w:fill="auto"/>
            <w:noWrap/>
            <w:hideMark/>
          </w:tcPr>
          <w:p w14:paraId="1A4AD666" w14:textId="77777777" w:rsidR="007F0C32" w:rsidRPr="00826C48" w:rsidRDefault="007F0C32" w:rsidP="006776C5">
            <w:pPr>
              <w:spacing w:line="240" w:lineRule="auto"/>
              <w:jc w:val="right"/>
              <w:rPr>
                <w:rFonts w:ascii="Lato" w:eastAsia="Times New Roman" w:hAnsi="Lato" w:cs="Times New Roman"/>
                <w:sz w:val="20"/>
                <w:szCs w:val="20"/>
                <w:lang w:eastAsia="en-CA"/>
              </w:rPr>
            </w:pPr>
          </w:p>
        </w:tc>
        <w:tc>
          <w:tcPr>
            <w:tcW w:w="0" w:type="auto"/>
            <w:tcBorders>
              <w:top w:val="nil"/>
              <w:left w:val="nil"/>
              <w:bottom w:val="nil"/>
              <w:right w:val="nil"/>
            </w:tcBorders>
          </w:tcPr>
          <w:p w14:paraId="440FCFF6" w14:textId="77777777" w:rsidR="007F0C32" w:rsidRPr="00826C48" w:rsidRDefault="007F0C32" w:rsidP="006776C5">
            <w:pPr>
              <w:spacing w:line="240" w:lineRule="auto"/>
              <w:rPr>
                <w:rFonts w:ascii="Lato" w:eastAsia="Times New Roman" w:hAnsi="Lato" w:cs="Times New Roman"/>
                <w:sz w:val="20"/>
                <w:szCs w:val="20"/>
                <w:lang w:eastAsia="en-CA"/>
              </w:rPr>
            </w:pPr>
          </w:p>
        </w:tc>
      </w:tr>
      <w:tr w:rsidR="007F0C32" w:rsidRPr="00791CC5" w14:paraId="7943545F" w14:textId="77777777" w:rsidTr="006776C5">
        <w:trPr>
          <w:trHeight w:val="144"/>
        </w:trPr>
        <w:tc>
          <w:tcPr>
            <w:tcW w:w="0" w:type="auto"/>
            <w:tcBorders>
              <w:top w:val="nil"/>
              <w:left w:val="nil"/>
              <w:bottom w:val="nil"/>
              <w:right w:val="nil"/>
            </w:tcBorders>
            <w:shd w:val="clear" w:color="auto" w:fill="auto"/>
            <w:noWrap/>
            <w:hideMark/>
          </w:tcPr>
          <w:p w14:paraId="6906B662"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2</w:t>
            </w:r>
          </w:p>
        </w:tc>
        <w:tc>
          <w:tcPr>
            <w:tcW w:w="0" w:type="auto"/>
            <w:tcBorders>
              <w:top w:val="nil"/>
              <w:left w:val="nil"/>
              <w:bottom w:val="nil"/>
              <w:right w:val="nil"/>
            </w:tcBorders>
            <w:shd w:val="clear" w:color="auto" w:fill="auto"/>
            <w:hideMark/>
          </w:tcPr>
          <w:p w14:paraId="418FBA3F"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 xml:space="preserve">better ~ wind_speed + wind_dir_sine + wind_dir_cosine + mean_t + </w:t>
            </w:r>
            <w:r w:rsidRPr="00770C7A">
              <w:rPr>
                <w:rFonts w:ascii="Lato" w:eastAsia="Times New Roman" w:hAnsi="Lato" w:cs="Calibri"/>
                <w:color w:val="000000"/>
                <w:sz w:val="20"/>
                <w:szCs w:val="20"/>
                <w:lang w:eastAsia="en-CA"/>
              </w:rPr>
              <w:t xml:space="preserve"> precip_mm + daynight + depth_m + </w:t>
            </w:r>
            <w:r>
              <w:rPr>
                <w:rFonts w:ascii="Lato" w:eastAsia="Times New Roman" w:hAnsi="Lato" w:cs="Calibri"/>
                <w:color w:val="000000"/>
                <w:sz w:val="20"/>
                <w:szCs w:val="20"/>
                <w:lang w:eastAsia="en-CA"/>
              </w:rPr>
              <w:t>water_level</w:t>
            </w:r>
          </w:p>
        </w:tc>
        <w:tc>
          <w:tcPr>
            <w:tcW w:w="0" w:type="auto"/>
            <w:tcBorders>
              <w:top w:val="nil"/>
              <w:left w:val="nil"/>
              <w:bottom w:val="nil"/>
              <w:right w:val="nil"/>
            </w:tcBorders>
            <w:shd w:val="clear" w:color="auto" w:fill="auto"/>
            <w:noWrap/>
            <w:hideMark/>
          </w:tcPr>
          <w:p w14:paraId="41E8EB43"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1064</w:t>
            </w:r>
            <w:r>
              <w:rPr>
                <w:rFonts w:ascii="Lato" w:eastAsia="Times New Roman" w:hAnsi="Lato" w:cs="Calibri"/>
                <w:color w:val="000000"/>
                <w:sz w:val="20"/>
                <w:szCs w:val="20"/>
                <w:lang w:eastAsia="en-CA"/>
              </w:rPr>
              <w:t>7</w:t>
            </w:r>
          </w:p>
        </w:tc>
        <w:tc>
          <w:tcPr>
            <w:tcW w:w="0" w:type="auto"/>
            <w:tcBorders>
              <w:top w:val="nil"/>
              <w:left w:val="nil"/>
              <w:bottom w:val="nil"/>
              <w:right w:val="nil"/>
            </w:tcBorders>
            <w:shd w:val="clear" w:color="auto" w:fill="auto"/>
            <w:noWrap/>
            <w:hideMark/>
          </w:tcPr>
          <w:p w14:paraId="1F964428"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96</w:t>
            </w:r>
            <w:r>
              <w:rPr>
                <w:rFonts w:ascii="Lato" w:eastAsia="Times New Roman" w:hAnsi="Lato" w:cs="Calibri"/>
                <w:color w:val="000000"/>
                <w:sz w:val="20"/>
                <w:szCs w:val="20"/>
                <w:lang w:eastAsia="en-CA"/>
              </w:rPr>
              <w:t>95</w:t>
            </w:r>
            <w:r w:rsidRPr="00826C48">
              <w:rPr>
                <w:rFonts w:ascii="Lato" w:eastAsia="Times New Roman" w:hAnsi="Lato" w:cs="Calibri"/>
                <w:color w:val="000000"/>
                <w:sz w:val="20"/>
                <w:szCs w:val="20"/>
                <w:lang w:eastAsia="en-CA"/>
              </w:rPr>
              <w:t>.</w:t>
            </w:r>
            <w:r>
              <w:rPr>
                <w:rFonts w:ascii="Lato" w:eastAsia="Times New Roman" w:hAnsi="Lato" w:cs="Calibri"/>
                <w:color w:val="000000"/>
                <w:sz w:val="20"/>
                <w:szCs w:val="20"/>
                <w:lang w:eastAsia="en-CA"/>
              </w:rPr>
              <w:t>6</w:t>
            </w:r>
          </w:p>
        </w:tc>
        <w:tc>
          <w:tcPr>
            <w:tcW w:w="0" w:type="auto"/>
            <w:tcBorders>
              <w:top w:val="nil"/>
              <w:left w:val="nil"/>
              <w:bottom w:val="nil"/>
              <w:right w:val="nil"/>
            </w:tcBorders>
            <w:shd w:val="clear" w:color="auto" w:fill="auto"/>
            <w:noWrap/>
            <w:hideMark/>
          </w:tcPr>
          <w:p w14:paraId="62C16BB3"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Pr>
                <w:rFonts w:ascii="Lato" w:eastAsia="Times New Roman" w:hAnsi="Lato" w:cs="Calibri"/>
                <w:color w:val="000000"/>
                <w:sz w:val="20"/>
                <w:szCs w:val="20"/>
                <w:lang w:eastAsia="en-CA"/>
              </w:rPr>
              <w:t>8</w:t>
            </w:r>
          </w:p>
        </w:tc>
        <w:tc>
          <w:tcPr>
            <w:tcW w:w="0" w:type="auto"/>
            <w:tcBorders>
              <w:top w:val="nil"/>
              <w:left w:val="nil"/>
              <w:bottom w:val="nil"/>
              <w:right w:val="nil"/>
            </w:tcBorders>
            <w:shd w:val="clear" w:color="auto" w:fill="auto"/>
            <w:noWrap/>
            <w:hideMark/>
          </w:tcPr>
          <w:p w14:paraId="314DA292"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2</w:t>
            </w:r>
            <w:r>
              <w:rPr>
                <w:rFonts w:ascii="Lato" w:eastAsia="Times New Roman" w:hAnsi="Lato" w:cs="Calibri"/>
                <w:color w:val="000000"/>
                <w:sz w:val="20"/>
                <w:szCs w:val="20"/>
                <w:lang w:eastAsia="en-CA"/>
              </w:rPr>
              <w:t>356.5</w:t>
            </w:r>
          </w:p>
        </w:tc>
        <w:tc>
          <w:tcPr>
            <w:tcW w:w="0" w:type="auto"/>
            <w:tcBorders>
              <w:top w:val="nil"/>
              <w:left w:val="nil"/>
              <w:bottom w:val="nil"/>
              <w:right w:val="nil"/>
            </w:tcBorders>
            <w:shd w:val="clear" w:color="auto" w:fill="auto"/>
            <w:noWrap/>
            <w:hideMark/>
          </w:tcPr>
          <w:p w14:paraId="0A628E23"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&lt;</w:t>
            </w:r>
            <w:r>
              <w:rPr>
                <w:rFonts w:ascii="Lato" w:eastAsia="Times New Roman" w:hAnsi="Lato" w:cs="Calibri"/>
                <w:color w:val="000000"/>
                <w:sz w:val="20"/>
                <w:szCs w:val="20"/>
                <w:lang w:eastAsia="en-CA"/>
              </w:rPr>
              <w:t>0.001</w:t>
            </w:r>
          </w:p>
        </w:tc>
        <w:tc>
          <w:tcPr>
            <w:tcW w:w="0" w:type="auto"/>
            <w:tcBorders>
              <w:top w:val="nil"/>
              <w:left w:val="nil"/>
              <w:bottom w:val="nil"/>
              <w:right w:val="nil"/>
            </w:tcBorders>
          </w:tcPr>
          <w:p w14:paraId="01F3990E"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w:t>
            </w:r>
          </w:p>
        </w:tc>
      </w:tr>
      <w:tr w:rsidR="007F0C32" w:rsidRPr="00791CC5" w14:paraId="7AE1F0B4" w14:textId="77777777" w:rsidTr="006776C5">
        <w:trPr>
          <w:trHeight w:val="144"/>
        </w:trPr>
        <w:tc>
          <w:tcPr>
            <w:tcW w:w="0" w:type="auto"/>
            <w:tcBorders>
              <w:top w:val="nil"/>
              <w:left w:val="nil"/>
              <w:bottom w:val="single" w:sz="4" w:space="0" w:color="auto"/>
              <w:right w:val="nil"/>
            </w:tcBorders>
            <w:shd w:val="clear" w:color="auto" w:fill="auto"/>
            <w:noWrap/>
            <w:hideMark/>
          </w:tcPr>
          <w:p w14:paraId="2708B9C0"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3</w:t>
            </w:r>
          </w:p>
        </w:tc>
        <w:tc>
          <w:tcPr>
            <w:tcW w:w="0" w:type="auto"/>
            <w:tcBorders>
              <w:top w:val="nil"/>
              <w:left w:val="nil"/>
              <w:bottom w:val="single" w:sz="4" w:space="0" w:color="auto"/>
              <w:right w:val="nil"/>
            </w:tcBorders>
            <w:shd w:val="clear" w:color="auto" w:fill="auto"/>
            <w:hideMark/>
          </w:tcPr>
          <w:p w14:paraId="14CAC143"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better ~ wind_speed * (wind_dir_sine + wind_dir_cosine) + mean_t +</w:t>
            </w:r>
            <w:r>
              <w:rPr>
                <w:rFonts w:ascii="Lato" w:eastAsia="Times New Roman" w:hAnsi="Lato" w:cs="Calibri"/>
                <w:color w:val="000000"/>
                <w:sz w:val="20"/>
                <w:szCs w:val="20"/>
                <w:lang w:eastAsia="en-CA"/>
              </w:rPr>
              <w:t xml:space="preserve"> </w:t>
            </w:r>
            <w:r w:rsidRPr="00770C7A">
              <w:rPr>
                <w:rFonts w:ascii="Lato" w:eastAsia="Times New Roman" w:hAnsi="Lato" w:cs="Calibri"/>
                <w:color w:val="000000"/>
                <w:sz w:val="20"/>
                <w:szCs w:val="20"/>
                <w:lang w:eastAsia="en-CA"/>
              </w:rPr>
              <w:t xml:space="preserve">precip_mm + daynight + depth_m + </w:t>
            </w:r>
            <w:r>
              <w:rPr>
                <w:rFonts w:ascii="Lato" w:eastAsia="Times New Roman" w:hAnsi="Lato" w:cs="Calibri"/>
                <w:color w:val="000000"/>
                <w:sz w:val="20"/>
                <w:szCs w:val="20"/>
                <w:lang w:eastAsia="en-CA"/>
              </w:rPr>
              <w:t>water_level</w:t>
            </w:r>
          </w:p>
        </w:tc>
        <w:tc>
          <w:tcPr>
            <w:tcW w:w="0" w:type="auto"/>
            <w:tcBorders>
              <w:top w:val="nil"/>
              <w:left w:val="nil"/>
              <w:bottom w:val="single" w:sz="4" w:space="0" w:color="auto"/>
              <w:right w:val="nil"/>
            </w:tcBorders>
            <w:shd w:val="clear" w:color="auto" w:fill="auto"/>
            <w:noWrap/>
            <w:hideMark/>
          </w:tcPr>
          <w:p w14:paraId="4164D7E5"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1064</w:t>
            </w:r>
            <w:r>
              <w:rPr>
                <w:rFonts w:ascii="Lato" w:eastAsia="Times New Roman" w:hAnsi="Lato" w:cs="Calibri"/>
                <w:color w:val="000000"/>
                <w:sz w:val="20"/>
                <w:szCs w:val="20"/>
                <w:lang w:eastAsia="en-CA"/>
              </w:rPr>
              <w:t>5</w:t>
            </w:r>
          </w:p>
        </w:tc>
        <w:tc>
          <w:tcPr>
            <w:tcW w:w="0" w:type="auto"/>
            <w:tcBorders>
              <w:top w:val="nil"/>
              <w:left w:val="nil"/>
              <w:bottom w:val="single" w:sz="4" w:space="0" w:color="auto"/>
              <w:right w:val="nil"/>
            </w:tcBorders>
            <w:shd w:val="clear" w:color="auto" w:fill="auto"/>
            <w:noWrap/>
            <w:hideMark/>
          </w:tcPr>
          <w:p w14:paraId="54BB3AA4"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9</w:t>
            </w:r>
            <w:r>
              <w:rPr>
                <w:rFonts w:ascii="Lato" w:eastAsia="Times New Roman" w:hAnsi="Lato" w:cs="Calibri"/>
                <w:color w:val="000000"/>
                <w:sz w:val="20"/>
                <w:szCs w:val="20"/>
                <w:lang w:eastAsia="en-CA"/>
              </w:rPr>
              <w:t>604.1</w:t>
            </w:r>
          </w:p>
        </w:tc>
        <w:tc>
          <w:tcPr>
            <w:tcW w:w="0" w:type="auto"/>
            <w:tcBorders>
              <w:top w:val="nil"/>
              <w:left w:val="nil"/>
              <w:bottom w:val="single" w:sz="4" w:space="0" w:color="auto"/>
              <w:right w:val="nil"/>
            </w:tcBorders>
            <w:shd w:val="clear" w:color="auto" w:fill="auto"/>
            <w:noWrap/>
            <w:hideMark/>
          </w:tcPr>
          <w:p w14:paraId="2DC5863D"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2</w:t>
            </w:r>
          </w:p>
        </w:tc>
        <w:tc>
          <w:tcPr>
            <w:tcW w:w="0" w:type="auto"/>
            <w:tcBorders>
              <w:top w:val="nil"/>
              <w:left w:val="nil"/>
              <w:bottom w:val="single" w:sz="4" w:space="0" w:color="auto"/>
              <w:right w:val="nil"/>
            </w:tcBorders>
            <w:shd w:val="clear" w:color="auto" w:fill="auto"/>
            <w:noWrap/>
            <w:hideMark/>
          </w:tcPr>
          <w:p w14:paraId="0DBB91C7"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Pr>
                <w:rFonts w:ascii="Lato" w:eastAsia="Times New Roman" w:hAnsi="Lato" w:cs="Calibri"/>
                <w:color w:val="000000"/>
                <w:sz w:val="20"/>
                <w:szCs w:val="20"/>
                <w:lang w:eastAsia="en-CA"/>
              </w:rPr>
              <w:t>91.5</w:t>
            </w:r>
          </w:p>
        </w:tc>
        <w:tc>
          <w:tcPr>
            <w:tcW w:w="0" w:type="auto"/>
            <w:tcBorders>
              <w:top w:val="nil"/>
              <w:left w:val="nil"/>
              <w:bottom w:val="single" w:sz="4" w:space="0" w:color="auto"/>
              <w:right w:val="nil"/>
            </w:tcBorders>
            <w:shd w:val="clear" w:color="auto" w:fill="auto"/>
            <w:noWrap/>
            <w:hideMark/>
          </w:tcPr>
          <w:p w14:paraId="6FD43AEF" w14:textId="77777777" w:rsidR="007F0C32" w:rsidRPr="00826C48" w:rsidRDefault="007F0C32" w:rsidP="006776C5">
            <w:pPr>
              <w:spacing w:line="240" w:lineRule="auto"/>
              <w:jc w:val="right"/>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&lt;</w:t>
            </w:r>
            <w:r>
              <w:rPr>
                <w:rFonts w:ascii="Lato" w:eastAsia="Times New Roman" w:hAnsi="Lato" w:cs="Calibri"/>
                <w:color w:val="000000"/>
                <w:sz w:val="20"/>
                <w:szCs w:val="20"/>
                <w:lang w:eastAsia="en-CA"/>
              </w:rPr>
              <w:t>0.001</w:t>
            </w:r>
          </w:p>
        </w:tc>
        <w:tc>
          <w:tcPr>
            <w:tcW w:w="0" w:type="auto"/>
            <w:tcBorders>
              <w:top w:val="nil"/>
              <w:left w:val="nil"/>
              <w:bottom w:val="single" w:sz="4" w:space="0" w:color="auto"/>
              <w:right w:val="nil"/>
            </w:tcBorders>
          </w:tcPr>
          <w:p w14:paraId="3BE5D324" w14:textId="77777777" w:rsidR="007F0C32" w:rsidRPr="00826C48" w:rsidRDefault="007F0C32" w:rsidP="006776C5">
            <w:pPr>
              <w:spacing w:line="240" w:lineRule="auto"/>
              <w:rPr>
                <w:rFonts w:ascii="Lato" w:eastAsia="Times New Roman" w:hAnsi="Lato" w:cs="Calibri"/>
                <w:color w:val="000000"/>
                <w:sz w:val="20"/>
                <w:szCs w:val="20"/>
                <w:lang w:eastAsia="en-CA"/>
              </w:rPr>
            </w:pPr>
            <w:r w:rsidRPr="00826C48">
              <w:rPr>
                <w:rFonts w:ascii="Lato" w:eastAsia="Times New Roman" w:hAnsi="Lato" w:cs="Calibri"/>
                <w:color w:val="000000"/>
                <w:sz w:val="20"/>
                <w:szCs w:val="20"/>
                <w:lang w:eastAsia="en-CA"/>
              </w:rPr>
              <w:t>***</w:t>
            </w:r>
          </w:p>
        </w:tc>
      </w:tr>
    </w:tbl>
    <w:p w14:paraId="48DC276B" w14:textId="77777777" w:rsidR="007F0C32" w:rsidRDefault="007F0C32" w:rsidP="007F0C32">
      <w:pPr>
        <w:pStyle w:val="HTMLPreformatted"/>
        <w:shd w:val="clear" w:color="auto" w:fill="FFFFFF"/>
        <w:rPr>
          <w:rFonts w:ascii="Lucida Console" w:hAnsi="Lucida Console"/>
          <w:color w:val="404040"/>
        </w:rPr>
      </w:pPr>
    </w:p>
    <w:p w14:paraId="218E89A6" w14:textId="1476A17F" w:rsidR="00B206E9" w:rsidRDefault="00B206E9" w:rsidP="00B206E9">
      <w:pPr>
        <w:rPr>
          <w:lang w:val="en-CA"/>
        </w:rPr>
      </w:pPr>
    </w:p>
    <w:p w14:paraId="2A1EDFDF" w14:textId="687F4BD1" w:rsidR="00446DF3" w:rsidRDefault="00446DF3" w:rsidP="00834533"/>
    <w:sectPr w:rsidR="00446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ato">
    <w:altName w:val="Lato"/>
    <w:charset w:val="00"/>
    <w:family w:val="swiss"/>
    <w:pitch w:val="variable"/>
    <w:sig w:usb0="E10002FF" w:usb1="5000ECFF" w:usb2="00000021" w:usb3="00000000" w:csb0="000001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0B55EA"/>
    <w:multiLevelType w:val="hybridMultilevel"/>
    <w:tmpl w:val="82E4EB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35719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C8E"/>
    <w:rsid w:val="00005566"/>
    <w:rsid w:val="00016BAB"/>
    <w:rsid w:val="00064E56"/>
    <w:rsid w:val="000702D0"/>
    <w:rsid w:val="00101BCB"/>
    <w:rsid w:val="001020AC"/>
    <w:rsid w:val="001455EB"/>
    <w:rsid w:val="00167F01"/>
    <w:rsid w:val="00176C2C"/>
    <w:rsid w:val="001817BA"/>
    <w:rsid w:val="0018732F"/>
    <w:rsid w:val="001F4B4F"/>
    <w:rsid w:val="002312F6"/>
    <w:rsid w:val="00265399"/>
    <w:rsid w:val="00281FC6"/>
    <w:rsid w:val="002D5C9B"/>
    <w:rsid w:val="002F5AE1"/>
    <w:rsid w:val="00300142"/>
    <w:rsid w:val="0030609F"/>
    <w:rsid w:val="0035692D"/>
    <w:rsid w:val="003575D5"/>
    <w:rsid w:val="003B4E4D"/>
    <w:rsid w:val="00446DF3"/>
    <w:rsid w:val="00471538"/>
    <w:rsid w:val="00481754"/>
    <w:rsid w:val="004D5FD1"/>
    <w:rsid w:val="00502215"/>
    <w:rsid w:val="00515F18"/>
    <w:rsid w:val="005836A4"/>
    <w:rsid w:val="005A3816"/>
    <w:rsid w:val="005F45D0"/>
    <w:rsid w:val="006507CD"/>
    <w:rsid w:val="006529E0"/>
    <w:rsid w:val="00670653"/>
    <w:rsid w:val="006754CF"/>
    <w:rsid w:val="00720250"/>
    <w:rsid w:val="00723521"/>
    <w:rsid w:val="00770C7A"/>
    <w:rsid w:val="007E0C0A"/>
    <w:rsid w:val="007F0C32"/>
    <w:rsid w:val="007F5315"/>
    <w:rsid w:val="00834533"/>
    <w:rsid w:val="008B4EC4"/>
    <w:rsid w:val="00990024"/>
    <w:rsid w:val="009B066F"/>
    <w:rsid w:val="009B4D16"/>
    <w:rsid w:val="009F76AF"/>
    <w:rsid w:val="00A03BA9"/>
    <w:rsid w:val="00A12AC6"/>
    <w:rsid w:val="00A21D23"/>
    <w:rsid w:val="00A31DFE"/>
    <w:rsid w:val="00A33D31"/>
    <w:rsid w:val="00B01445"/>
    <w:rsid w:val="00B05E3E"/>
    <w:rsid w:val="00B206E9"/>
    <w:rsid w:val="00B57709"/>
    <w:rsid w:val="00B752EE"/>
    <w:rsid w:val="00B80175"/>
    <w:rsid w:val="00C26E5E"/>
    <w:rsid w:val="00C426D3"/>
    <w:rsid w:val="00C433D5"/>
    <w:rsid w:val="00C5545A"/>
    <w:rsid w:val="00CA539D"/>
    <w:rsid w:val="00D20503"/>
    <w:rsid w:val="00E30999"/>
    <w:rsid w:val="00E5231C"/>
    <w:rsid w:val="00E66497"/>
    <w:rsid w:val="00ED0455"/>
    <w:rsid w:val="00ED3C8E"/>
    <w:rsid w:val="00ED62E7"/>
    <w:rsid w:val="00EE78C4"/>
    <w:rsid w:val="00F5729A"/>
    <w:rsid w:val="00FA3FFB"/>
    <w:rsid w:val="00FE32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54C8B"/>
  <w15:chartTrackingRefBased/>
  <w15:docId w15:val="{1930B4FA-1898-4151-94EA-D463843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92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3C8E"/>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CommentReference">
    <w:name w:val="annotation reference"/>
    <w:basedOn w:val="DefaultParagraphFont"/>
    <w:uiPriority w:val="99"/>
    <w:semiHidden/>
    <w:unhideWhenUsed/>
    <w:rsid w:val="0035692D"/>
    <w:rPr>
      <w:sz w:val="16"/>
      <w:szCs w:val="16"/>
    </w:rPr>
  </w:style>
  <w:style w:type="paragraph" w:styleId="CommentText">
    <w:name w:val="annotation text"/>
    <w:basedOn w:val="Normal"/>
    <w:link w:val="CommentTextChar"/>
    <w:uiPriority w:val="99"/>
    <w:unhideWhenUsed/>
    <w:rsid w:val="0035692D"/>
    <w:pPr>
      <w:spacing w:line="240" w:lineRule="auto"/>
    </w:pPr>
    <w:rPr>
      <w:sz w:val="20"/>
      <w:szCs w:val="20"/>
    </w:rPr>
  </w:style>
  <w:style w:type="character" w:customStyle="1" w:styleId="CommentTextChar">
    <w:name w:val="Comment Text Char"/>
    <w:basedOn w:val="DefaultParagraphFont"/>
    <w:link w:val="CommentText"/>
    <w:uiPriority w:val="99"/>
    <w:rsid w:val="0035692D"/>
    <w:rPr>
      <w:sz w:val="20"/>
      <w:szCs w:val="20"/>
      <w:lang w:val="en-US"/>
    </w:rPr>
  </w:style>
  <w:style w:type="paragraph" w:styleId="HTMLPreformatted">
    <w:name w:val="HTML Preformatted"/>
    <w:basedOn w:val="Normal"/>
    <w:link w:val="HTMLPreformattedChar"/>
    <w:uiPriority w:val="99"/>
    <w:semiHidden/>
    <w:unhideWhenUsed/>
    <w:rsid w:val="00770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CA" w:eastAsia="en-CA"/>
    </w:rPr>
  </w:style>
  <w:style w:type="character" w:customStyle="1" w:styleId="HTMLPreformattedChar">
    <w:name w:val="HTML Preformatted Char"/>
    <w:basedOn w:val="DefaultParagraphFont"/>
    <w:link w:val="HTMLPreformatted"/>
    <w:uiPriority w:val="99"/>
    <w:semiHidden/>
    <w:rsid w:val="00770C7A"/>
    <w:rPr>
      <w:rFonts w:ascii="Courier New" w:eastAsia="Times New Roman" w:hAnsi="Courier New" w:cs="Courier New"/>
      <w:sz w:val="20"/>
      <w:szCs w:val="20"/>
      <w:lang w:eastAsia="en-CA"/>
    </w:rPr>
  </w:style>
  <w:style w:type="paragraph" w:styleId="CommentSubject">
    <w:name w:val="annotation subject"/>
    <w:basedOn w:val="CommentText"/>
    <w:next w:val="CommentText"/>
    <w:link w:val="CommentSubjectChar"/>
    <w:uiPriority w:val="99"/>
    <w:semiHidden/>
    <w:unhideWhenUsed/>
    <w:rsid w:val="00F5729A"/>
    <w:rPr>
      <w:b/>
      <w:bCs/>
    </w:rPr>
  </w:style>
  <w:style w:type="character" w:customStyle="1" w:styleId="CommentSubjectChar">
    <w:name w:val="Comment Subject Char"/>
    <w:basedOn w:val="CommentTextChar"/>
    <w:link w:val="CommentSubject"/>
    <w:uiPriority w:val="99"/>
    <w:semiHidden/>
    <w:rsid w:val="00F5729A"/>
    <w:rPr>
      <w:b/>
      <w:bCs/>
      <w:sz w:val="20"/>
      <w:szCs w:val="20"/>
      <w:lang w:val="en-US"/>
    </w:rPr>
  </w:style>
  <w:style w:type="paragraph" w:styleId="ListParagraph">
    <w:name w:val="List Paragraph"/>
    <w:basedOn w:val="Normal"/>
    <w:uiPriority w:val="34"/>
    <w:qFormat/>
    <w:rsid w:val="00005566"/>
    <w:pPr>
      <w:ind w:left="720"/>
      <w:contextualSpacing/>
    </w:pPr>
  </w:style>
  <w:style w:type="character" w:styleId="Hyperlink">
    <w:name w:val="Hyperlink"/>
    <w:basedOn w:val="DefaultParagraphFont"/>
    <w:uiPriority w:val="99"/>
    <w:unhideWhenUsed/>
    <w:rsid w:val="007202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334295">
      <w:bodyDiv w:val="1"/>
      <w:marLeft w:val="0"/>
      <w:marRight w:val="0"/>
      <w:marTop w:val="0"/>
      <w:marBottom w:val="0"/>
      <w:divBdr>
        <w:top w:val="none" w:sz="0" w:space="0" w:color="auto"/>
        <w:left w:val="none" w:sz="0" w:space="0" w:color="auto"/>
        <w:bottom w:val="none" w:sz="0" w:space="0" w:color="auto"/>
        <w:right w:val="none" w:sz="0" w:space="0" w:color="auto"/>
      </w:divBdr>
    </w:div>
    <w:div w:id="222185693">
      <w:bodyDiv w:val="1"/>
      <w:marLeft w:val="0"/>
      <w:marRight w:val="0"/>
      <w:marTop w:val="0"/>
      <w:marBottom w:val="0"/>
      <w:divBdr>
        <w:top w:val="none" w:sz="0" w:space="0" w:color="auto"/>
        <w:left w:val="none" w:sz="0" w:space="0" w:color="auto"/>
        <w:bottom w:val="none" w:sz="0" w:space="0" w:color="auto"/>
        <w:right w:val="none" w:sz="0" w:space="0" w:color="auto"/>
      </w:divBdr>
    </w:div>
    <w:div w:id="565997047">
      <w:bodyDiv w:val="1"/>
      <w:marLeft w:val="0"/>
      <w:marRight w:val="0"/>
      <w:marTop w:val="0"/>
      <w:marBottom w:val="0"/>
      <w:divBdr>
        <w:top w:val="none" w:sz="0" w:space="0" w:color="auto"/>
        <w:left w:val="none" w:sz="0" w:space="0" w:color="auto"/>
        <w:bottom w:val="none" w:sz="0" w:space="0" w:color="auto"/>
        <w:right w:val="none" w:sz="0" w:space="0" w:color="auto"/>
      </w:divBdr>
    </w:div>
    <w:div w:id="638536847">
      <w:bodyDiv w:val="1"/>
      <w:marLeft w:val="0"/>
      <w:marRight w:val="0"/>
      <w:marTop w:val="0"/>
      <w:marBottom w:val="0"/>
      <w:divBdr>
        <w:top w:val="none" w:sz="0" w:space="0" w:color="auto"/>
        <w:left w:val="none" w:sz="0" w:space="0" w:color="auto"/>
        <w:bottom w:val="none" w:sz="0" w:space="0" w:color="auto"/>
        <w:right w:val="none" w:sz="0" w:space="0" w:color="auto"/>
      </w:divBdr>
    </w:div>
    <w:div w:id="964239264">
      <w:bodyDiv w:val="1"/>
      <w:marLeft w:val="0"/>
      <w:marRight w:val="0"/>
      <w:marTop w:val="0"/>
      <w:marBottom w:val="0"/>
      <w:divBdr>
        <w:top w:val="none" w:sz="0" w:space="0" w:color="auto"/>
        <w:left w:val="none" w:sz="0" w:space="0" w:color="auto"/>
        <w:bottom w:val="none" w:sz="0" w:space="0" w:color="auto"/>
        <w:right w:val="none" w:sz="0" w:space="0" w:color="auto"/>
      </w:divBdr>
    </w:div>
    <w:div w:id="1319654648">
      <w:bodyDiv w:val="1"/>
      <w:marLeft w:val="0"/>
      <w:marRight w:val="0"/>
      <w:marTop w:val="0"/>
      <w:marBottom w:val="0"/>
      <w:divBdr>
        <w:top w:val="none" w:sz="0" w:space="0" w:color="auto"/>
        <w:left w:val="none" w:sz="0" w:space="0" w:color="auto"/>
        <w:bottom w:val="none" w:sz="0" w:space="0" w:color="auto"/>
        <w:right w:val="none" w:sz="0" w:space="0" w:color="auto"/>
      </w:divBdr>
    </w:div>
    <w:div w:id="1412266133">
      <w:bodyDiv w:val="1"/>
      <w:marLeft w:val="0"/>
      <w:marRight w:val="0"/>
      <w:marTop w:val="0"/>
      <w:marBottom w:val="0"/>
      <w:divBdr>
        <w:top w:val="none" w:sz="0" w:space="0" w:color="auto"/>
        <w:left w:val="none" w:sz="0" w:space="0" w:color="auto"/>
        <w:bottom w:val="none" w:sz="0" w:space="0" w:color="auto"/>
        <w:right w:val="none" w:sz="0" w:space="0" w:color="auto"/>
      </w:divBdr>
    </w:div>
    <w:div w:id="1446072338">
      <w:bodyDiv w:val="1"/>
      <w:marLeft w:val="0"/>
      <w:marRight w:val="0"/>
      <w:marTop w:val="0"/>
      <w:marBottom w:val="0"/>
      <w:divBdr>
        <w:top w:val="none" w:sz="0" w:space="0" w:color="auto"/>
        <w:left w:val="none" w:sz="0" w:space="0" w:color="auto"/>
        <w:bottom w:val="none" w:sz="0" w:space="0" w:color="auto"/>
        <w:right w:val="none" w:sz="0" w:space="0" w:color="auto"/>
      </w:divBdr>
    </w:div>
    <w:div w:id="1921019227">
      <w:bodyDiv w:val="1"/>
      <w:marLeft w:val="0"/>
      <w:marRight w:val="0"/>
      <w:marTop w:val="0"/>
      <w:marBottom w:val="0"/>
      <w:divBdr>
        <w:top w:val="none" w:sz="0" w:space="0" w:color="auto"/>
        <w:left w:val="none" w:sz="0" w:space="0" w:color="auto"/>
        <w:bottom w:val="none" w:sz="0" w:space="0" w:color="auto"/>
        <w:right w:val="none" w:sz="0" w:space="0" w:color="auto"/>
      </w:divBdr>
    </w:div>
    <w:div w:id="197447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 Edwards</dc:creator>
  <cp:keywords/>
  <dc:description/>
  <cp:lastModifiedBy>Jena Edwards</cp:lastModifiedBy>
  <cp:revision>20</cp:revision>
  <dcterms:created xsi:type="dcterms:W3CDTF">2024-07-01T11:09:00Z</dcterms:created>
  <dcterms:modified xsi:type="dcterms:W3CDTF">2024-07-01T18:35:00Z</dcterms:modified>
</cp:coreProperties>
</file>