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513" w:rsidRPr="00CC1D34" w:rsidRDefault="00707C3D" w:rsidP="00E20513">
      <w:pPr>
        <w:spacing w:line="360" w:lineRule="auto"/>
        <w:rPr>
          <w:sz w:val="24"/>
          <w:lang w:val="en-GB"/>
        </w:rPr>
      </w:pPr>
      <w:r w:rsidRPr="00CC1D34">
        <w:rPr>
          <w:sz w:val="24"/>
          <w:lang w:val="en-GB"/>
        </w:rPr>
        <w:t>Additional methods</w:t>
      </w:r>
    </w:p>
    <w:p w:rsidR="00E20513" w:rsidRPr="00CC1D34" w:rsidRDefault="00E20513" w:rsidP="00E20513">
      <w:pPr>
        <w:spacing w:line="360" w:lineRule="auto"/>
        <w:rPr>
          <w:rFonts w:asciiTheme="minorHAnsi" w:hAnsiTheme="minorHAnsi" w:cs="Times New Roman"/>
          <w:sz w:val="24"/>
          <w:lang w:val="en-GB"/>
        </w:rPr>
      </w:pPr>
      <w:r w:rsidRPr="00CC1D34">
        <w:rPr>
          <w:rStyle w:val="st"/>
          <w:rFonts w:asciiTheme="minorHAnsi" w:hAnsiTheme="minorHAnsi" w:cs="Times New Roman"/>
          <w:sz w:val="24"/>
          <w:lang w:val="en-GB"/>
        </w:rPr>
        <w:t>As a marker of oxidative damage of lipids, TBARS was measured</w:t>
      </w:r>
      <w:r w:rsidR="000D3C2C" w:rsidRPr="00CC1D34">
        <w:rPr>
          <w:rStyle w:val="st"/>
          <w:rFonts w:asciiTheme="minorHAnsi" w:hAnsiTheme="minorHAnsi" w:cs="Times New Roman"/>
          <w:sz w:val="24"/>
          <w:lang w:val="en-GB"/>
        </w:rPr>
        <w:t xml:space="preserve"> </w:t>
      </w:r>
      <w:r w:rsidR="000D3C2C" w:rsidRPr="00CC1D34">
        <w:rPr>
          <w:rFonts w:asciiTheme="minorHAnsi" w:hAnsiTheme="minorHAnsi" w:cs="Times New Roman"/>
          <w:sz w:val="24"/>
          <w:lang w:val="en-GB"/>
        </w:rPr>
        <w:fldChar w:fldCharType="begin" w:fldLock="1"/>
      </w:r>
      <w:r w:rsidR="000D3C2C" w:rsidRPr="00CC1D34">
        <w:rPr>
          <w:rFonts w:asciiTheme="minorHAnsi" w:hAnsiTheme="minorHAnsi" w:cs="Times New Roman"/>
          <w:sz w:val="24"/>
          <w:lang w:val="en-GB"/>
        </w:rPr>
        <w:instrText>ADDIN CSL_CITATION {"citationItems":[{"id":"ITEM-1","itemData":{"DOI":"10.3233/DMA-2009-0606","ISSN":"02780240","PMID":"19407359","abstract":"Introduction: Salivary TBARS are a potential marker of oxidative stress in the oral cavity. Previous studies have found increased levels of salivary TBARS in various diseases. The aim of this study was to assess the variability of salivary TBARS in both genders. Subjects &amp; Methods: Saliva samples from thirty-eight healthy volunteers (18F &amp; 20M) were collected every day during 30 day period. TBARS levels were measured spectrophotometrically using a high-throughput 96-well plate method. Time series analysis was performed using standard statistical methods. Results: Repeated measures ANOVA showed a significant variation of salivary TBARS within day and subjects (p &lt; 0.001). The dynamics did not differ between genders. Intraindividual variability was very high in both genders with coefficients of variation of more than 60%. Interindividual variability was higher in men than in women (73% vs. 46%; p &lt; 0.01). Discussion: The relatively high intraindividual variability indicates that the use of salivary TBARS will be limited to research on a population level, although some informative value might be gained by repeated samplings. Factors influencing the biological variability of salivary TBARS should be identified in further studies. © 2009 IOS Press and the authors. All rights reserved.","author":[{"dropping-particle":"","family":"Behuliak","given":"Michal","non-dropping-particle":"","parse-names":false,"suffix":""},{"dropping-particle":"","family":"Pálffy","given":"Roland","non-dropping-particle":"","parse-names":false,"suffix":""},{"dropping-particle":"","family":"Gardlík","given":"Roman","non-dropping-particle":"","parse-names":false,"suffix":""},{"dropping-particle":"","family":"Hodosy","given":"Július","non-dropping-particle":"","parse-names":false,"suffix":""},{"dropping-particle":"","family":"Halčák","given":"Lukáč","non-dropping-particle":"","parse-names":false,"suffix":""},{"dropping-particle":"","family":"Celec","given":"Peter","non-dropping-particle":"","parse-names":false,"suffix":""}],"container-title":"Disease Markers","id":"ITEM-1","issue":"2","issued":{"date-parts":[["2009"]]},"page":"49-53","publisher":"Hindawi Limited","title":"Variability of thiobarbituric acid reacting substances in saliva","type":"article-journal","volume":"26"},"uris":["http://www.mendeley.com/documents/?uuid=fb5cc9b0-8e5e-3ce1-aee8-555b29dfad3e"]}],"mendeley":{"formattedCitation":"[9]","plainTextFormattedCitation":"[9]","previouslyFormattedCitation":"[9]"},"properties":{"noteIndex":0},"schema":"https://github.com/citation-style-language/schema/raw/master/csl-citation.json"}</w:instrText>
      </w:r>
      <w:r w:rsidR="000D3C2C" w:rsidRPr="00CC1D34">
        <w:rPr>
          <w:rFonts w:asciiTheme="minorHAnsi" w:hAnsiTheme="minorHAnsi" w:cs="Times New Roman"/>
          <w:sz w:val="24"/>
          <w:lang w:val="en-GB"/>
        </w:rPr>
        <w:fldChar w:fldCharType="separate"/>
      </w:r>
      <w:r w:rsidR="000D3C2C" w:rsidRPr="00CC1D34">
        <w:rPr>
          <w:rFonts w:asciiTheme="minorHAnsi" w:hAnsiTheme="minorHAnsi" w:cs="Times New Roman"/>
          <w:noProof/>
          <w:sz w:val="24"/>
          <w:lang w:val="en-GB"/>
        </w:rPr>
        <w:t>[9]</w:t>
      </w:r>
      <w:r w:rsidR="000D3C2C" w:rsidRPr="00CC1D34">
        <w:rPr>
          <w:rFonts w:asciiTheme="minorHAnsi" w:hAnsiTheme="minorHAnsi" w:cs="Times New Roman"/>
          <w:sz w:val="24"/>
          <w:lang w:val="en-GB"/>
        </w:rPr>
        <w:fldChar w:fldCharType="end"/>
      </w:r>
      <w:r w:rsidRPr="00CC1D34">
        <w:rPr>
          <w:rStyle w:val="st"/>
          <w:rFonts w:asciiTheme="minorHAnsi" w:hAnsiTheme="minorHAnsi" w:cs="Times New Roman"/>
          <w:sz w:val="24"/>
          <w:lang w:val="en-GB"/>
        </w:rPr>
        <w:t xml:space="preserve">. </w:t>
      </w:r>
      <w:r w:rsidRPr="00CC1D34">
        <w:rPr>
          <w:rFonts w:asciiTheme="minorHAnsi" w:hAnsiTheme="minorHAnsi" w:cs="Times New Roman"/>
          <w:sz w:val="24"/>
          <w:lang w:val="en-GB"/>
        </w:rPr>
        <w:t xml:space="preserve">Twenty </w:t>
      </w:r>
      <w:r w:rsidRPr="00CC1D34">
        <w:rPr>
          <w:rStyle w:val="st"/>
          <w:rFonts w:asciiTheme="minorHAnsi" w:hAnsiTheme="minorHAnsi" w:cs="Times New Roman"/>
          <w:sz w:val="24"/>
          <w:lang w:val="en-GB"/>
        </w:rPr>
        <w:t>µl of samples and standards (</w:t>
      </w:r>
      <w:r w:rsidRPr="00CC1D34">
        <w:rPr>
          <w:rFonts w:asciiTheme="minorHAnsi" w:hAnsiTheme="minorHAnsi" w:cs="Times New Roman"/>
          <w:sz w:val="24"/>
          <w:lang w:val="en-GB"/>
        </w:rPr>
        <w:t>1,1,3,3-tetraethoxypropane)</w:t>
      </w:r>
      <w:r w:rsidRPr="00CC1D34">
        <w:rPr>
          <w:rStyle w:val="st"/>
          <w:rFonts w:asciiTheme="minorHAnsi" w:hAnsiTheme="minorHAnsi" w:cs="Times New Roman"/>
          <w:sz w:val="24"/>
          <w:lang w:val="en-GB"/>
        </w:rPr>
        <w:t xml:space="preserve"> were mixed with </w:t>
      </w:r>
      <w:r w:rsidRPr="00CC1D34">
        <w:rPr>
          <w:rFonts w:asciiTheme="minorHAnsi" w:hAnsiTheme="minorHAnsi" w:cs="Times New Roman"/>
          <w:sz w:val="24"/>
          <w:lang w:val="en-GB"/>
        </w:rPr>
        <w:t xml:space="preserve">30 </w:t>
      </w:r>
      <w:r w:rsidRPr="00CC1D34">
        <w:rPr>
          <w:rStyle w:val="st"/>
          <w:rFonts w:asciiTheme="minorHAnsi" w:hAnsiTheme="minorHAnsi" w:cs="Times New Roman"/>
          <w:sz w:val="24"/>
          <w:lang w:val="en-GB"/>
        </w:rPr>
        <w:t xml:space="preserve">µl of distilled water, 20 µl of 0.67% </w:t>
      </w:r>
      <w:proofErr w:type="spellStart"/>
      <w:r w:rsidRPr="00CC1D34">
        <w:rPr>
          <w:rStyle w:val="st"/>
          <w:rFonts w:asciiTheme="minorHAnsi" w:hAnsiTheme="minorHAnsi" w:cs="Times New Roman"/>
          <w:sz w:val="24"/>
          <w:lang w:val="en-GB"/>
        </w:rPr>
        <w:t>thiobarbituric</w:t>
      </w:r>
      <w:proofErr w:type="spellEnd"/>
      <w:r w:rsidRPr="00CC1D34">
        <w:rPr>
          <w:rStyle w:val="st"/>
          <w:rFonts w:asciiTheme="minorHAnsi" w:hAnsiTheme="minorHAnsi" w:cs="Times New Roman"/>
          <w:sz w:val="24"/>
          <w:lang w:val="en-GB"/>
        </w:rPr>
        <w:t xml:space="preserve"> acid and 20 µl of glacial acetic acid. After short mixing, the plates were incubated 95°C for 45 minutes. After that, 100 µl of n-</w:t>
      </w:r>
      <w:proofErr w:type="spellStart"/>
      <w:r w:rsidRPr="00CC1D34">
        <w:rPr>
          <w:rStyle w:val="st"/>
          <w:rFonts w:asciiTheme="minorHAnsi" w:hAnsiTheme="minorHAnsi" w:cs="Times New Roman"/>
          <w:sz w:val="24"/>
          <w:lang w:val="en-GB"/>
        </w:rPr>
        <w:t>butanol</w:t>
      </w:r>
      <w:proofErr w:type="spellEnd"/>
      <w:r w:rsidRPr="00CC1D34">
        <w:rPr>
          <w:rStyle w:val="st"/>
          <w:rFonts w:asciiTheme="minorHAnsi" w:hAnsiTheme="minorHAnsi" w:cs="Times New Roman"/>
          <w:sz w:val="24"/>
          <w:lang w:val="en-GB"/>
        </w:rPr>
        <w:t xml:space="preserve"> </w:t>
      </w:r>
      <w:r w:rsidRPr="00CC1D34">
        <w:rPr>
          <w:rFonts w:asciiTheme="minorHAnsi" w:eastAsia="Times New Roman" w:hAnsiTheme="minorHAnsi" w:cs="Times New Roman"/>
          <w:sz w:val="24"/>
          <w:lang w:val="en-GB"/>
        </w:rPr>
        <w:t xml:space="preserve">were added into all samples and standards and plates were centrifuged at </w:t>
      </w:r>
      <w:r w:rsidRPr="00CC1D34">
        <w:rPr>
          <w:rStyle w:val="st"/>
          <w:rFonts w:asciiTheme="minorHAnsi" w:hAnsiTheme="minorHAnsi" w:cs="Times New Roman"/>
          <w:sz w:val="24"/>
          <w:lang w:val="en-GB"/>
        </w:rPr>
        <w:t xml:space="preserve">2000 g on 4°C for 10 minutes. Finally, 70 µl of upper phase were transferred into 96-well </w:t>
      </w:r>
      <w:proofErr w:type="spellStart"/>
      <w:r w:rsidRPr="00CC1D34">
        <w:rPr>
          <w:rStyle w:val="st"/>
          <w:rFonts w:asciiTheme="minorHAnsi" w:hAnsiTheme="minorHAnsi" w:cs="Times New Roman"/>
          <w:sz w:val="24"/>
          <w:lang w:val="en-GB"/>
        </w:rPr>
        <w:t>microstest</w:t>
      </w:r>
      <w:proofErr w:type="spellEnd"/>
      <w:r w:rsidRPr="00CC1D34">
        <w:rPr>
          <w:rStyle w:val="st"/>
          <w:rFonts w:asciiTheme="minorHAnsi" w:hAnsiTheme="minorHAnsi" w:cs="Times New Roman"/>
          <w:sz w:val="24"/>
          <w:lang w:val="en-GB"/>
        </w:rPr>
        <w:t xml:space="preserve"> plate and fluorescence was measured at </w:t>
      </w:r>
      <w:r w:rsidRPr="00CC1D34">
        <w:rPr>
          <w:rFonts w:asciiTheme="minorHAnsi" w:hAnsiTheme="minorHAnsi" w:cs="Times New Roman"/>
          <w:sz w:val="24"/>
          <w:vertAlign w:val="subscript"/>
          <w:lang w:val="en-GB"/>
        </w:rPr>
        <w:t>ex</w:t>
      </w:r>
      <w:r w:rsidRPr="00CC1D34">
        <w:rPr>
          <w:rFonts w:asciiTheme="minorHAnsi" w:hAnsiTheme="minorHAnsi" w:cs="Times New Roman"/>
          <w:sz w:val="24"/>
          <w:lang w:val="en-GB"/>
        </w:rPr>
        <w:t xml:space="preserve"> = 515 nm and </w:t>
      </w:r>
      <w:r w:rsidRPr="00CC1D34">
        <w:rPr>
          <w:rFonts w:asciiTheme="minorHAnsi" w:hAnsiTheme="minorHAnsi" w:cs="Times New Roman"/>
          <w:sz w:val="24"/>
          <w:lang w:val="en-GB"/>
        </w:rPr>
        <w:sym w:font="Symbol" w:char="006C"/>
      </w:r>
      <w:proofErr w:type="spellStart"/>
      <w:r w:rsidRPr="00CC1D34">
        <w:rPr>
          <w:rFonts w:asciiTheme="minorHAnsi" w:hAnsiTheme="minorHAnsi" w:cs="Times New Roman"/>
          <w:sz w:val="24"/>
          <w:vertAlign w:val="subscript"/>
          <w:lang w:val="en-GB"/>
        </w:rPr>
        <w:t>em</w:t>
      </w:r>
      <w:proofErr w:type="spellEnd"/>
      <w:r w:rsidRPr="00CC1D34">
        <w:rPr>
          <w:rFonts w:asciiTheme="minorHAnsi" w:hAnsiTheme="minorHAnsi" w:cs="Times New Roman"/>
          <w:sz w:val="24"/>
          <w:lang w:val="en-GB"/>
        </w:rPr>
        <w:t xml:space="preserve"> = 535 nm.</w:t>
      </w:r>
    </w:p>
    <w:p w:rsidR="00E20513" w:rsidRPr="00CC1D34" w:rsidRDefault="00E20513" w:rsidP="00E20513">
      <w:pPr>
        <w:spacing w:line="360" w:lineRule="auto"/>
        <w:rPr>
          <w:rFonts w:asciiTheme="minorHAnsi" w:hAnsiTheme="minorHAnsi" w:cs="Times New Roman"/>
          <w:sz w:val="24"/>
          <w:lang w:val="en-GB"/>
        </w:rPr>
      </w:pPr>
    </w:p>
    <w:p w:rsidR="00E20513" w:rsidRPr="00CC1D34" w:rsidRDefault="00E20513" w:rsidP="00E20513">
      <w:pPr>
        <w:spacing w:line="360" w:lineRule="auto"/>
        <w:rPr>
          <w:rStyle w:val="st"/>
          <w:rFonts w:asciiTheme="minorHAnsi" w:hAnsiTheme="minorHAnsi" w:cs="Times New Roman"/>
          <w:sz w:val="24"/>
          <w:lang w:val="en-GB"/>
        </w:rPr>
      </w:pPr>
      <w:r w:rsidRPr="00CC1D34">
        <w:rPr>
          <w:rFonts w:asciiTheme="minorHAnsi" w:hAnsiTheme="minorHAnsi" w:cs="Times New Roman"/>
          <w:sz w:val="24"/>
          <w:lang w:val="en-GB"/>
        </w:rPr>
        <w:t>As a marker of oxidative damage of proteins, AOPP was measured</w:t>
      </w:r>
      <w:r w:rsidR="000D3C2C" w:rsidRPr="00CC1D34">
        <w:rPr>
          <w:rFonts w:asciiTheme="minorHAnsi" w:hAnsiTheme="minorHAnsi" w:cs="Times New Roman"/>
          <w:sz w:val="24"/>
          <w:lang w:val="en-GB"/>
        </w:rPr>
        <w:t xml:space="preserve"> </w:t>
      </w:r>
      <w:r w:rsidR="000D3C2C" w:rsidRPr="00CC1D34">
        <w:rPr>
          <w:rFonts w:asciiTheme="minorHAnsi" w:hAnsiTheme="minorHAnsi" w:cs="Times New Roman"/>
          <w:sz w:val="24"/>
          <w:lang w:val="en-GB"/>
        </w:rPr>
        <w:fldChar w:fldCharType="begin" w:fldLock="1"/>
      </w:r>
      <w:r w:rsidR="000D3C2C" w:rsidRPr="00CC1D34">
        <w:rPr>
          <w:rFonts w:asciiTheme="minorHAnsi" w:hAnsiTheme="minorHAnsi" w:cs="Times New Roman"/>
          <w:sz w:val="24"/>
          <w:lang w:val="en-GB"/>
        </w:rPr>
        <w:instrText>ADDIN CSL_CITATION {"citationItems":[{"id":"ITEM-1","itemData":{"ISSN":"0085-2538","PMID":"8731095","abstract":"Evidence suggests an imbalance between antioxidant and oxidant-generating systems resulting in oxidative stress in uremic patients. As plasma proteins are critical targets for oxidants, we developed a novel spectrophotometric assay which allows to detect advanced oxidation protein products (AOPP) in uremic plasma. By size-exclusion chromatography AOPP are retrieved in two distinct peaks at 600 and below 80 kDa in uremic plasma, while no such peaks are found in control plasma. Further biochemical characterization revealed that AOPP are carried by oxidized plasma proteins, especially albumin and do not have oxidant properties. AOPP increased in a dose-dependent manner following in vitro exposure of plasma or purified human serum albumin (HSA) to hypochlorous acid. Advanced glycation end products of human serum albumin (AGE-HSA) also increased AOPP levels. In vivo, plasma level of AOPP was the highest in patients on hemodialysis, followed by those on peritoneal dialysis and by undialyzed patients with advanced chronic renal failure. AOPP levels correlated with plasma concentrations of dityrosine and AGE-pentosidine, as indices of oxidant-mediated protein damage, but not with thiobarbituric reactive substances as lipid peroxidation markers. A close correlation was also found between AOPP and neopterin levels, suggesting that AOPP could be part in the monocyte-mediated inflammatory disorders associated with uremia. In conclusion, we propose the measurement of AOPP as a reliable marker to estimate the degree of oxidant-mediated protein damage in uremic patients and to predict the potential efficacy of therapeutic strategies aimed at reducing such an oxidative stress.","author":[{"dropping-particle":"","family":"Witko-Sarsat","given":"V","non-dropping-particle":"","parse-names":false,"suffix":""},{"dropping-particle":"","family":"Friedlander","given":"M","non-dropping-particle":"","parse-names":false,"suffix":""},{"dropping-particle":"","family":"Capeillère-Blandin","given":"C","non-dropping-particle":"","parse-names":false,"suffix":""},{"dropping-particle":"","family":"Nguyen-Khoa","given":"T","non-dropping-particle":"","parse-names":false,"suffix":""},{"dropping-particle":"","family":"Nguyen","given":"A T","non-dropping-particle":"","parse-names":false,"suffix":""},{"dropping-particle":"","family":"Zingraff","given":"J","non-dropping-particle":"","parse-names":false,"suffix":""},{"dropping-particle":"","family":"Jungers","given":"P","non-dropping-particle":"","parse-names":false,"suffix":""},{"dropping-particle":"","family":"Descamps-Latscha","given":"B","non-dropping-particle":"","parse-names":false,"suffix":""}],"container-title":"Kidney international","id":"ITEM-1","issue":"5","issued":{"date-parts":[["1996","5"]]},"page":"1304-13","title":"Advanced oxidation protein products as a novel marker of oxidative stress in uremia.","type":"article-journal","volume":"49"},"uris":["http://www.mendeley.com/documents/?uuid=cff3e483-875e-40a7-a4e9-8c6a012dbcb6"]}],"mendeley":{"formattedCitation":"[10]","plainTextFormattedCitation":"[10]","previouslyFormattedCitation":"[10]"},"properties":{"noteIndex":0},"schema":"https://github.com/citation-style-language/schema/raw/master/csl-citation.json"}</w:instrText>
      </w:r>
      <w:r w:rsidR="000D3C2C" w:rsidRPr="00CC1D34">
        <w:rPr>
          <w:rFonts w:asciiTheme="minorHAnsi" w:hAnsiTheme="minorHAnsi" w:cs="Times New Roman"/>
          <w:sz w:val="24"/>
          <w:lang w:val="en-GB"/>
        </w:rPr>
        <w:fldChar w:fldCharType="separate"/>
      </w:r>
      <w:r w:rsidR="000D3C2C" w:rsidRPr="00CC1D34">
        <w:rPr>
          <w:rFonts w:asciiTheme="minorHAnsi" w:hAnsiTheme="minorHAnsi" w:cs="Times New Roman"/>
          <w:noProof/>
          <w:sz w:val="24"/>
          <w:lang w:val="en-GB"/>
        </w:rPr>
        <w:t>[10]</w:t>
      </w:r>
      <w:r w:rsidR="000D3C2C" w:rsidRPr="00CC1D34">
        <w:rPr>
          <w:rFonts w:asciiTheme="minorHAnsi" w:hAnsiTheme="minorHAnsi" w:cs="Times New Roman"/>
          <w:sz w:val="24"/>
          <w:lang w:val="en-GB"/>
        </w:rPr>
        <w:fldChar w:fldCharType="end"/>
      </w:r>
      <w:r w:rsidR="005064A5" w:rsidRPr="00CC1D34">
        <w:rPr>
          <w:rFonts w:asciiTheme="minorHAnsi" w:hAnsiTheme="minorHAnsi" w:cs="Times New Roman"/>
          <w:sz w:val="24"/>
          <w:lang w:val="en-GB"/>
        </w:rPr>
        <w:t>.</w:t>
      </w:r>
      <w:r w:rsidRPr="00CC1D34">
        <w:rPr>
          <w:rFonts w:asciiTheme="minorHAnsi" w:hAnsiTheme="minorHAnsi" w:cs="Times New Roman"/>
          <w:sz w:val="24"/>
          <w:lang w:val="en-GB"/>
        </w:rPr>
        <w:t xml:space="preserve"> </w:t>
      </w:r>
      <w:r w:rsidRPr="00CC1D34">
        <w:rPr>
          <w:rStyle w:val="st"/>
          <w:rFonts w:asciiTheme="minorHAnsi" w:hAnsiTheme="minorHAnsi" w:cs="Times New Roman"/>
          <w:sz w:val="24"/>
          <w:lang w:val="en-GB"/>
        </w:rPr>
        <w:t>Two hundred µl of samples and standards (</w:t>
      </w:r>
      <w:proofErr w:type="spellStart"/>
      <w:r w:rsidRPr="00CC1D34">
        <w:rPr>
          <w:rFonts w:asciiTheme="minorHAnsi" w:hAnsiTheme="minorHAnsi" w:cs="Times New Roman"/>
          <w:sz w:val="24"/>
          <w:lang w:val="en-GB"/>
        </w:rPr>
        <w:t>chloramine</w:t>
      </w:r>
      <w:proofErr w:type="spellEnd"/>
      <w:r w:rsidRPr="00CC1D34">
        <w:rPr>
          <w:rFonts w:asciiTheme="minorHAnsi" w:hAnsiTheme="minorHAnsi" w:cs="Times New Roman"/>
          <w:sz w:val="24"/>
          <w:lang w:val="en-GB"/>
        </w:rPr>
        <w:t xml:space="preserve"> T mixed with 10 </w:t>
      </w:r>
      <w:r w:rsidRPr="00CC1D34">
        <w:rPr>
          <w:rStyle w:val="st"/>
          <w:rFonts w:asciiTheme="minorHAnsi" w:hAnsiTheme="minorHAnsi" w:cs="Times New Roman"/>
          <w:sz w:val="24"/>
          <w:lang w:val="en-GB"/>
        </w:rPr>
        <w:t xml:space="preserve">µl of potassium iodide) were mixed with 20 µl of glacial acetic acid. Absorbance was measured at 340 nm. </w:t>
      </w:r>
    </w:p>
    <w:p w:rsidR="00E20513" w:rsidRPr="00CC1D34" w:rsidRDefault="00E20513" w:rsidP="00E20513">
      <w:pPr>
        <w:spacing w:line="360" w:lineRule="auto"/>
        <w:rPr>
          <w:rStyle w:val="st"/>
          <w:rFonts w:asciiTheme="minorHAnsi" w:hAnsiTheme="minorHAnsi" w:cs="Times New Roman"/>
          <w:sz w:val="24"/>
          <w:lang w:val="en-GB"/>
        </w:rPr>
      </w:pPr>
    </w:p>
    <w:p w:rsidR="00E20513" w:rsidRPr="00CC1D34" w:rsidRDefault="00931DCF" w:rsidP="00E20513">
      <w:pPr>
        <w:spacing w:line="360" w:lineRule="auto"/>
        <w:rPr>
          <w:rFonts w:asciiTheme="minorHAnsi" w:hAnsiTheme="minorHAnsi" w:cs="Times New Roman"/>
          <w:sz w:val="24"/>
          <w:lang w:val="en-GB"/>
        </w:rPr>
      </w:pPr>
      <w:r w:rsidRPr="00CC1D34">
        <w:rPr>
          <w:rFonts w:asciiTheme="minorHAnsi" w:hAnsiTheme="minorHAnsi" w:cs="Times New Roman"/>
          <w:sz w:val="24"/>
          <w:lang w:val="en-GB"/>
        </w:rPr>
        <w:t>For AGE- Fl</w:t>
      </w:r>
      <w:r w:rsidR="00E20513" w:rsidRPr="00CC1D34">
        <w:rPr>
          <w:rFonts w:asciiTheme="minorHAnsi" w:hAnsiTheme="minorHAnsi" w:cs="Times New Roman"/>
          <w:sz w:val="24"/>
          <w:lang w:val="en-GB"/>
        </w:rPr>
        <w:t xml:space="preserve"> measurement, </w:t>
      </w:r>
      <w:r w:rsidR="00E20513" w:rsidRPr="00CC1D34">
        <w:rPr>
          <w:rStyle w:val="st"/>
          <w:rFonts w:asciiTheme="minorHAnsi" w:hAnsiTheme="minorHAnsi" w:cs="Times New Roman"/>
          <w:sz w:val="24"/>
          <w:lang w:val="en-GB"/>
        </w:rPr>
        <w:t xml:space="preserve">20 µl of standards (modified bovine serum albumin) and samples were diluted in 180 µl of phosphate buffer saline in dark </w:t>
      </w:r>
      <w:proofErr w:type="spellStart"/>
      <w:r w:rsidR="00E20513" w:rsidRPr="00CC1D34">
        <w:rPr>
          <w:rStyle w:val="st"/>
          <w:rFonts w:asciiTheme="minorHAnsi" w:hAnsiTheme="minorHAnsi" w:cs="Times New Roman"/>
          <w:sz w:val="24"/>
          <w:lang w:val="en-GB"/>
        </w:rPr>
        <w:t>microtest</w:t>
      </w:r>
      <w:proofErr w:type="spellEnd"/>
      <w:r w:rsidR="00E20513" w:rsidRPr="00CC1D34">
        <w:rPr>
          <w:rStyle w:val="st"/>
          <w:rFonts w:asciiTheme="minorHAnsi" w:hAnsiTheme="minorHAnsi" w:cs="Times New Roman"/>
          <w:sz w:val="24"/>
          <w:lang w:val="en-GB"/>
        </w:rPr>
        <w:t xml:space="preserve"> plates (</w:t>
      </w:r>
      <w:proofErr w:type="spellStart"/>
      <w:r w:rsidR="00E20513" w:rsidRPr="00CC1D34">
        <w:rPr>
          <w:rStyle w:val="st"/>
          <w:rFonts w:asciiTheme="minorHAnsi" w:hAnsiTheme="minorHAnsi" w:cs="Times New Roman"/>
          <w:sz w:val="24"/>
          <w:lang w:val="en-GB"/>
        </w:rPr>
        <w:t>Sarstedt</w:t>
      </w:r>
      <w:proofErr w:type="spellEnd"/>
      <w:r w:rsidR="00E20513" w:rsidRPr="00CC1D34">
        <w:rPr>
          <w:rStyle w:val="st"/>
          <w:rFonts w:asciiTheme="minorHAnsi" w:hAnsiTheme="minorHAnsi" w:cs="Times New Roman"/>
          <w:sz w:val="24"/>
          <w:lang w:val="en-GB"/>
        </w:rPr>
        <w:t xml:space="preserve">, </w:t>
      </w:r>
      <w:r w:rsidR="00E20513" w:rsidRPr="00CC1D34">
        <w:rPr>
          <w:sz w:val="24"/>
        </w:rPr>
        <w:t>Bratislava, Slovakia</w:t>
      </w:r>
      <w:r w:rsidR="00E20513" w:rsidRPr="00CC1D34">
        <w:rPr>
          <w:rStyle w:val="st"/>
          <w:rFonts w:asciiTheme="minorHAnsi" w:hAnsiTheme="minorHAnsi" w:cs="Times New Roman"/>
          <w:sz w:val="24"/>
          <w:lang w:val="en-GB"/>
        </w:rPr>
        <w:t xml:space="preserve">). After short </w:t>
      </w:r>
      <w:proofErr w:type="spellStart"/>
      <w:r w:rsidR="00E20513" w:rsidRPr="00CC1D34">
        <w:rPr>
          <w:rStyle w:val="st"/>
          <w:rFonts w:asciiTheme="minorHAnsi" w:hAnsiTheme="minorHAnsi" w:cs="Times New Roman"/>
          <w:sz w:val="24"/>
          <w:lang w:val="en-GB"/>
        </w:rPr>
        <w:t>vortexing</w:t>
      </w:r>
      <w:proofErr w:type="spellEnd"/>
      <w:r w:rsidR="00E20513" w:rsidRPr="00CC1D34">
        <w:rPr>
          <w:rStyle w:val="st"/>
          <w:rFonts w:asciiTheme="minorHAnsi" w:hAnsiTheme="minorHAnsi" w:cs="Times New Roman"/>
          <w:sz w:val="24"/>
          <w:lang w:val="en-GB"/>
        </w:rPr>
        <w:t xml:space="preserve">, the fluorescence of Schiff base and </w:t>
      </w:r>
      <w:proofErr w:type="spellStart"/>
      <w:r w:rsidR="00E20513" w:rsidRPr="00CC1D34">
        <w:rPr>
          <w:rStyle w:val="st"/>
          <w:rFonts w:asciiTheme="minorHAnsi" w:hAnsiTheme="minorHAnsi" w:cs="Times New Roman"/>
          <w:sz w:val="24"/>
          <w:lang w:val="en-GB"/>
        </w:rPr>
        <w:t>Amadori</w:t>
      </w:r>
      <w:proofErr w:type="spellEnd"/>
      <w:r w:rsidR="00E20513" w:rsidRPr="00CC1D34">
        <w:rPr>
          <w:rStyle w:val="st"/>
          <w:rFonts w:asciiTheme="minorHAnsi" w:hAnsiTheme="minorHAnsi" w:cs="Times New Roman"/>
          <w:sz w:val="24"/>
          <w:lang w:val="en-GB"/>
        </w:rPr>
        <w:t xml:space="preserve"> products were measured at </w:t>
      </w:r>
      <w:r w:rsidR="00E20513" w:rsidRPr="00CC1D34">
        <w:rPr>
          <w:rFonts w:asciiTheme="minorHAnsi" w:hAnsiTheme="minorHAnsi" w:cs="Times New Roman"/>
          <w:sz w:val="24"/>
          <w:lang w:val="en-GB"/>
        </w:rPr>
        <w:sym w:font="Symbol" w:char="006C"/>
      </w:r>
      <w:r w:rsidR="00E20513" w:rsidRPr="00CC1D34">
        <w:rPr>
          <w:rFonts w:asciiTheme="minorHAnsi" w:hAnsiTheme="minorHAnsi" w:cs="Times New Roman"/>
          <w:sz w:val="24"/>
          <w:vertAlign w:val="subscript"/>
          <w:lang w:val="en-GB"/>
        </w:rPr>
        <w:t>ex</w:t>
      </w:r>
      <w:r w:rsidR="00E20513" w:rsidRPr="00CC1D34">
        <w:rPr>
          <w:rFonts w:asciiTheme="minorHAnsi" w:hAnsiTheme="minorHAnsi" w:cs="Times New Roman"/>
          <w:sz w:val="24"/>
          <w:lang w:val="en-GB"/>
        </w:rPr>
        <w:t xml:space="preserve">. = 370 nm and </w:t>
      </w:r>
      <w:r w:rsidR="00E20513" w:rsidRPr="00CC1D34">
        <w:rPr>
          <w:rFonts w:asciiTheme="minorHAnsi" w:hAnsiTheme="minorHAnsi" w:cs="Times New Roman"/>
          <w:sz w:val="24"/>
          <w:lang w:val="en-GB"/>
        </w:rPr>
        <w:sym w:font="Symbol" w:char="006C"/>
      </w:r>
      <w:proofErr w:type="spellStart"/>
      <w:r w:rsidR="00E20513" w:rsidRPr="00CC1D34">
        <w:rPr>
          <w:rFonts w:asciiTheme="minorHAnsi" w:hAnsiTheme="minorHAnsi" w:cs="Times New Roman"/>
          <w:sz w:val="24"/>
          <w:vertAlign w:val="subscript"/>
          <w:lang w:val="en-GB"/>
        </w:rPr>
        <w:t>em</w:t>
      </w:r>
      <w:proofErr w:type="spellEnd"/>
      <w:r w:rsidR="00E20513" w:rsidRPr="00CC1D34">
        <w:rPr>
          <w:rFonts w:asciiTheme="minorHAnsi" w:hAnsiTheme="minorHAnsi" w:cs="Times New Roman"/>
          <w:sz w:val="24"/>
          <w:lang w:val="en-GB"/>
        </w:rPr>
        <w:t>. = 440 nm</w:t>
      </w:r>
      <w:r w:rsidR="00D57FE3" w:rsidRPr="00CC1D34">
        <w:rPr>
          <w:rFonts w:asciiTheme="minorHAnsi" w:hAnsiTheme="minorHAnsi" w:cs="Times New Roman"/>
          <w:sz w:val="24"/>
          <w:lang w:val="en-GB"/>
        </w:rPr>
        <w:t xml:space="preserve"> </w:t>
      </w:r>
      <w:r w:rsidR="00D57FE3" w:rsidRPr="00CC1D34">
        <w:rPr>
          <w:rFonts w:asciiTheme="minorHAnsi" w:hAnsiTheme="minorHAnsi" w:cs="Times New Roman"/>
          <w:sz w:val="24"/>
          <w:lang w:val="en-GB"/>
        </w:rPr>
        <w:fldChar w:fldCharType="begin" w:fldLock="1"/>
      </w:r>
      <w:r w:rsidR="00D57FE3" w:rsidRPr="00CC1D34">
        <w:rPr>
          <w:rFonts w:asciiTheme="minorHAnsi" w:hAnsiTheme="minorHAnsi"/>
          <w:sz w:val="24"/>
          <w:lang w:val="en-GB"/>
        </w:rPr>
        <w:instrText>ADDIN CSL_CITATION {"citationItems":[{"id":"ITEM-1","itemData":{"DOI":"10.1515/cclm.1997.35.9.669","ISSN":"1434-6621","author":[{"dropping-particle":"","family":"Münch","given":"Gerald","non-dropping-particle":"","parse-names":false,"suffix":""},{"dropping-particle":"","family":"Keis","given":"Regina","non-dropping-particle":"","parse-names":false,"suffix":""},{"dropping-particle":"","family":"Weßels","given":"Andrea","non-dropping-particle":"","parse-names":false,"suffix":""},{"dropping-particle":"","family":"Riederer","given":"Peter","non-dropping-particle":"","parse-names":false,"suffix":""},{"dropping-particle":"","family":"Bahner","given":"Udo","non-dropping-particle":"","parse-names":false,"suffix":""},{"dropping-particle":"","family":"Heidland","given":"August","non-dropping-particle":"","parse-names":false,"suffix":""},{"dropping-particle":"","family":"Niwa","given":"Toshimitsu","non-dropping-particle":"","parse-names":false,"suffix":""},{"dropping-particle":"","family":"Lemke","given":"Horst-Dieter","non-dropping-particle":"","parse-names":false,"suffix":""},{"dropping-particle":"","family":"Schinzel","given":"Reinhard","non-dropping-particle":"","parse-names":false,"suffix":""}],"container-title":"Clinical Chemistry and Laboratory Medicine","id":"ITEM-1","issue":"9","issued":{"date-parts":[["1997"]]},"title":"Determination of Advanced Glycation End Products in Serum by Fluorescence Spectroscopy and Competitive ELISA","type":"article-journal","volume":"35"},"uris":["http://www.mendeley.com/documents/?uuid=aa5e0bca-24c4-41e2-a9f5-62c87fdd826e"]}],"mendeley":{"formattedCitation":"[11]","plainTextFormattedCitation":"[11]","previouslyFormattedCitation":"[11]"},"properties":{"noteIndex":0},"schema":"https://github.com/citation-style-language/schema/raw/master/csl-citation.json"}</w:instrText>
      </w:r>
      <w:r w:rsidR="00D57FE3" w:rsidRPr="00CC1D34">
        <w:rPr>
          <w:rFonts w:asciiTheme="minorHAnsi" w:hAnsiTheme="minorHAnsi" w:cs="Times New Roman"/>
          <w:sz w:val="24"/>
          <w:lang w:val="en-GB"/>
        </w:rPr>
        <w:fldChar w:fldCharType="separate"/>
      </w:r>
      <w:r w:rsidR="00D57FE3" w:rsidRPr="00CC1D34">
        <w:rPr>
          <w:rFonts w:asciiTheme="minorHAnsi" w:hAnsiTheme="minorHAnsi" w:cs="Times New Roman"/>
          <w:noProof/>
          <w:sz w:val="24"/>
          <w:lang w:val="en-GB"/>
        </w:rPr>
        <w:t>[11]</w:t>
      </w:r>
      <w:r w:rsidR="00D57FE3" w:rsidRPr="00CC1D34">
        <w:rPr>
          <w:rFonts w:asciiTheme="minorHAnsi" w:hAnsiTheme="minorHAnsi" w:cs="Times New Roman"/>
          <w:sz w:val="24"/>
          <w:lang w:val="en-GB"/>
        </w:rPr>
        <w:fldChar w:fldCharType="end"/>
      </w:r>
      <w:r w:rsidR="000D2021" w:rsidRPr="00CC1D34">
        <w:rPr>
          <w:rFonts w:asciiTheme="minorHAnsi" w:hAnsiTheme="minorHAnsi" w:cs="Times New Roman"/>
          <w:sz w:val="24"/>
          <w:lang w:val="en-GB"/>
        </w:rPr>
        <w:t>.</w:t>
      </w:r>
    </w:p>
    <w:p w:rsidR="00E20513" w:rsidRPr="00CC1D34" w:rsidRDefault="00E20513" w:rsidP="00E20513">
      <w:pPr>
        <w:spacing w:line="360" w:lineRule="auto"/>
        <w:rPr>
          <w:rFonts w:asciiTheme="minorHAnsi" w:hAnsiTheme="minorHAnsi" w:cs="Times New Roman"/>
          <w:sz w:val="24"/>
          <w:lang w:val="en-GB"/>
        </w:rPr>
      </w:pPr>
    </w:p>
    <w:p w:rsidR="00E20513" w:rsidRPr="00CC1D34" w:rsidRDefault="00E20513" w:rsidP="00E20513">
      <w:pPr>
        <w:spacing w:line="360" w:lineRule="auto"/>
        <w:rPr>
          <w:rFonts w:asciiTheme="minorHAnsi" w:hAnsiTheme="minorHAnsi" w:cs="Times New Roman"/>
          <w:sz w:val="24"/>
          <w:lang w:val="en-GB"/>
        </w:rPr>
      </w:pPr>
      <w:r w:rsidRPr="00CC1D34">
        <w:rPr>
          <w:rStyle w:val="st"/>
          <w:rFonts w:asciiTheme="minorHAnsi" w:hAnsiTheme="minorHAnsi" w:cs="Times New Roman"/>
          <w:sz w:val="24"/>
          <w:lang w:val="en-GB"/>
        </w:rPr>
        <w:t xml:space="preserve">For </w:t>
      </w:r>
      <w:proofErr w:type="spellStart"/>
      <w:r w:rsidRPr="00CC1D34">
        <w:rPr>
          <w:rStyle w:val="st"/>
          <w:rFonts w:asciiTheme="minorHAnsi" w:hAnsiTheme="minorHAnsi" w:cs="Times New Roman"/>
          <w:sz w:val="24"/>
          <w:lang w:val="en-GB"/>
        </w:rPr>
        <w:t>fructosamine</w:t>
      </w:r>
      <w:proofErr w:type="spellEnd"/>
      <w:r w:rsidRPr="00CC1D34">
        <w:rPr>
          <w:rStyle w:val="st"/>
          <w:rFonts w:asciiTheme="minorHAnsi" w:hAnsiTheme="minorHAnsi" w:cs="Times New Roman"/>
          <w:sz w:val="24"/>
          <w:lang w:val="en-GB"/>
        </w:rPr>
        <w:t xml:space="preserve"> measurement </w:t>
      </w:r>
      <w:proofErr w:type="gramStart"/>
      <w:r w:rsidRPr="00CC1D34">
        <w:rPr>
          <w:rFonts w:asciiTheme="minorHAnsi" w:eastAsia="Times New Roman" w:hAnsiTheme="minorHAnsi" w:cs="Times New Roman"/>
          <w:sz w:val="24"/>
          <w:lang w:val="en-GB"/>
        </w:rPr>
        <w:t xml:space="preserve">16 </w:t>
      </w:r>
      <w:proofErr w:type="spellStart"/>
      <w:r w:rsidRPr="00CC1D34">
        <w:rPr>
          <w:rFonts w:asciiTheme="minorHAnsi" w:eastAsia="Times New Roman" w:hAnsiTheme="minorHAnsi" w:cs="Times New Roman"/>
          <w:sz w:val="24"/>
          <w:lang w:val="en-GB"/>
        </w:rPr>
        <w:t>mmol</w:t>
      </w:r>
      <w:proofErr w:type="spellEnd"/>
      <w:r w:rsidRPr="00CC1D34">
        <w:rPr>
          <w:rFonts w:asciiTheme="minorHAnsi" w:eastAsia="Times New Roman" w:hAnsiTheme="minorHAnsi" w:cs="Times New Roman"/>
          <w:sz w:val="24"/>
          <w:lang w:val="en-GB"/>
        </w:rPr>
        <w:t>/l 1-deoxy-morpholino-D-fructose</w:t>
      </w:r>
      <w:proofErr w:type="gramEnd"/>
      <w:r w:rsidRPr="00CC1D34">
        <w:rPr>
          <w:rFonts w:asciiTheme="minorHAnsi" w:eastAsia="Times New Roman" w:hAnsiTheme="minorHAnsi" w:cs="Times New Roman"/>
          <w:sz w:val="24"/>
          <w:lang w:val="en-GB"/>
        </w:rPr>
        <w:t xml:space="preserve"> was used as a standard. Twenty </w:t>
      </w:r>
      <w:r w:rsidRPr="00CC1D34">
        <w:rPr>
          <w:rStyle w:val="st"/>
          <w:rFonts w:asciiTheme="minorHAnsi" w:hAnsiTheme="minorHAnsi" w:cs="Times New Roman"/>
          <w:sz w:val="24"/>
          <w:lang w:val="en-GB"/>
        </w:rPr>
        <w:t xml:space="preserve">µl of samples and standards were mixed with 100 µl of </w:t>
      </w:r>
      <w:r w:rsidRPr="00CC1D34">
        <w:rPr>
          <w:rFonts w:asciiTheme="minorHAnsi" w:eastAsia="Times New Roman" w:hAnsiTheme="minorHAnsi" w:cs="Times New Roman"/>
          <w:sz w:val="24"/>
          <w:lang w:val="en-GB"/>
        </w:rPr>
        <w:t xml:space="preserve">0.25 </w:t>
      </w:r>
      <w:proofErr w:type="spellStart"/>
      <w:r w:rsidRPr="00CC1D34">
        <w:rPr>
          <w:rFonts w:asciiTheme="minorHAnsi" w:eastAsia="Times New Roman" w:hAnsiTheme="minorHAnsi" w:cs="Times New Roman"/>
          <w:sz w:val="24"/>
          <w:lang w:val="en-GB"/>
        </w:rPr>
        <w:t>mM</w:t>
      </w:r>
      <w:proofErr w:type="spellEnd"/>
      <w:r w:rsidRPr="00CC1D34">
        <w:rPr>
          <w:rFonts w:asciiTheme="minorHAnsi" w:eastAsia="Times New Roman" w:hAnsiTheme="minorHAnsi" w:cs="Times New Roman"/>
          <w:sz w:val="24"/>
          <w:lang w:val="en-GB"/>
        </w:rPr>
        <w:t xml:space="preserve">/l nitro blue </w:t>
      </w:r>
      <w:proofErr w:type="spellStart"/>
      <w:r w:rsidRPr="00CC1D34">
        <w:rPr>
          <w:rFonts w:asciiTheme="minorHAnsi" w:eastAsia="Times New Roman" w:hAnsiTheme="minorHAnsi" w:cs="Times New Roman"/>
          <w:sz w:val="24"/>
          <w:lang w:val="en-GB"/>
        </w:rPr>
        <w:t>tetrazolium</w:t>
      </w:r>
      <w:proofErr w:type="spellEnd"/>
      <w:r w:rsidRPr="00CC1D34">
        <w:rPr>
          <w:rFonts w:asciiTheme="minorHAnsi" w:eastAsia="Times New Roman" w:hAnsiTheme="minorHAnsi" w:cs="Times New Roman"/>
          <w:sz w:val="24"/>
          <w:lang w:val="en-GB"/>
        </w:rPr>
        <w:t>. After incubation at 37°C for 15 minutes, absorbance was measured at 530 nm</w:t>
      </w:r>
      <w:r w:rsidR="00D57FE3" w:rsidRPr="00CC1D34">
        <w:rPr>
          <w:rFonts w:asciiTheme="minorHAnsi" w:eastAsia="Times New Roman" w:hAnsiTheme="minorHAnsi" w:cs="Times New Roman"/>
          <w:sz w:val="24"/>
          <w:lang w:val="en-GB"/>
        </w:rPr>
        <w:t xml:space="preserve"> </w:t>
      </w:r>
      <w:r w:rsidR="00D57FE3" w:rsidRPr="00CC1D34">
        <w:rPr>
          <w:rFonts w:asciiTheme="minorHAnsi" w:hAnsiTheme="minorHAnsi" w:cs="Times New Roman"/>
          <w:sz w:val="24"/>
          <w:lang w:val="en-GB"/>
        </w:rPr>
        <w:fldChar w:fldCharType="begin" w:fldLock="1"/>
      </w:r>
      <w:r w:rsidR="00D57FE3" w:rsidRPr="00CC1D34">
        <w:rPr>
          <w:rFonts w:asciiTheme="minorHAnsi" w:hAnsiTheme="minorHAnsi"/>
          <w:sz w:val="24"/>
          <w:lang w:val="en-GB"/>
        </w:rPr>
        <w:instrText>ADDIN CSL_CITATION {"citationItems":[{"id":"ITEM-1","itemData":{"author":[{"dropping-particle":"","family":"Chung","given":"HF","non-dropping-particle":"","parse-names":false,"suffix":""},{"dropping-particle":"","family":"Lees","given":"H","non-dropping-particle":"","parse-names":false,"suffix":""},{"dropping-particle":"","family":"Gutman","given":"SI","non-dropping-particle":"","parse-names":false,"suffix":""}],"container-title":"Clin. Chem.","id":"ITEM-1","issue":"10","issued":{"date-parts":[["1988","10","1"]]},"page":"2106-2111","title":"Effect of nitroblue tetrazolium concentration on the fructosamine assay for quantifying glycated protein","type":"article-journal","volume":"34"},"uris":["http://www.mendeley.com/documents/?uuid=54bc1971-9134-4099-8435-f22aaa957c5a"]}],"mendeley":{"formattedCitation":"[12]","plainTextFormattedCitation":"[12]","previouslyFormattedCitation":"[12]"},"properties":{"noteIndex":0},"schema":"https://github.com/citation-style-language/schema/raw/master/csl-citation.json"}</w:instrText>
      </w:r>
      <w:r w:rsidR="00D57FE3" w:rsidRPr="00CC1D34">
        <w:rPr>
          <w:rFonts w:asciiTheme="minorHAnsi" w:hAnsiTheme="minorHAnsi" w:cs="Times New Roman"/>
          <w:sz w:val="24"/>
          <w:lang w:val="en-GB"/>
        </w:rPr>
        <w:fldChar w:fldCharType="separate"/>
      </w:r>
      <w:r w:rsidR="00D57FE3" w:rsidRPr="00CC1D34">
        <w:rPr>
          <w:rFonts w:asciiTheme="minorHAnsi" w:hAnsiTheme="minorHAnsi" w:cs="Times New Roman"/>
          <w:noProof/>
          <w:sz w:val="24"/>
          <w:lang w:val="en-GB"/>
        </w:rPr>
        <w:t>[12]</w:t>
      </w:r>
      <w:r w:rsidR="00D57FE3" w:rsidRPr="00CC1D34">
        <w:rPr>
          <w:rFonts w:asciiTheme="minorHAnsi" w:hAnsiTheme="minorHAnsi" w:cs="Times New Roman"/>
          <w:sz w:val="24"/>
          <w:lang w:val="en-GB"/>
        </w:rPr>
        <w:fldChar w:fldCharType="end"/>
      </w:r>
      <w:r w:rsidR="00D57FE3" w:rsidRPr="00CC1D34">
        <w:rPr>
          <w:rFonts w:asciiTheme="minorHAnsi" w:hAnsiTheme="minorHAnsi" w:cs="Times New Roman"/>
          <w:sz w:val="24"/>
          <w:lang w:val="en-GB"/>
        </w:rPr>
        <w:t xml:space="preserve"> </w:t>
      </w:r>
      <w:r w:rsidR="00803865" w:rsidRPr="00CC1D34">
        <w:rPr>
          <w:rFonts w:asciiTheme="minorHAnsi" w:hAnsiTheme="minorHAnsi" w:cs="Times New Roman"/>
          <w:sz w:val="24"/>
          <w:lang w:val="en-GB"/>
        </w:rPr>
        <w:t>.</w:t>
      </w:r>
    </w:p>
    <w:p w:rsidR="00E20513" w:rsidRPr="00CC1D34" w:rsidRDefault="00E20513" w:rsidP="00E20513">
      <w:pPr>
        <w:spacing w:line="360" w:lineRule="auto"/>
        <w:rPr>
          <w:rFonts w:asciiTheme="minorHAnsi" w:hAnsiTheme="minorHAnsi" w:cs="Times New Roman"/>
          <w:sz w:val="24"/>
          <w:lang w:val="en-GB"/>
        </w:rPr>
      </w:pPr>
    </w:p>
    <w:p w:rsidR="00CD0C31" w:rsidRPr="00CC1D34" w:rsidRDefault="00CD0C31" w:rsidP="00CD0C31">
      <w:pPr>
        <w:spacing w:line="360" w:lineRule="auto"/>
        <w:rPr>
          <w:rFonts w:asciiTheme="minorHAnsi" w:hAnsiTheme="minorHAnsi"/>
          <w:sz w:val="24"/>
          <w:lang w:val="en-GB"/>
        </w:rPr>
      </w:pPr>
      <w:r w:rsidRPr="00CC1D34">
        <w:rPr>
          <w:rFonts w:asciiTheme="minorHAnsi" w:hAnsiTheme="minorHAnsi"/>
          <w:sz w:val="24"/>
          <w:lang w:val="en-GB"/>
        </w:rPr>
        <w:t xml:space="preserve">As a marker of antioxidant status, </w:t>
      </w:r>
      <w:r w:rsidRPr="00CC1D34">
        <w:rPr>
          <w:rFonts w:asciiTheme="minorHAnsi" w:hAnsiTheme="minorHAnsi" w:cs="Times New Roman"/>
          <w:sz w:val="24"/>
          <w:lang w:val="en-GB"/>
        </w:rPr>
        <w:t>FRAP was measured</w:t>
      </w:r>
      <w:r w:rsidR="00736413" w:rsidRPr="00CC1D34">
        <w:rPr>
          <w:rFonts w:asciiTheme="minorHAnsi" w:hAnsiTheme="minorHAnsi" w:cs="Times New Roman"/>
          <w:sz w:val="24"/>
          <w:lang w:val="en-GB"/>
        </w:rPr>
        <w:t xml:space="preserve"> </w:t>
      </w:r>
      <w:r w:rsidR="00736413" w:rsidRPr="00CC1D34">
        <w:rPr>
          <w:rFonts w:asciiTheme="minorHAnsi" w:eastAsia="Times New Roman" w:hAnsiTheme="minorHAnsi" w:cs="Times New Roman"/>
          <w:sz w:val="24"/>
          <w:lang w:val="en-GB"/>
        </w:rPr>
        <w:fldChar w:fldCharType="begin" w:fldLock="1"/>
      </w:r>
      <w:r w:rsidR="00736413" w:rsidRPr="00CC1D34">
        <w:rPr>
          <w:rFonts w:asciiTheme="minorHAnsi" w:eastAsia="Times New Roman" w:hAnsiTheme="minorHAnsi" w:cs="Times New Roman"/>
          <w:sz w:val="24"/>
          <w:lang w:val="en-GB"/>
        </w:rPr>
        <w:instrText>ADDIN CSL_CITATION {"citationItems":[{"id":"ITEM-1","itemData":{"DOI":"10.1006/abio.1996.0292","ISSN":"0003-2697","PMID":"8660627","abstract":"A simple, automated test measuring the ferric reducing ability of plasma, the FRAP assay, is presented as a novel method for assessing \"antioxidant power.\" Ferric to ferrous ion reduction at low pH causes a colored ferrous-tripyridyltriazine complex to form. FRAP values are obtained by comparing the absorbance change at 593 nm in test reaction mixtures with those containing ferrous ions in known concentration. Absorbance changes are linear over a wide concentration range with antioxidant mixtures, including plasma, and with solutions containing one antioxidant in purified form. There is no apparent interaction between antioxidants. Measured stoichiometric factors of Trolox, alpha-tocopherol, ascorbic acid, and uric acid are all 2.0; that of bilirubin is 4.0. Activity of albumin is very low. Within- and between-run CVs are &lt;1.0 and &lt;3.0%, respectively, at 100-1000 micromol/liter. FRAP values of fresh plasma of healthy Chinese adults: 612-1634 micromol/liter (mean, 1017; SD, 206; n = 141). The FRAP assay is inexpensive, reagents are simple to prepare, results are highly reproducible, and the procedure is straightforward and speedy. The FRAP assay offers a putative index of antioxidant, or reducing, potential of biological fluids within the technological reach of every laboratory and researcher interested in oxidative stress and its effects.","author":[{"dropping-particle":"","family":"Benzie","given":"I F","non-dropping-particle":"","parse-names":false,"suffix":""},{"dropping-particle":"","family":"Strain","given":"J J","non-dropping-particle":"","parse-names":false,"suffix":""}],"container-title":"Analytical biochemistry","id":"ITEM-1","issue":"1","issued":{"date-parts":[["1996","7","15"]]},"page":"70-6","title":"The ferric reducing ability of plasma (FRAP) as a measure of \"antioxidant power\": the FRAP assay.","type":"article-journal","volume":"239"},"uris":["http://www.mendeley.com/documents/?uuid=c35a96f0-6d81-4f6d-af6e-478f71a8afe8"]},{"id":"ITEM-2","itemData":{"DOI":"10.1016/j.clinbiochem.2003.11.015","ISSN":"00099120","author":[{"dropping-particle":"","family":"Erel","given":"Ozcan","non-dropping-particle":"","parse-names":false,"suffix":""}],"container-title":"Clinical Biochemistry","id":"ITEM-2","issue":"4","issued":{"date-parts":[["2004","4"]]},"page":"277-285","title":"A novel automated direct measurement method for total antioxidant capacity using a new generation, more stable ABTS radical cation","type":"article-journal","volume":"37"},"uris":["http://www.mendeley.com/documents/?uuid=f0f98545-9970-360d-bd7e-dbe405516cdd"]}],"mendeley":{"formattedCitation":"[14,15]","plainTextFormattedCitation":"[14,15]","previouslyFormattedCitation":"[14,15]"},"properties":{"noteIndex":0},"schema":"https://github.com/citation-style-language/schema/raw/master/csl-citation.json"}</w:instrText>
      </w:r>
      <w:r w:rsidR="00736413" w:rsidRPr="00CC1D34">
        <w:rPr>
          <w:rFonts w:asciiTheme="minorHAnsi" w:eastAsia="Times New Roman" w:hAnsiTheme="minorHAnsi" w:cs="Times New Roman"/>
          <w:sz w:val="24"/>
          <w:lang w:val="en-GB"/>
        </w:rPr>
        <w:fldChar w:fldCharType="separate"/>
      </w:r>
      <w:r w:rsidR="00FD3D5C" w:rsidRPr="00CC1D34">
        <w:rPr>
          <w:rFonts w:asciiTheme="minorHAnsi" w:eastAsia="Times New Roman" w:hAnsiTheme="minorHAnsi" w:cs="Times New Roman"/>
          <w:noProof/>
          <w:sz w:val="24"/>
          <w:lang w:val="en-GB"/>
        </w:rPr>
        <w:t>[14</w:t>
      </w:r>
      <w:r w:rsidR="00736413" w:rsidRPr="00CC1D34">
        <w:rPr>
          <w:rFonts w:asciiTheme="minorHAnsi" w:eastAsia="Times New Roman" w:hAnsiTheme="minorHAnsi" w:cs="Times New Roman"/>
          <w:noProof/>
          <w:sz w:val="24"/>
          <w:lang w:val="en-GB"/>
        </w:rPr>
        <w:t>]</w:t>
      </w:r>
      <w:r w:rsidR="00736413" w:rsidRPr="00CC1D34">
        <w:rPr>
          <w:rFonts w:asciiTheme="minorHAnsi" w:eastAsia="Times New Roman" w:hAnsiTheme="minorHAnsi" w:cs="Times New Roman"/>
          <w:sz w:val="24"/>
          <w:lang w:val="en-GB"/>
        </w:rPr>
        <w:fldChar w:fldCharType="end"/>
      </w:r>
      <w:r w:rsidR="000F7536" w:rsidRPr="00CC1D34">
        <w:rPr>
          <w:rFonts w:asciiTheme="minorHAnsi" w:hAnsiTheme="minorHAnsi" w:cs="Times New Roman"/>
          <w:sz w:val="24"/>
          <w:lang w:val="en-GB"/>
        </w:rPr>
        <w:t>.</w:t>
      </w:r>
      <w:r w:rsidRPr="00CC1D34">
        <w:rPr>
          <w:rFonts w:asciiTheme="minorHAnsi" w:hAnsiTheme="minorHAnsi" w:cs="Times New Roman"/>
          <w:sz w:val="24"/>
          <w:lang w:val="en-GB"/>
        </w:rPr>
        <w:t xml:space="preserve"> Briefly, 200 </w:t>
      </w:r>
      <w:r w:rsidRPr="00CC1D34">
        <w:rPr>
          <w:rStyle w:val="st"/>
          <w:rFonts w:asciiTheme="minorHAnsi" w:hAnsiTheme="minorHAnsi" w:cs="Times New Roman"/>
          <w:sz w:val="24"/>
          <w:lang w:val="en-GB"/>
        </w:rPr>
        <w:t xml:space="preserve">µl of fresh prepared and warmed (37°C) FRAP reagent </w:t>
      </w:r>
      <w:r w:rsidRPr="00CC1D34">
        <w:rPr>
          <w:rFonts w:asciiTheme="minorHAnsi" w:hAnsiTheme="minorHAnsi" w:cs="Times New Roman"/>
          <w:sz w:val="24"/>
          <w:lang w:val="en-GB"/>
        </w:rPr>
        <w:t xml:space="preserve">was </w:t>
      </w:r>
      <w:proofErr w:type="spellStart"/>
      <w:r w:rsidRPr="00CC1D34">
        <w:rPr>
          <w:rFonts w:asciiTheme="minorHAnsi" w:hAnsiTheme="minorHAnsi" w:cs="Times New Roman"/>
          <w:sz w:val="24"/>
          <w:lang w:val="en-GB"/>
        </w:rPr>
        <w:t>pipetted</w:t>
      </w:r>
      <w:proofErr w:type="spellEnd"/>
      <w:r w:rsidRPr="00CC1D34">
        <w:rPr>
          <w:rFonts w:asciiTheme="minorHAnsi" w:hAnsiTheme="minorHAnsi" w:cs="Times New Roman"/>
          <w:sz w:val="24"/>
          <w:lang w:val="en-GB"/>
        </w:rPr>
        <w:t xml:space="preserve"> into </w:t>
      </w:r>
      <w:proofErr w:type="spellStart"/>
      <w:r w:rsidRPr="00CC1D34">
        <w:rPr>
          <w:rFonts w:asciiTheme="minorHAnsi" w:hAnsiTheme="minorHAnsi" w:cs="Times New Roman"/>
          <w:sz w:val="24"/>
          <w:lang w:val="en-GB"/>
        </w:rPr>
        <w:t>microtest</w:t>
      </w:r>
      <w:proofErr w:type="spellEnd"/>
      <w:r w:rsidRPr="00CC1D34">
        <w:rPr>
          <w:rFonts w:asciiTheme="minorHAnsi" w:hAnsiTheme="minorHAnsi" w:cs="Times New Roman"/>
          <w:sz w:val="24"/>
          <w:lang w:val="en-GB"/>
        </w:rPr>
        <w:t xml:space="preserve"> plate. Absorbance was measured at 593 nm and served as a blank. Afterwards, 20 </w:t>
      </w:r>
      <w:r w:rsidRPr="00CC1D34">
        <w:rPr>
          <w:rStyle w:val="st"/>
          <w:rFonts w:asciiTheme="minorHAnsi" w:hAnsiTheme="minorHAnsi" w:cs="Times New Roman"/>
          <w:sz w:val="24"/>
          <w:lang w:val="en-GB"/>
        </w:rPr>
        <w:t>µl of samples and standards (</w:t>
      </w:r>
      <w:r w:rsidRPr="00CC1D34">
        <w:rPr>
          <w:rFonts w:asciiTheme="minorHAnsi" w:hAnsiTheme="minorHAnsi"/>
          <w:sz w:val="24"/>
          <w:lang w:val="en-GB"/>
        </w:rPr>
        <w:t>FeSO</w:t>
      </w:r>
      <w:r w:rsidRPr="00CC1D34">
        <w:rPr>
          <w:rFonts w:asciiTheme="minorHAnsi" w:hAnsiTheme="minorHAnsi"/>
          <w:sz w:val="24"/>
          <w:vertAlign w:val="subscript"/>
          <w:lang w:val="en-GB"/>
        </w:rPr>
        <w:t>4</w:t>
      </w:r>
      <w:r w:rsidRPr="00CC1D34">
        <w:rPr>
          <w:rFonts w:asciiTheme="minorHAnsi" w:hAnsiTheme="minorHAnsi"/>
          <w:sz w:val="24"/>
          <w:lang w:val="en-GB"/>
        </w:rPr>
        <w:t>*7H</w:t>
      </w:r>
      <w:r w:rsidRPr="00CC1D34">
        <w:rPr>
          <w:rFonts w:asciiTheme="minorHAnsi" w:hAnsiTheme="minorHAnsi"/>
          <w:sz w:val="24"/>
          <w:vertAlign w:val="subscript"/>
          <w:lang w:val="en-GB"/>
        </w:rPr>
        <w:t>2</w:t>
      </w:r>
      <w:r w:rsidRPr="00CC1D34">
        <w:rPr>
          <w:rFonts w:asciiTheme="minorHAnsi" w:hAnsiTheme="minorHAnsi"/>
          <w:sz w:val="24"/>
          <w:lang w:val="en-GB"/>
        </w:rPr>
        <w:t xml:space="preserve">O) were added. After short </w:t>
      </w:r>
      <w:proofErr w:type="spellStart"/>
      <w:r w:rsidRPr="00CC1D34">
        <w:rPr>
          <w:rFonts w:asciiTheme="minorHAnsi" w:hAnsiTheme="minorHAnsi"/>
          <w:sz w:val="24"/>
          <w:lang w:val="en-GB"/>
        </w:rPr>
        <w:t>vortexing</w:t>
      </w:r>
      <w:proofErr w:type="spellEnd"/>
      <w:r w:rsidRPr="00CC1D34">
        <w:rPr>
          <w:rFonts w:asciiTheme="minorHAnsi" w:hAnsiTheme="minorHAnsi"/>
          <w:sz w:val="24"/>
          <w:lang w:val="en-GB"/>
        </w:rPr>
        <w:t xml:space="preserve">, absorbance was measured again at 593 nm. The initial absorbance that served as a blank was subtracted from the second absorbance. </w:t>
      </w:r>
    </w:p>
    <w:p w:rsidR="00CD0C31" w:rsidRPr="00CC1D34" w:rsidRDefault="00CD0C31" w:rsidP="00CD0C31">
      <w:pPr>
        <w:spacing w:line="360" w:lineRule="auto"/>
        <w:rPr>
          <w:rFonts w:asciiTheme="minorHAnsi" w:hAnsiTheme="minorHAnsi"/>
          <w:sz w:val="24"/>
          <w:lang w:val="en-GB"/>
        </w:rPr>
      </w:pPr>
    </w:p>
    <w:p w:rsidR="00E20513" w:rsidRPr="00CC1D34" w:rsidRDefault="00E20513" w:rsidP="00E20513">
      <w:pPr>
        <w:spacing w:line="360" w:lineRule="auto"/>
        <w:rPr>
          <w:rFonts w:asciiTheme="minorHAnsi" w:hAnsiTheme="minorHAnsi"/>
          <w:sz w:val="24"/>
          <w:lang w:val="en-GB"/>
        </w:rPr>
      </w:pPr>
      <w:r w:rsidRPr="00CC1D34">
        <w:rPr>
          <w:rFonts w:asciiTheme="minorHAnsi" w:hAnsiTheme="minorHAnsi" w:cs="Times New Roman"/>
          <w:sz w:val="24"/>
          <w:lang w:val="en-GB"/>
        </w:rPr>
        <w:t>For the measurement of TAC</w:t>
      </w:r>
      <w:r w:rsidR="00736413" w:rsidRPr="00CC1D34">
        <w:rPr>
          <w:rFonts w:asciiTheme="minorHAnsi" w:hAnsiTheme="minorHAnsi" w:cs="Times New Roman"/>
          <w:sz w:val="24"/>
          <w:lang w:val="en-GB"/>
        </w:rPr>
        <w:t xml:space="preserve"> </w:t>
      </w:r>
      <w:r w:rsidR="00736413" w:rsidRPr="00CC1D34">
        <w:rPr>
          <w:rFonts w:asciiTheme="minorHAnsi" w:eastAsia="Times New Roman" w:hAnsiTheme="minorHAnsi" w:cs="Times New Roman"/>
          <w:sz w:val="24"/>
          <w:lang w:val="en-GB"/>
        </w:rPr>
        <w:fldChar w:fldCharType="begin" w:fldLock="1"/>
      </w:r>
      <w:r w:rsidR="00736413" w:rsidRPr="00CC1D34">
        <w:rPr>
          <w:rFonts w:asciiTheme="minorHAnsi" w:eastAsia="Times New Roman" w:hAnsiTheme="minorHAnsi" w:cs="Times New Roman"/>
          <w:sz w:val="24"/>
          <w:lang w:val="en-GB"/>
        </w:rPr>
        <w:instrText>ADDIN CSL_CITATION {"citationItems":[{"id":"ITEM-1","itemData":{"DOI":"10.1006/abio.1996.0292","ISSN":"0003-2697","PMID":"8660627","abstract":"A simple, automated test measuring the ferric reducing ability of plasma, the FRAP assay, is presented as a novel method for assessing \"antioxidant power.\" Ferric to ferrous ion reduction at low pH causes a colored ferrous-tripyridyltriazine complex to form. FRAP values are obtained by comparing the absorbance change at 593 nm in test reaction mixtures with those containing ferrous ions in known concentration. Absorbance changes are linear over a wide concentration range with antioxidant mixtures, including plasma, and with solutions containing one antioxidant in purified form. There is no apparent interaction between antioxidants. Measured stoichiometric factors of Trolox, alpha-tocopherol, ascorbic acid, and uric acid are all 2.0; that of bilirubin is 4.0. Activity of albumin is very low. Within- and between-run CVs are &lt;1.0 and &lt;3.0%, respectively, at 100-1000 micromol/liter. FRAP values of fresh plasma of healthy Chinese adults: 612-1634 micromol/liter (mean, 1017; SD, 206; n = 141). The FRAP assay is inexpensive, reagents are simple to prepare, results are highly reproducible, and the procedure is straightforward and speedy. The FRAP assay offers a putative index of antioxidant, or reducing, potential of biological fluids within the technological reach of every laboratory and researcher interested in oxidative stress and its effects.","author":[{"dropping-particle":"","family":"Benzie","given":"I F","non-dropping-particle":"","parse-names":false,"suffix":""},{"dropping-particle":"","family":"Strain","given":"J J","non-dropping-particle":"","parse-names":false,"suffix":""}],"container-title":"Analytical biochemistry","id":"ITEM-1","issue":"1","issued":{"date-parts":[["1996","7","15"]]},"page":"70-6","title":"The ferric reducing ability of plasma (FRAP) as a measure of \"antioxidant power\": the FRAP assay.","type":"article-journal","volume":"239"},"uris":["http://www.mendeley.com/documents/?uuid=c35a96f0-6d81-4f6d-af6e-478f71a8afe8"]},{"id":"ITEM-2","itemData":{"DOI":"10.1016/j.clinbiochem.2003.11.015","ISSN":"00099120","author":[{"dropping-particle":"","family":"Erel","given":"Ozcan","non-dropping-particle":"","parse-names":false,"suffix":""}],"container-title":"Clinical Biochemistry","id":"ITEM-2","issue":"4","issued":{"date-parts":[["2004","4"]]},"page":"277-285","title":"A novel automated direct measurement method for total antioxidant capacity using a new generation, more stable ABTS radical cation","type":"article-journal","volume":"37"},"uris":["http://www.mendeley.com/documents/?uuid=f0f98545-9970-360d-bd7e-dbe405516cdd"]}],"mendeley":{"formattedCitation":"[14,15]","plainTextFormattedCitation":"[14,15]","previouslyFormattedCitation":"[14,15]"},"properties":{"noteIndex":0},"schema":"https://github.com/citation-style-language/schema/raw/master/csl-citation.json"}</w:instrText>
      </w:r>
      <w:r w:rsidR="00736413" w:rsidRPr="00CC1D34">
        <w:rPr>
          <w:rFonts w:asciiTheme="minorHAnsi" w:eastAsia="Times New Roman" w:hAnsiTheme="minorHAnsi" w:cs="Times New Roman"/>
          <w:sz w:val="24"/>
          <w:lang w:val="en-GB"/>
        </w:rPr>
        <w:fldChar w:fldCharType="separate"/>
      </w:r>
      <w:r w:rsidR="00FD3D5C" w:rsidRPr="00CC1D34">
        <w:rPr>
          <w:rFonts w:asciiTheme="minorHAnsi" w:eastAsia="Times New Roman" w:hAnsiTheme="minorHAnsi" w:cs="Times New Roman"/>
          <w:noProof/>
          <w:sz w:val="24"/>
          <w:lang w:val="en-GB"/>
        </w:rPr>
        <w:t>[</w:t>
      </w:r>
      <w:r w:rsidR="00736413" w:rsidRPr="00CC1D34">
        <w:rPr>
          <w:rFonts w:asciiTheme="minorHAnsi" w:eastAsia="Times New Roman" w:hAnsiTheme="minorHAnsi" w:cs="Times New Roman"/>
          <w:noProof/>
          <w:sz w:val="24"/>
          <w:lang w:val="en-GB"/>
        </w:rPr>
        <w:t>15]</w:t>
      </w:r>
      <w:r w:rsidR="00736413" w:rsidRPr="00CC1D34">
        <w:rPr>
          <w:rFonts w:asciiTheme="minorHAnsi" w:eastAsia="Times New Roman" w:hAnsiTheme="minorHAnsi" w:cs="Times New Roman"/>
          <w:sz w:val="24"/>
          <w:lang w:val="en-GB"/>
        </w:rPr>
        <w:fldChar w:fldCharType="end"/>
      </w:r>
      <w:r w:rsidRPr="00CC1D34">
        <w:rPr>
          <w:rFonts w:asciiTheme="minorHAnsi" w:hAnsiTheme="minorHAnsi" w:cs="Times New Roman"/>
          <w:sz w:val="24"/>
          <w:lang w:val="en-GB"/>
        </w:rPr>
        <w:t xml:space="preserve">, 20 </w:t>
      </w:r>
      <w:r w:rsidRPr="00CC1D34">
        <w:rPr>
          <w:rStyle w:val="st"/>
          <w:rFonts w:asciiTheme="minorHAnsi" w:hAnsiTheme="minorHAnsi" w:cs="Times New Roman"/>
          <w:sz w:val="24"/>
          <w:lang w:val="en-GB"/>
        </w:rPr>
        <w:t>µl of samples and standards (</w:t>
      </w:r>
      <w:proofErr w:type="spellStart"/>
      <w:r w:rsidRPr="00CC1D34">
        <w:rPr>
          <w:rStyle w:val="st"/>
          <w:rFonts w:asciiTheme="minorHAnsi" w:hAnsiTheme="minorHAnsi" w:cs="Times New Roman"/>
          <w:sz w:val="24"/>
          <w:lang w:val="en-GB"/>
        </w:rPr>
        <w:t>trolox</w:t>
      </w:r>
      <w:proofErr w:type="spellEnd"/>
      <w:r w:rsidRPr="00CC1D34">
        <w:rPr>
          <w:rStyle w:val="st"/>
          <w:rFonts w:asciiTheme="minorHAnsi" w:hAnsiTheme="minorHAnsi" w:cs="Times New Roman"/>
          <w:sz w:val="24"/>
          <w:lang w:val="en-GB"/>
        </w:rPr>
        <w:t xml:space="preserve">) were mixed with 200 µl of acetate buffer (pH=5.8). The absorbance was measured at 660 nm. Afterwards, 20 </w:t>
      </w:r>
      <w:r w:rsidRPr="00CC1D34">
        <w:rPr>
          <w:rStyle w:val="st"/>
          <w:rFonts w:asciiTheme="minorHAnsi" w:hAnsiTheme="minorHAnsi" w:cs="Times New Roman"/>
          <w:sz w:val="24"/>
          <w:lang w:val="en-GB"/>
        </w:rPr>
        <w:lastRenderedPageBreak/>
        <w:t>µl</w:t>
      </w:r>
      <w:r w:rsidRPr="00CC1D34">
        <w:rPr>
          <w:rFonts w:asciiTheme="minorHAnsi" w:hAnsiTheme="minorHAnsi"/>
          <w:sz w:val="24"/>
          <w:lang w:val="en-GB"/>
        </w:rPr>
        <w:t xml:space="preserve"> of 2</w:t>
      </w:r>
      <w:proofErr w:type="gramStart"/>
      <w:r w:rsidRPr="00CC1D34">
        <w:rPr>
          <w:rFonts w:asciiTheme="minorHAnsi" w:hAnsiTheme="minorHAnsi"/>
          <w:sz w:val="24"/>
          <w:lang w:val="en-GB"/>
        </w:rPr>
        <w:t>,2'</w:t>
      </w:r>
      <w:proofErr w:type="gramEnd"/>
      <w:r w:rsidRPr="00CC1D34">
        <w:rPr>
          <w:rFonts w:asciiTheme="minorHAnsi" w:hAnsiTheme="minorHAnsi"/>
          <w:sz w:val="24"/>
          <w:lang w:val="en-GB"/>
        </w:rPr>
        <w:t>-azino-bis(3-ethylbenzthiazoline-6-sulphonic acid solution were added. The absorbance was measured again at 660 nm. In calculation, the initial absorbance that served as a blank was subtrac</w:t>
      </w:r>
      <w:r w:rsidR="00A661AF" w:rsidRPr="00CC1D34">
        <w:rPr>
          <w:rFonts w:asciiTheme="minorHAnsi" w:hAnsiTheme="minorHAnsi"/>
          <w:sz w:val="24"/>
          <w:lang w:val="en-GB"/>
        </w:rPr>
        <w:t>ted from the second absorbance.</w:t>
      </w:r>
    </w:p>
    <w:p w:rsidR="00E20513" w:rsidRPr="00CC1D34" w:rsidRDefault="00E20513" w:rsidP="00E20513">
      <w:pPr>
        <w:spacing w:line="360" w:lineRule="auto"/>
        <w:rPr>
          <w:rFonts w:asciiTheme="minorHAnsi" w:hAnsiTheme="minorHAnsi"/>
          <w:sz w:val="24"/>
          <w:lang w:val="en-GB"/>
        </w:rPr>
      </w:pPr>
    </w:p>
    <w:p w:rsidR="00BE3CCA" w:rsidRPr="00CC1D34" w:rsidRDefault="00BE3CCA" w:rsidP="00BE3CCA">
      <w:pPr>
        <w:pStyle w:val="Normlny1"/>
        <w:widowControl w:val="0"/>
        <w:spacing w:line="360" w:lineRule="auto"/>
        <w:jc w:val="both"/>
        <w:rPr>
          <w:rFonts w:asciiTheme="minorHAnsi" w:eastAsia="Calibri" w:hAnsiTheme="minorHAnsi" w:cs="Calibri"/>
          <w:color w:val="auto"/>
          <w:lang w:val="en-GB"/>
        </w:rPr>
      </w:pPr>
      <w:r w:rsidRPr="00CC1D34">
        <w:rPr>
          <w:rFonts w:asciiTheme="minorHAnsi" w:hAnsiTheme="minorHAnsi"/>
          <w:color w:val="auto"/>
          <w:lang w:val="en-GB"/>
        </w:rPr>
        <w:t xml:space="preserve">For the measurement of GSH, 10 </w:t>
      </w:r>
      <w:r w:rsidRPr="00CC1D34">
        <w:rPr>
          <w:rStyle w:val="st"/>
          <w:rFonts w:asciiTheme="minorHAnsi" w:hAnsiTheme="minorHAnsi"/>
          <w:color w:val="auto"/>
          <w:lang w:val="en-GB"/>
        </w:rPr>
        <w:t>µl of samples were mixed with 10 µl of O-</w:t>
      </w:r>
      <w:proofErr w:type="spellStart"/>
      <w:r w:rsidRPr="00CC1D34">
        <w:rPr>
          <w:rFonts w:asciiTheme="minorHAnsi" w:eastAsia="Calibri" w:hAnsiTheme="minorHAnsi" w:cs="Calibri"/>
          <w:color w:val="auto"/>
          <w:lang w:val="en-GB"/>
        </w:rPr>
        <w:t>Phtalaldehyd</w:t>
      </w:r>
      <w:proofErr w:type="spellEnd"/>
      <w:r w:rsidRPr="00CC1D34">
        <w:rPr>
          <w:rFonts w:asciiTheme="minorHAnsi" w:eastAsia="Calibri" w:hAnsiTheme="minorHAnsi" w:cs="Calibri"/>
          <w:color w:val="auto"/>
          <w:lang w:val="en-GB"/>
        </w:rPr>
        <w:t xml:space="preserve"> solution (1 mg/ml) and 180 µl of the phosphate buffer solution (100 </w:t>
      </w:r>
      <w:proofErr w:type="spellStart"/>
      <w:r w:rsidRPr="00CC1D34">
        <w:rPr>
          <w:rFonts w:asciiTheme="minorHAnsi" w:eastAsia="Calibri" w:hAnsiTheme="minorHAnsi" w:cs="Calibri"/>
          <w:color w:val="auto"/>
          <w:lang w:val="en-GB"/>
        </w:rPr>
        <w:t>mM</w:t>
      </w:r>
      <w:proofErr w:type="spellEnd"/>
      <w:r w:rsidRPr="00CC1D34">
        <w:rPr>
          <w:rFonts w:asciiTheme="minorHAnsi" w:eastAsia="Calibri" w:hAnsiTheme="minorHAnsi" w:cs="Calibri"/>
          <w:color w:val="auto"/>
          <w:lang w:val="en-GB"/>
        </w:rPr>
        <w:t xml:space="preserve"> with 2.5 </w:t>
      </w:r>
      <w:proofErr w:type="spellStart"/>
      <w:r w:rsidRPr="00CC1D34">
        <w:rPr>
          <w:rFonts w:asciiTheme="minorHAnsi" w:eastAsia="Calibri" w:hAnsiTheme="minorHAnsi" w:cs="Calibri"/>
          <w:color w:val="auto"/>
          <w:lang w:val="en-GB"/>
        </w:rPr>
        <w:t>mM</w:t>
      </w:r>
      <w:proofErr w:type="spellEnd"/>
      <w:r w:rsidRPr="00CC1D34">
        <w:rPr>
          <w:rFonts w:asciiTheme="minorHAnsi" w:eastAsia="Calibri" w:hAnsiTheme="minorHAnsi" w:cs="Calibri"/>
          <w:color w:val="auto"/>
          <w:lang w:val="en-GB"/>
        </w:rPr>
        <w:t xml:space="preserve"> EDTA-Na</w:t>
      </w:r>
      <w:r w:rsidRPr="00CC1D34">
        <w:rPr>
          <w:rFonts w:asciiTheme="minorHAnsi" w:eastAsia="Calibri" w:hAnsiTheme="minorHAnsi" w:cs="Calibri"/>
          <w:color w:val="auto"/>
          <w:vertAlign w:val="subscript"/>
          <w:lang w:val="en-GB"/>
        </w:rPr>
        <w:t>2</w:t>
      </w:r>
      <w:r w:rsidRPr="00CC1D34">
        <w:rPr>
          <w:rFonts w:asciiTheme="minorHAnsi" w:eastAsia="Calibri" w:hAnsiTheme="minorHAnsi" w:cs="Calibri"/>
          <w:color w:val="auto"/>
          <w:lang w:val="en-GB"/>
        </w:rPr>
        <w:t>). After incubation at 37°C for 15 minutes, fluorescence was measured at ex</w:t>
      </w:r>
      <w:proofErr w:type="gramStart"/>
      <w:r w:rsidRPr="00CC1D34">
        <w:rPr>
          <w:rFonts w:asciiTheme="minorHAnsi" w:eastAsia="Calibri" w:hAnsiTheme="minorHAnsi" w:cs="Calibri"/>
          <w:color w:val="auto"/>
          <w:lang w:val="en-GB"/>
        </w:rPr>
        <w:t>.=</w:t>
      </w:r>
      <w:proofErr w:type="gramEnd"/>
      <w:r w:rsidRPr="00CC1D34">
        <w:rPr>
          <w:rFonts w:asciiTheme="minorHAnsi" w:eastAsia="Calibri" w:hAnsiTheme="minorHAnsi" w:cs="Calibri"/>
          <w:color w:val="auto"/>
          <w:lang w:val="en-GB"/>
        </w:rPr>
        <w:t xml:space="preserve">350 nm, </w:t>
      </w:r>
      <w:proofErr w:type="spellStart"/>
      <w:r w:rsidRPr="00CC1D34">
        <w:rPr>
          <w:rFonts w:asciiTheme="minorHAnsi" w:eastAsia="Calibri" w:hAnsiTheme="minorHAnsi" w:cs="Calibri"/>
          <w:color w:val="auto"/>
          <w:lang w:val="en-GB"/>
        </w:rPr>
        <w:t>em</w:t>
      </w:r>
      <w:proofErr w:type="spellEnd"/>
      <w:r w:rsidRPr="00CC1D34">
        <w:rPr>
          <w:rFonts w:asciiTheme="minorHAnsi" w:eastAsia="Calibri" w:hAnsiTheme="minorHAnsi" w:cs="Calibri"/>
          <w:color w:val="auto"/>
          <w:lang w:val="en-GB"/>
        </w:rPr>
        <w:t xml:space="preserve">.=460 nm. For the measurement of GSSG, 25 </w:t>
      </w:r>
      <w:r w:rsidRPr="00CC1D34">
        <w:rPr>
          <w:rStyle w:val="st"/>
          <w:rFonts w:asciiTheme="minorHAnsi" w:hAnsiTheme="minorHAnsi"/>
          <w:color w:val="auto"/>
          <w:lang w:val="en-GB"/>
        </w:rPr>
        <w:t xml:space="preserve">µl of samples were mixed with </w:t>
      </w:r>
      <w:r w:rsidRPr="00CC1D34">
        <w:rPr>
          <w:rFonts w:asciiTheme="minorHAnsi" w:eastAsia="Calibri" w:hAnsiTheme="minorHAnsi" w:cs="Calibri"/>
          <w:color w:val="auto"/>
          <w:lang w:val="en-GB"/>
        </w:rPr>
        <w:t>10 µl of the N-</w:t>
      </w:r>
      <w:proofErr w:type="spellStart"/>
      <w:r w:rsidRPr="00CC1D34">
        <w:rPr>
          <w:rFonts w:asciiTheme="minorHAnsi" w:eastAsia="Calibri" w:hAnsiTheme="minorHAnsi" w:cs="Calibri"/>
          <w:color w:val="auto"/>
          <w:lang w:val="en-GB"/>
        </w:rPr>
        <w:t>ethylmaleimide</w:t>
      </w:r>
      <w:proofErr w:type="spellEnd"/>
      <w:r w:rsidRPr="00CC1D34">
        <w:rPr>
          <w:rFonts w:asciiTheme="minorHAnsi" w:eastAsia="Calibri" w:hAnsiTheme="minorHAnsi" w:cs="Calibri"/>
          <w:color w:val="auto"/>
          <w:lang w:val="en-GB"/>
        </w:rPr>
        <w:t xml:space="preserve"> (5 g/ml). After incubation for 40 minutes at room temperature, 10 </w:t>
      </w:r>
      <w:r w:rsidRPr="00CC1D34">
        <w:rPr>
          <w:rStyle w:val="st"/>
          <w:rFonts w:asciiTheme="minorHAnsi" w:hAnsiTheme="minorHAnsi"/>
          <w:color w:val="auto"/>
          <w:lang w:val="en-GB"/>
        </w:rPr>
        <w:t xml:space="preserve">µl of mixture were transferred into new </w:t>
      </w:r>
      <w:proofErr w:type="spellStart"/>
      <w:r w:rsidRPr="00CC1D34">
        <w:rPr>
          <w:rStyle w:val="st"/>
          <w:rFonts w:asciiTheme="minorHAnsi" w:hAnsiTheme="minorHAnsi"/>
          <w:color w:val="auto"/>
          <w:lang w:val="en-GB"/>
        </w:rPr>
        <w:t>microtest</w:t>
      </w:r>
      <w:proofErr w:type="spellEnd"/>
      <w:r w:rsidRPr="00CC1D34">
        <w:rPr>
          <w:rStyle w:val="st"/>
          <w:rFonts w:asciiTheme="minorHAnsi" w:hAnsiTheme="minorHAnsi"/>
          <w:color w:val="auto"/>
          <w:lang w:val="en-GB"/>
        </w:rPr>
        <w:t xml:space="preserve"> plate. Afterwards, </w:t>
      </w:r>
      <w:r w:rsidRPr="00CC1D34">
        <w:rPr>
          <w:rFonts w:asciiTheme="minorHAnsi" w:eastAsia="Calibri" w:hAnsiTheme="minorHAnsi" w:cs="Calibri"/>
          <w:color w:val="auto"/>
          <w:lang w:val="en-GB"/>
        </w:rPr>
        <w:t>10 µl of the O-</w:t>
      </w:r>
      <w:proofErr w:type="spellStart"/>
      <w:r w:rsidRPr="00CC1D34">
        <w:rPr>
          <w:rFonts w:asciiTheme="minorHAnsi" w:eastAsia="Calibri" w:hAnsiTheme="minorHAnsi" w:cs="Calibri"/>
          <w:color w:val="auto"/>
          <w:lang w:val="en-GB"/>
        </w:rPr>
        <w:t>Phftalaldehyd</w:t>
      </w:r>
      <w:proofErr w:type="spellEnd"/>
      <w:r w:rsidRPr="00CC1D34">
        <w:rPr>
          <w:rFonts w:asciiTheme="minorHAnsi" w:eastAsia="Calibri" w:hAnsiTheme="minorHAnsi" w:cs="Calibri"/>
          <w:color w:val="auto"/>
          <w:lang w:val="en-GB"/>
        </w:rPr>
        <w:t xml:space="preserve"> (1 mg/ml) + 180 µl of </w:t>
      </w:r>
      <w:proofErr w:type="spellStart"/>
      <w:r w:rsidRPr="00CC1D34">
        <w:rPr>
          <w:rFonts w:asciiTheme="minorHAnsi" w:eastAsia="Calibri" w:hAnsiTheme="minorHAnsi" w:cs="Calibri"/>
          <w:color w:val="auto"/>
          <w:lang w:val="en-GB"/>
        </w:rPr>
        <w:t>NaOH</w:t>
      </w:r>
      <w:proofErr w:type="spellEnd"/>
      <w:r w:rsidRPr="00CC1D34">
        <w:rPr>
          <w:rFonts w:asciiTheme="minorHAnsi" w:eastAsia="Calibri" w:hAnsiTheme="minorHAnsi" w:cs="Calibri"/>
          <w:color w:val="auto"/>
          <w:lang w:val="en-GB"/>
        </w:rPr>
        <w:t xml:space="preserve"> (0.1 M) were added. The mixture was incubated for 15 minutes at the room temperature. Fluorescence was measured at ex</w:t>
      </w:r>
      <w:proofErr w:type="gramStart"/>
      <w:r w:rsidRPr="00CC1D34">
        <w:rPr>
          <w:rFonts w:asciiTheme="minorHAnsi" w:eastAsia="Calibri" w:hAnsiTheme="minorHAnsi" w:cs="Calibri"/>
          <w:color w:val="auto"/>
          <w:lang w:val="en-GB"/>
        </w:rPr>
        <w:t>.=</w:t>
      </w:r>
      <w:proofErr w:type="gramEnd"/>
      <w:r w:rsidRPr="00CC1D34">
        <w:rPr>
          <w:rFonts w:asciiTheme="minorHAnsi" w:eastAsia="Calibri" w:hAnsiTheme="minorHAnsi" w:cs="Calibri"/>
          <w:color w:val="auto"/>
          <w:lang w:val="en-GB"/>
        </w:rPr>
        <w:t xml:space="preserve">350 nm, </w:t>
      </w:r>
      <w:proofErr w:type="spellStart"/>
      <w:r w:rsidRPr="00CC1D34">
        <w:rPr>
          <w:rFonts w:asciiTheme="minorHAnsi" w:eastAsia="Calibri" w:hAnsiTheme="minorHAnsi" w:cs="Calibri"/>
          <w:color w:val="auto"/>
          <w:lang w:val="en-GB"/>
        </w:rPr>
        <w:t>em</w:t>
      </w:r>
      <w:proofErr w:type="spellEnd"/>
      <w:r w:rsidRPr="00CC1D34">
        <w:rPr>
          <w:rFonts w:asciiTheme="minorHAnsi" w:eastAsia="Calibri" w:hAnsiTheme="minorHAnsi" w:cs="Calibri"/>
          <w:color w:val="auto"/>
          <w:lang w:val="en-GB"/>
        </w:rPr>
        <w:t>.=460 nm. GSH/GSSG ratio was calculated</w:t>
      </w:r>
      <w:r w:rsidR="000D3C2C" w:rsidRPr="00CC1D34">
        <w:rPr>
          <w:rFonts w:asciiTheme="minorHAnsi" w:eastAsia="Calibri" w:hAnsiTheme="minorHAnsi"/>
          <w:lang w:val="en-GB"/>
        </w:rPr>
        <w:t xml:space="preserve"> </w:t>
      </w:r>
      <w:r w:rsidR="000D3C2C" w:rsidRPr="00CC1D34">
        <w:rPr>
          <w:rFonts w:asciiTheme="minorHAnsi" w:hAnsiTheme="minorHAnsi"/>
          <w:lang w:val="en-GB"/>
        </w:rPr>
        <w:fldChar w:fldCharType="begin" w:fldLock="1"/>
      </w:r>
      <w:r w:rsidR="000D3C2C" w:rsidRPr="00CC1D34">
        <w:rPr>
          <w:rFonts w:asciiTheme="minorHAnsi" w:hAnsiTheme="minorHAnsi"/>
          <w:lang w:val="en-GB"/>
        </w:rPr>
        <w:instrText>ADDIN CSL_CITATION {"citationItems":[{"id":"ITEM-1","itemData":{"DOI":"10.3892/ol.2012.931","ISBN":"1792-1074 (Print)\\r1792-1074 (Linking)","ISSN":"17921074","PMID":"23205122","abstract":"Oxidative stress causes profound alterations of various biological structures, including cellular membranes, lipids, proteins and nucleic acids, and it is involved in numerous malignancies. Reduced glutathione (GSH) is considered to be one of the most important scavengers of reactive oxygen species (ROS), and its ratio with oxidised glutathione (GSSG) may be used as a marker of oxidative stress. The main aim of this study was to determine GSH:GSSG ratio in the blood serum of paediatric cancer patients to use this ratio as a potential marker of oxidative stress. The whole procedure was optimised and the recoveries for both substances were greater than 80% under the optimised conditions. We analysed a group of paediatric patients (n=116) with various types of cancer, including neuroblastoma, anaplastic ependymoma, germ cell tumour, genital tract tumour, lymphadenopathy, rhabdomyosarcoma, nephroblastoma, Ewing's sarcoma, osteosarcoma, Hodgkin's lymphoma, medulloblastoma and retinoblastoma. We simultaneously determined the levels of reduced and oxidised glutathione, and thus, its ratio in the blood serum of the patients. The highest ratio was observed in retinoblastoma patients and the lowest in anaplastic ependymoma. We were able to distinguish between the diagnoses based on the results of the obtained GSH:GSSG ratio.","author":[{"dropping-particle":"","family":"Zitka","given":"Ondrej","non-dropping-particle":"","parse-names":false,"suffix":""},{"dropping-particle":"","family":"Skalickova","given":"Sylvie","non-dropping-particle":"","parse-names":false,"suffix":""},{"dropping-particle":"","family":"Gumulec","given":"Jaromir","non-dropping-particle":"","parse-names":false,"suffix":""},{"dropping-particle":"","family":"Masarik","given":"Michal","non-dropping-particle":"","parse-names":false,"suffix":""},{"dropping-particle":"","family":"Adam","given":"Vojtech","non-dropping-particle":"","parse-names":false,"suffix":""},{"dropping-particle":"","family":"Hubalek","given":"Jaromir","non-dropping-particle":"","parse-names":false,"suffix":""},{"dropping-particle":"","family":"Trnkova","given":"Libuse","non-dropping-particle":"","parse-names":false,"suffix":""},{"dropping-particle":"","family":"Kruseova","given":"Jarmila","non-dropping-particle":"","parse-names":false,"suffix":""},{"dropping-particle":"","family":"Eckschlager","given":"Tomas","non-dropping-particle":"","parse-names":false,"suffix":""},{"dropping-particle":"","family":"Kizek","given":"Rene","non-dropping-particle":"","parse-names":false,"suffix":""}],"container-title":"Oncology Letters","id":"ITEM-1","issue":"6","issued":{"date-parts":[["2012","12"]]},"page":"1247-1253","title":"Redox status expressed as GSH:GSSG ratio as a marker for oxidative stress in paediatric tumour patients","type":"article-journal","volume":"4"},"uris":["http://www.mendeley.com/documents/?uuid=ef61b278-d762-387c-b1cf-ee2911eb8a2d"]}],"mendeley":{"formattedCitation":"[13]","plainTextFormattedCitation":"[13]","previouslyFormattedCitation":"[13]"},"properties":{"noteIndex":0},"schema":"https://github.com/citation-style-language/schema/raw/master/csl-citation.json"}</w:instrText>
      </w:r>
      <w:r w:rsidR="000D3C2C" w:rsidRPr="00CC1D34">
        <w:rPr>
          <w:rFonts w:asciiTheme="minorHAnsi" w:hAnsiTheme="minorHAnsi"/>
          <w:lang w:val="en-GB"/>
        </w:rPr>
        <w:fldChar w:fldCharType="separate"/>
      </w:r>
      <w:r w:rsidR="000D3C2C" w:rsidRPr="00CC1D34">
        <w:rPr>
          <w:rFonts w:asciiTheme="minorHAnsi" w:hAnsiTheme="minorHAnsi"/>
          <w:noProof/>
          <w:lang w:val="en-GB"/>
        </w:rPr>
        <w:t>[13]</w:t>
      </w:r>
      <w:r w:rsidR="000D3C2C" w:rsidRPr="00CC1D34">
        <w:rPr>
          <w:rFonts w:asciiTheme="minorHAnsi" w:hAnsiTheme="minorHAnsi"/>
          <w:lang w:val="en-GB"/>
        </w:rPr>
        <w:fldChar w:fldCharType="end"/>
      </w:r>
      <w:r w:rsidR="000D3C2C" w:rsidRPr="00CC1D34">
        <w:rPr>
          <w:rFonts w:asciiTheme="minorHAnsi" w:hAnsiTheme="minorHAnsi"/>
          <w:lang w:val="en-GB"/>
        </w:rPr>
        <w:t>.</w:t>
      </w:r>
    </w:p>
    <w:p w:rsidR="00E20513" w:rsidRPr="00CC1D34" w:rsidRDefault="00E20513" w:rsidP="00E20513">
      <w:pPr>
        <w:spacing w:line="360" w:lineRule="auto"/>
        <w:rPr>
          <w:rFonts w:asciiTheme="minorHAnsi" w:hAnsiTheme="minorHAnsi"/>
          <w:sz w:val="24"/>
          <w:lang w:val="en-GB"/>
        </w:rPr>
      </w:pPr>
    </w:p>
    <w:p w:rsidR="00216033" w:rsidRPr="00CC1D34" w:rsidRDefault="00216033" w:rsidP="00216033">
      <w:pPr>
        <w:spacing w:line="360" w:lineRule="auto"/>
        <w:rPr>
          <w:rFonts w:asciiTheme="minorHAnsi" w:hAnsiTheme="minorHAnsi"/>
          <w:sz w:val="24"/>
          <w:lang w:val="en-GB"/>
        </w:rPr>
      </w:pPr>
      <w:r w:rsidRPr="00CC1D34">
        <w:rPr>
          <w:rFonts w:asciiTheme="minorHAnsi" w:hAnsiTheme="minorHAnsi"/>
          <w:sz w:val="24"/>
          <w:lang w:val="en-GB"/>
        </w:rPr>
        <w:t xml:space="preserve">To measure creatinine in urine samples, </w:t>
      </w:r>
      <w:proofErr w:type="spellStart"/>
      <w:r w:rsidRPr="00CC1D34">
        <w:rPr>
          <w:rFonts w:asciiTheme="minorHAnsi" w:hAnsiTheme="minorHAnsi"/>
          <w:sz w:val="24"/>
          <w:lang w:val="en-GB"/>
        </w:rPr>
        <w:t>Jaffé</w:t>
      </w:r>
      <w:proofErr w:type="spellEnd"/>
      <w:r w:rsidRPr="00CC1D34">
        <w:rPr>
          <w:rFonts w:asciiTheme="minorHAnsi" w:hAnsiTheme="minorHAnsi"/>
          <w:sz w:val="24"/>
          <w:lang w:val="en-GB"/>
        </w:rPr>
        <w:t xml:space="preserve"> method was used</w:t>
      </w:r>
      <w:r w:rsidR="00FB538D" w:rsidRPr="00CC1D34">
        <w:rPr>
          <w:rFonts w:asciiTheme="minorHAnsi" w:hAnsiTheme="minorHAnsi"/>
          <w:sz w:val="24"/>
          <w:lang w:val="en-GB"/>
        </w:rPr>
        <w:t xml:space="preserve"> </w:t>
      </w:r>
      <w:r w:rsidR="00FB538D" w:rsidRPr="00CC1D34">
        <w:rPr>
          <w:rFonts w:asciiTheme="minorHAnsi" w:hAnsiTheme="minorHAnsi"/>
          <w:sz w:val="24"/>
          <w:lang w:val="en-GB"/>
        </w:rPr>
        <w:fldChar w:fldCharType="begin" w:fldLock="1"/>
      </w:r>
      <w:r w:rsidR="00FB538D" w:rsidRPr="00CC1D34">
        <w:rPr>
          <w:rFonts w:asciiTheme="minorHAnsi" w:hAnsiTheme="minorHAnsi"/>
          <w:sz w:val="24"/>
          <w:lang w:val="en-GB"/>
        </w:rPr>
        <w:instrText>ADDIN CSL_CITATION {"citationItems":[{"id":"ITEM-1","itemData":{"DOI":"10.1002/jcla.10103","ISSN":"0887-8013","author":[{"dropping-particle":"","family":"Badiou","given":"S.","non-dropping-particle":"","parse-names":false,"suffix":""},{"dropping-particle":"","family":"Dupuy","given":"A.M.","non-dropping-particle":"","parse-names":false,"suffix":""},{"dropping-particle":"","family":"Descomps","given":"B.","non-dropping-particle":"","parse-names":false,"suffix":""},{"dropping-particle":"","family":"Cristolead","given":"J.P.","non-dropping-particle":"","parse-names":false,"suffix":""}],"container-title":"Journal of Clinical Laboratory Analysis","id":"ITEM-1","issue":"6","issued":{"date-parts":[["2003","1","1"]]},"page":"235-240","publisher":"Wiley Subscription Services, Inc., A Wiley Company","title":"Comparison between the enzymatic vitros assay for creatinine determination and three other methods adapted on the olympus analyzer","type":"article-journal","volume":"17"},"uris":["http://www.mendeley.com/documents/?uuid=82c8e228-017d-36c2-bb6f-47019792cfcf"]}],"mendeley":{"formattedCitation":"[29]","plainTextFormattedCitation":"[29]","previouslyFormattedCitation":"[29]"},"properties":{"noteIndex":0},"schema":"https://github.com/citation-style-language/schema/raw/master/csl-citation.json"}</w:instrText>
      </w:r>
      <w:r w:rsidR="00FB538D" w:rsidRPr="00CC1D34">
        <w:rPr>
          <w:rFonts w:asciiTheme="minorHAnsi" w:hAnsiTheme="minorHAnsi"/>
          <w:sz w:val="24"/>
          <w:lang w:val="en-GB"/>
        </w:rPr>
        <w:fldChar w:fldCharType="separate"/>
      </w:r>
      <w:r w:rsidR="00FB538D" w:rsidRPr="00CC1D34">
        <w:rPr>
          <w:rFonts w:asciiTheme="minorHAnsi" w:hAnsiTheme="minorHAnsi"/>
          <w:noProof/>
          <w:sz w:val="24"/>
          <w:lang w:val="en-GB"/>
        </w:rPr>
        <w:t>[29]</w:t>
      </w:r>
      <w:r w:rsidR="00FB538D" w:rsidRPr="00CC1D34">
        <w:rPr>
          <w:rFonts w:asciiTheme="minorHAnsi" w:hAnsiTheme="minorHAnsi"/>
          <w:sz w:val="24"/>
          <w:lang w:val="en-GB"/>
        </w:rPr>
        <w:fldChar w:fldCharType="end"/>
      </w:r>
      <w:r w:rsidRPr="00CC1D34">
        <w:rPr>
          <w:rFonts w:asciiTheme="minorHAnsi" w:hAnsiTheme="minorHAnsi"/>
          <w:sz w:val="24"/>
          <w:lang w:val="en-GB"/>
        </w:rPr>
        <w:t xml:space="preserve">. Briefly, 10 </w:t>
      </w:r>
      <w:r w:rsidRPr="00CC1D34">
        <w:rPr>
          <w:rFonts w:asciiTheme="minorHAnsi" w:eastAsia="Calibri" w:hAnsiTheme="minorHAnsi" w:cs="Calibri"/>
          <w:sz w:val="24"/>
          <w:lang w:val="en-GB"/>
        </w:rPr>
        <w:t>µl of samples and standards were mixed with 200 µl of fresh prepared working solution (</w:t>
      </w:r>
      <w:proofErr w:type="spellStart"/>
      <w:r w:rsidRPr="00CC1D34">
        <w:rPr>
          <w:rFonts w:asciiTheme="minorHAnsi" w:hAnsiTheme="minorHAnsi"/>
          <w:sz w:val="24"/>
          <w:lang w:val="en-GB"/>
        </w:rPr>
        <w:t>NaOH</w:t>
      </w:r>
      <w:proofErr w:type="spellEnd"/>
      <w:r w:rsidRPr="00CC1D34">
        <w:rPr>
          <w:rFonts w:asciiTheme="minorHAnsi" w:hAnsiTheme="minorHAnsi"/>
          <w:sz w:val="24"/>
          <w:lang w:val="en-GB"/>
        </w:rPr>
        <w:t xml:space="preserve"> and picric acid, 5:1 ratio). Absorbance was measured after 6 minutes at 492 nm. </w:t>
      </w:r>
    </w:p>
    <w:p w:rsidR="00216033" w:rsidRPr="00CC1D34" w:rsidRDefault="00216033" w:rsidP="00E20513">
      <w:pPr>
        <w:spacing w:line="360" w:lineRule="auto"/>
        <w:rPr>
          <w:rFonts w:asciiTheme="minorHAnsi" w:hAnsiTheme="minorHAnsi"/>
          <w:sz w:val="24"/>
          <w:lang w:val="en-GB"/>
        </w:rPr>
      </w:pPr>
    </w:p>
    <w:p w:rsidR="00216033" w:rsidRPr="00CC1D34" w:rsidRDefault="00216033" w:rsidP="00216033">
      <w:pPr>
        <w:spacing w:line="360" w:lineRule="auto"/>
        <w:rPr>
          <w:rStyle w:val="tlid-translation"/>
          <w:rFonts w:asciiTheme="minorHAnsi" w:hAnsiTheme="minorHAnsi"/>
          <w:sz w:val="24"/>
          <w:lang w:val="en-GB"/>
        </w:rPr>
      </w:pPr>
      <w:r w:rsidRPr="00CC1D34">
        <w:rPr>
          <w:rFonts w:asciiTheme="minorHAnsi" w:eastAsia="Times New Roman" w:hAnsiTheme="minorHAnsi" w:cs="Times New Roman"/>
          <w:sz w:val="24"/>
          <w:lang w:val="en-GB"/>
        </w:rPr>
        <w:t xml:space="preserve">To measure proteins in urine, 10 </w:t>
      </w:r>
      <w:r w:rsidRPr="00CC1D34">
        <w:rPr>
          <w:rFonts w:asciiTheme="minorHAnsi" w:eastAsia="Calibri" w:hAnsiTheme="minorHAnsi" w:cs="Calibri"/>
          <w:sz w:val="24"/>
          <w:lang w:val="en-GB"/>
        </w:rPr>
        <w:t xml:space="preserve">µl of samples and standards (bovine serum albumin) were mixed with 300 µl of </w:t>
      </w:r>
      <w:proofErr w:type="spellStart"/>
      <w:r w:rsidRPr="00CC1D34">
        <w:rPr>
          <w:rFonts w:asciiTheme="minorHAnsi" w:eastAsia="Calibri" w:hAnsiTheme="minorHAnsi" w:cs="Calibri"/>
          <w:sz w:val="24"/>
          <w:lang w:val="en-GB"/>
        </w:rPr>
        <w:t>pyrogallol</w:t>
      </w:r>
      <w:proofErr w:type="spellEnd"/>
      <w:r w:rsidRPr="00CC1D34">
        <w:rPr>
          <w:rFonts w:asciiTheme="minorHAnsi" w:eastAsia="Calibri" w:hAnsiTheme="minorHAnsi" w:cs="Calibri"/>
          <w:sz w:val="24"/>
          <w:lang w:val="en-GB"/>
        </w:rPr>
        <w:t xml:space="preserve"> red solution</w:t>
      </w:r>
      <w:r w:rsidRPr="00CC1D34">
        <w:rPr>
          <w:rStyle w:val="tlid-translation"/>
          <w:rFonts w:asciiTheme="minorHAnsi" w:hAnsiTheme="minorHAnsi"/>
          <w:sz w:val="24"/>
          <w:lang w:val="en-GB"/>
        </w:rPr>
        <w:t>. After incubation at 37°C for 15 minutes, absorbance was measured at 595 nm</w:t>
      </w:r>
      <w:r w:rsidR="00FB538D" w:rsidRPr="00CC1D34">
        <w:rPr>
          <w:rStyle w:val="tlid-translation"/>
          <w:rFonts w:asciiTheme="minorHAnsi" w:hAnsiTheme="minorHAnsi"/>
          <w:sz w:val="24"/>
          <w:lang w:val="en-GB"/>
        </w:rPr>
        <w:t xml:space="preserve"> </w:t>
      </w:r>
      <w:r w:rsidR="00FB538D" w:rsidRPr="00CC1D34">
        <w:rPr>
          <w:rStyle w:val="tlid-translation"/>
          <w:rFonts w:asciiTheme="minorHAnsi" w:hAnsiTheme="minorHAnsi"/>
          <w:sz w:val="24"/>
          <w:lang w:val="en-GB"/>
        </w:rPr>
        <w:fldChar w:fldCharType="begin" w:fldLock="1"/>
      </w:r>
      <w:r w:rsidR="00FB538D" w:rsidRPr="00CC1D34">
        <w:rPr>
          <w:rStyle w:val="tlid-translation"/>
          <w:rFonts w:asciiTheme="minorHAnsi" w:hAnsiTheme="minorHAnsi"/>
          <w:sz w:val="24"/>
          <w:lang w:val="en-GB"/>
        </w:rPr>
        <w:instrText>ADDIN CSL_CITATION {"citationItems":[{"id":"ITEM-1","itemData":{"ISSN":"0009-9147","PMID":"3731450","abstract":"In this new method for determining urinary protein, the reaction is complete within 10 min at 37 degrees C. This method is applicable to automated as well as manual measurements. Protein concentration and absorbance at 600 nm are linearly related throughout a wide range of concentrations, 10 to 16 000 mg/L. However, the chromogenicity of the gamma-globulins in this method is 70% of that of albumin, as estimated from results by a biuret method. Within-run CVs were less than 3.3%; the day-to-day CV was 2.9%. Errors due to interfering components in urine are less than 2%. The normal range for urinary protein as measured by this method was from 28 to 141 mg/day. Results by this method (y) and by a trichloroacetic acid-biuret method (x) correlated well (n = 80, r = 0.995; y = 0.99x - 2.9).","author":[{"dropping-particle":"","family":"Watanabe","given":"N","non-dropping-particle":"","parse-names":false,"suffix":""},{"dropping-particle":"","family":"Kamei","given":"S","non-dropping-particle":"","parse-names":false,"suffix":""},{"dropping-particle":"","family":"Ohkubo","given":"A","non-dropping-particle":"","parse-names":false,"suffix":""},{"dropping-particle":"","family":"Yamanaka","given":"M","non-dropping-particle":"","parse-names":false,"suffix":""},{"dropping-particle":"","family":"Ohsawa","given":"S","non-dropping-particle":"","parse-names":false,"suffix":""},{"dropping-particle":"","family":"Makino","given":"K","non-dropping-particle":"","parse-names":false,"suffix":""},{"dropping-particle":"","family":"Tokuda","given":"K","non-dropping-particle":"","parse-names":false,"suffix":""}],"container-title":"Clinical chemistry","id":"ITEM-1","issue":"8","issued":{"date-parts":[["1986","8"]]},"page":"1551-4","title":"Urinary protein as measured with a pyrogallol red-molybdate complex, manually and in a Hitachi 726 automated analyzer.","type":"article-journal","volume":"32"},"uris":["http://www.mendeley.com/documents/?uuid=597069b6-771d-367c-a3e0-4d9d5b022cab"]}],"mendeley":{"formattedCitation":"[30]","plainTextFormattedCitation":"[30]","previouslyFormattedCitation":"[30]"},"properties":{"noteIndex":0},"schema":"https://github.com/citation-style-language/schema/raw/master/csl-citation.json"}</w:instrText>
      </w:r>
      <w:r w:rsidR="00FB538D" w:rsidRPr="00CC1D34">
        <w:rPr>
          <w:rStyle w:val="tlid-translation"/>
          <w:rFonts w:asciiTheme="minorHAnsi" w:hAnsiTheme="minorHAnsi"/>
          <w:sz w:val="24"/>
          <w:lang w:val="en-GB"/>
        </w:rPr>
        <w:fldChar w:fldCharType="separate"/>
      </w:r>
      <w:r w:rsidR="00FB538D" w:rsidRPr="00CC1D34">
        <w:rPr>
          <w:rStyle w:val="tlid-translation"/>
          <w:rFonts w:asciiTheme="minorHAnsi" w:hAnsiTheme="minorHAnsi"/>
          <w:noProof/>
          <w:sz w:val="24"/>
          <w:lang w:val="en-GB"/>
        </w:rPr>
        <w:t>[30]</w:t>
      </w:r>
      <w:r w:rsidR="00FB538D" w:rsidRPr="00CC1D34">
        <w:rPr>
          <w:rStyle w:val="tlid-translation"/>
          <w:rFonts w:asciiTheme="minorHAnsi" w:hAnsiTheme="minorHAnsi"/>
          <w:sz w:val="24"/>
          <w:lang w:val="en-GB"/>
        </w:rPr>
        <w:fldChar w:fldCharType="end"/>
      </w:r>
      <w:r w:rsidR="00C36C3D" w:rsidRPr="00CC1D34">
        <w:rPr>
          <w:rStyle w:val="tlid-translation"/>
          <w:rFonts w:asciiTheme="minorHAnsi" w:hAnsiTheme="minorHAnsi"/>
          <w:sz w:val="24"/>
          <w:lang w:val="en-GB"/>
        </w:rPr>
        <w:t>.</w:t>
      </w:r>
    </w:p>
    <w:p w:rsidR="00216033" w:rsidRPr="00CC1D34" w:rsidRDefault="00216033" w:rsidP="00E20513">
      <w:pPr>
        <w:spacing w:line="360" w:lineRule="auto"/>
        <w:rPr>
          <w:rFonts w:asciiTheme="minorHAnsi" w:hAnsiTheme="minorHAnsi"/>
          <w:sz w:val="24"/>
          <w:lang w:val="en-GB"/>
        </w:rPr>
      </w:pPr>
    </w:p>
    <w:p w:rsidR="00E20513" w:rsidRPr="00CC1D34" w:rsidRDefault="00C51DFA" w:rsidP="00E20513">
      <w:pPr>
        <w:spacing w:line="360" w:lineRule="auto"/>
        <w:rPr>
          <w:rFonts w:asciiTheme="minorHAnsi" w:hAnsiTheme="minorHAnsi"/>
          <w:sz w:val="24"/>
          <w:lang w:val="en-GB"/>
        </w:rPr>
      </w:pPr>
      <w:r w:rsidRPr="00CC1D34">
        <w:rPr>
          <w:rFonts w:asciiTheme="minorHAnsi" w:hAnsiTheme="minorHAnsi"/>
          <w:sz w:val="24"/>
          <w:lang w:val="en-GB"/>
        </w:rPr>
        <w:t xml:space="preserve">Plasma proteins were measured using </w:t>
      </w:r>
      <w:proofErr w:type="spellStart"/>
      <w:r w:rsidRPr="00CC1D34">
        <w:rPr>
          <w:rFonts w:asciiTheme="minorHAnsi" w:hAnsiTheme="minorHAnsi"/>
          <w:sz w:val="24"/>
          <w:lang w:val="en-GB"/>
        </w:rPr>
        <w:t>bicinchoninic</w:t>
      </w:r>
      <w:proofErr w:type="spellEnd"/>
      <w:r w:rsidRPr="00CC1D34">
        <w:rPr>
          <w:rFonts w:asciiTheme="minorHAnsi" w:hAnsiTheme="minorHAnsi"/>
          <w:sz w:val="24"/>
          <w:lang w:val="en-GB"/>
        </w:rPr>
        <w:t xml:space="preserve"> acids assay. Briefly, 10 </w:t>
      </w:r>
      <w:r w:rsidRPr="00CC1D34">
        <w:rPr>
          <w:rFonts w:asciiTheme="minorHAnsi" w:eastAsia="Calibri" w:hAnsiTheme="minorHAnsi" w:cs="Calibri"/>
          <w:sz w:val="24"/>
          <w:lang w:val="en-GB"/>
        </w:rPr>
        <w:t>µl of samples and standards (bovine serum albumin) were mixed with 200 µl of fresh prepared working solution (</w:t>
      </w:r>
      <w:proofErr w:type="spellStart"/>
      <w:r w:rsidRPr="00CC1D34">
        <w:rPr>
          <w:rFonts w:asciiTheme="minorHAnsi" w:eastAsia="Times New Roman" w:hAnsiTheme="minorHAnsi" w:cs="Times New Roman"/>
          <w:sz w:val="24"/>
          <w:lang w:val="en-GB"/>
        </w:rPr>
        <w:t>bicinchoninic</w:t>
      </w:r>
      <w:proofErr w:type="spellEnd"/>
      <w:r w:rsidRPr="00CC1D34">
        <w:rPr>
          <w:rFonts w:asciiTheme="minorHAnsi" w:eastAsia="Times New Roman" w:hAnsiTheme="minorHAnsi" w:cs="Times New Roman"/>
          <w:sz w:val="24"/>
          <w:lang w:val="en-GB"/>
        </w:rPr>
        <w:t xml:space="preserve"> acid and copper sulphate, 49:1 ratio). The mixture was incubated for 30 minutes at 37°C. Absorbance was measured at 562 nm. </w:t>
      </w:r>
    </w:p>
    <w:sectPr w:rsidR="00E20513" w:rsidRPr="00CC1D34" w:rsidSect="003467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E20513"/>
    <w:rsid w:val="00023F36"/>
    <w:rsid w:val="00085B56"/>
    <w:rsid w:val="000D08A1"/>
    <w:rsid w:val="000D2021"/>
    <w:rsid w:val="000D3C2C"/>
    <w:rsid w:val="000F064F"/>
    <w:rsid w:val="000F7536"/>
    <w:rsid w:val="001D4710"/>
    <w:rsid w:val="00216033"/>
    <w:rsid w:val="00222BC6"/>
    <w:rsid w:val="002421C0"/>
    <w:rsid w:val="0025671A"/>
    <w:rsid w:val="00272657"/>
    <w:rsid w:val="002D5A1C"/>
    <w:rsid w:val="0034670D"/>
    <w:rsid w:val="00375DD5"/>
    <w:rsid w:val="003923A3"/>
    <w:rsid w:val="00393C97"/>
    <w:rsid w:val="003B2CE3"/>
    <w:rsid w:val="003C14DB"/>
    <w:rsid w:val="0047198B"/>
    <w:rsid w:val="00491953"/>
    <w:rsid w:val="004A1C78"/>
    <w:rsid w:val="004D43C0"/>
    <w:rsid w:val="004E075F"/>
    <w:rsid w:val="005020CC"/>
    <w:rsid w:val="005064A5"/>
    <w:rsid w:val="00554A96"/>
    <w:rsid w:val="005942F8"/>
    <w:rsid w:val="005D7AAA"/>
    <w:rsid w:val="005E7DB8"/>
    <w:rsid w:val="005F638F"/>
    <w:rsid w:val="00610CD8"/>
    <w:rsid w:val="00641BDE"/>
    <w:rsid w:val="00690B19"/>
    <w:rsid w:val="006B04F0"/>
    <w:rsid w:val="006C1469"/>
    <w:rsid w:val="00707C3D"/>
    <w:rsid w:val="00721C62"/>
    <w:rsid w:val="00736413"/>
    <w:rsid w:val="007365BE"/>
    <w:rsid w:val="007A1F7E"/>
    <w:rsid w:val="00802234"/>
    <w:rsid w:val="00803865"/>
    <w:rsid w:val="00826AB7"/>
    <w:rsid w:val="00843660"/>
    <w:rsid w:val="00870C82"/>
    <w:rsid w:val="008C3D9F"/>
    <w:rsid w:val="0090673C"/>
    <w:rsid w:val="00931DCF"/>
    <w:rsid w:val="0093770D"/>
    <w:rsid w:val="00982A0D"/>
    <w:rsid w:val="0098529C"/>
    <w:rsid w:val="009C56AD"/>
    <w:rsid w:val="009D443C"/>
    <w:rsid w:val="009D6131"/>
    <w:rsid w:val="00A073C2"/>
    <w:rsid w:val="00A65907"/>
    <w:rsid w:val="00A661AF"/>
    <w:rsid w:val="00A9496C"/>
    <w:rsid w:val="00A951A8"/>
    <w:rsid w:val="00AA44C1"/>
    <w:rsid w:val="00B0179E"/>
    <w:rsid w:val="00B84454"/>
    <w:rsid w:val="00B84A8B"/>
    <w:rsid w:val="00BE3CCA"/>
    <w:rsid w:val="00C20975"/>
    <w:rsid w:val="00C36C3D"/>
    <w:rsid w:val="00C51DFA"/>
    <w:rsid w:val="00C55EFD"/>
    <w:rsid w:val="00CC1D34"/>
    <w:rsid w:val="00CD0C31"/>
    <w:rsid w:val="00D13E0E"/>
    <w:rsid w:val="00D57FE3"/>
    <w:rsid w:val="00D8314F"/>
    <w:rsid w:val="00DA5A63"/>
    <w:rsid w:val="00E20513"/>
    <w:rsid w:val="00E75D6A"/>
    <w:rsid w:val="00E77439"/>
    <w:rsid w:val="00EF0B7A"/>
    <w:rsid w:val="00F347B6"/>
    <w:rsid w:val="00FB538D"/>
    <w:rsid w:val="00FD3D5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D5A1C"/>
    <w:pPr>
      <w:spacing w:after="0" w:line="240" w:lineRule="auto"/>
      <w:jc w:val="both"/>
    </w:pPr>
    <w:rPr>
      <w:rFonts w:ascii="Calibri" w:hAnsi="Calibri"/>
      <w:szCs w:val="24"/>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D5A1C"/>
    <w:rPr>
      <w:i/>
      <w:iCs/>
    </w:rPr>
  </w:style>
  <w:style w:type="paragraph" w:styleId="Odsekzoznamu">
    <w:name w:val="List Paragraph"/>
    <w:basedOn w:val="Normlny"/>
    <w:uiPriority w:val="34"/>
    <w:qFormat/>
    <w:rsid w:val="002D5A1C"/>
    <w:pPr>
      <w:ind w:left="720"/>
      <w:contextualSpacing/>
    </w:pPr>
    <w:rPr>
      <w:rFonts w:eastAsia="Times New Roman" w:cs="Times New Roman"/>
    </w:rPr>
  </w:style>
  <w:style w:type="character" w:customStyle="1" w:styleId="st">
    <w:name w:val="st"/>
    <w:basedOn w:val="Predvolenpsmoodseku"/>
    <w:rsid w:val="00E20513"/>
  </w:style>
  <w:style w:type="paragraph" w:customStyle="1" w:styleId="Normlny1">
    <w:name w:val="Normálny1"/>
    <w:rsid w:val="00BE3CCA"/>
    <w:pPr>
      <w:shd w:val="clear" w:color="auto" w:fill="FFFFFF"/>
      <w:spacing w:after="0" w:line="240" w:lineRule="auto"/>
    </w:pPr>
    <w:rPr>
      <w:rFonts w:ascii="Times New Roman" w:eastAsia="Times New Roman" w:hAnsi="Times New Roman" w:cs="Times New Roman"/>
      <w:color w:val="000000"/>
      <w:sz w:val="24"/>
      <w:szCs w:val="24"/>
      <w:lang w:eastAsia="sk-SK"/>
    </w:rPr>
  </w:style>
  <w:style w:type="character" w:customStyle="1" w:styleId="tlid-translation">
    <w:name w:val="tlid-translation"/>
    <w:basedOn w:val="Predvolenpsmoodseku"/>
    <w:rsid w:val="00216033"/>
  </w:style>
  <w:style w:type="table" w:styleId="Mriekatabuky">
    <w:name w:val="Table Grid"/>
    <w:basedOn w:val="Normlnatabuka"/>
    <w:uiPriority w:val="59"/>
    <w:rsid w:val="008C3D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B84454"/>
    <w:rPr>
      <w:rFonts w:ascii="Tahoma" w:hAnsi="Tahoma" w:cs="Tahoma"/>
      <w:sz w:val="16"/>
      <w:szCs w:val="16"/>
    </w:rPr>
  </w:style>
  <w:style w:type="character" w:customStyle="1" w:styleId="TextbublinyChar">
    <w:name w:val="Text bubliny Char"/>
    <w:basedOn w:val="Predvolenpsmoodseku"/>
    <w:link w:val="Textbubliny"/>
    <w:uiPriority w:val="99"/>
    <w:semiHidden/>
    <w:rsid w:val="00B84454"/>
    <w:rPr>
      <w:rFonts w:ascii="Tahoma" w:hAnsi="Tahoma" w:cs="Tahoma"/>
      <w:sz w:val="16"/>
      <w:szCs w:val="16"/>
      <w:lang w:val="en-US" w:eastAsia="sk-SK"/>
    </w:rPr>
  </w:style>
</w:styles>
</file>

<file path=word/webSettings.xml><?xml version="1.0" encoding="utf-8"?>
<w:webSettings xmlns:r="http://schemas.openxmlformats.org/officeDocument/2006/relationships" xmlns:w="http://schemas.openxmlformats.org/wordprocessingml/2006/main">
  <w:divs>
    <w:div w:id="445081004">
      <w:bodyDiv w:val="1"/>
      <w:marLeft w:val="0"/>
      <w:marRight w:val="0"/>
      <w:marTop w:val="0"/>
      <w:marBottom w:val="0"/>
      <w:divBdr>
        <w:top w:val="none" w:sz="0" w:space="0" w:color="auto"/>
        <w:left w:val="none" w:sz="0" w:space="0" w:color="auto"/>
        <w:bottom w:val="none" w:sz="0" w:space="0" w:color="auto"/>
        <w:right w:val="none" w:sz="0" w:space="0" w:color="auto"/>
      </w:divBdr>
    </w:div>
    <w:div w:id="537860282">
      <w:bodyDiv w:val="1"/>
      <w:marLeft w:val="0"/>
      <w:marRight w:val="0"/>
      <w:marTop w:val="0"/>
      <w:marBottom w:val="0"/>
      <w:divBdr>
        <w:top w:val="none" w:sz="0" w:space="0" w:color="auto"/>
        <w:left w:val="none" w:sz="0" w:space="0" w:color="auto"/>
        <w:bottom w:val="none" w:sz="0" w:space="0" w:color="auto"/>
        <w:right w:val="none" w:sz="0" w:space="0" w:color="auto"/>
      </w:divBdr>
    </w:div>
    <w:div w:id="696124414">
      <w:bodyDiv w:val="1"/>
      <w:marLeft w:val="0"/>
      <w:marRight w:val="0"/>
      <w:marTop w:val="0"/>
      <w:marBottom w:val="0"/>
      <w:divBdr>
        <w:top w:val="none" w:sz="0" w:space="0" w:color="auto"/>
        <w:left w:val="none" w:sz="0" w:space="0" w:color="auto"/>
        <w:bottom w:val="none" w:sz="0" w:space="0" w:color="auto"/>
        <w:right w:val="none" w:sz="0" w:space="0" w:color="auto"/>
      </w:divBdr>
    </w:div>
    <w:div w:id="701898986">
      <w:bodyDiv w:val="1"/>
      <w:marLeft w:val="0"/>
      <w:marRight w:val="0"/>
      <w:marTop w:val="0"/>
      <w:marBottom w:val="0"/>
      <w:divBdr>
        <w:top w:val="none" w:sz="0" w:space="0" w:color="auto"/>
        <w:left w:val="none" w:sz="0" w:space="0" w:color="auto"/>
        <w:bottom w:val="none" w:sz="0" w:space="0" w:color="auto"/>
        <w:right w:val="none" w:sz="0" w:space="0" w:color="auto"/>
      </w:divBdr>
    </w:div>
    <w:div w:id="172078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C0FA9E-3F3E-45EF-9537-286E95619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2</Pages>
  <Words>3832</Words>
  <Characters>21849</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25630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dc:creator>
  <cp:lastModifiedBy>alexandra</cp:lastModifiedBy>
  <cp:revision>67</cp:revision>
  <dcterms:created xsi:type="dcterms:W3CDTF">2020-07-14T16:55:00Z</dcterms:created>
  <dcterms:modified xsi:type="dcterms:W3CDTF">2021-02-10T08:11:00Z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http://www.zotero.org/styles/archives-of-oral-biology</vt:lpwstr>
  </property>
  <property fmtid="{D5CDD505-2E9C-101B-9397-08002B2CF9AE}" pid="5" name="Mendeley Recent Style Name 1_1">
    <vt:lpwstr>Archives of Oral Biology</vt:lpwstr>
  </property>
  <property fmtid="{D5CDD505-2E9C-101B-9397-08002B2CF9AE}" pid="6" name="Mendeley Recent Style Id 2_1">
    <vt:lpwstr>http://www.zotero.org/styles/biochemical-and-biophysical-research-communications</vt:lpwstr>
  </property>
  <property fmtid="{D5CDD505-2E9C-101B-9397-08002B2CF9AE}" pid="7" name="Mendeley Recent Style Name 2_1">
    <vt:lpwstr>Biochemical and Biophysical Research Communications</vt:lpwstr>
  </property>
  <property fmtid="{D5CDD505-2E9C-101B-9397-08002B2CF9AE}" pid="8" name="Mendeley Recent Style Id 3_1">
    <vt:lpwstr>http://www.zotero.org/styles/clinical-and-experimental-nephrology</vt:lpwstr>
  </property>
  <property fmtid="{D5CDD505-2E9C-101B-9397-08002B2CF9AE}" pid="9" name="Mendeley Recent Style Name 3_1">
    <vt:lpwstr>Clinical and Experimental Nephrology</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http://www.zotero.org/styles/plos-one</vt:lpwstr>
  </property>
  <property fmtid="{D5CDD505-2E9C-101B-9397-08002B2CF9AE}" pid="13" name="Mendeley Recent Style Name 5_1">
    <vt:lpwstr>PLOS ONE</vt:lpwstr>
  </property>
  <property fmtid="{D5CDD505-2E9C-101B-9397-08002B2CF9AE}" pid="14" name="Mendeley Recent Style Id 6_1">
    <vt:lpwstr>http://www.zotero.org/styles/sage-vancouver</vt:lpwstr>
  </property>
  <property fmtid="{D5CDD505-2E9C-101B-9397-08002B2CF9AE}" pid="15" name="Mendeley Recent Style Name 6_1">
    <vt:lpwstr>SAGE - Vancouver</vt:lpwstr>
  </property>
  <property fmtid="{D5CDD505-2E9C-101B-9397-08002B2CF9AE}" pid="16" name="Mendeley Recent Style Id 7_1">
    <vt:lpwstr>http://www.zotero.org/styles/university-of-york-apa</vt:lpwstr>
  </property>
  <property fmtid="{D5CDD505-2E9C-101B-9397-08002B2CF9AE}" pid="17" name="Mendeley Recent Style Name 7_1">
    <vt:lpwstr>University of York - American Psychological Association 6th edition</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http://csl.mendeley.com/styles/153095791/wiley-vch-books-2</vt:lpwstr>
  </property>
  <property fmtid="{D5CDD505-2E9C-101B-9397-08002B2CF9AE}" pid="21" name="Mendeley Recent Style Name 9_1">
    <vt:lpwstr>Wiley-VCH books - Alexandra Kovalčíková</vt:lpwstr>
  </property>
  <property fmtid="{D5CDD505-2E9C-101B-9397-08002B2CF9AE}" pid="22" name="Mendeley Document_1">
    <vt:lpwstr>True</vt:lpwstr>
  </property>
  <property fmtid="{D5CDD505-2E9C-101B-9397-08002B2CF9AE}" pid="23" name="Mendeley Unique User Id_1">
    <vt:lpwstr>4b2302ca-fe25-3aa2-94d2-e13c23cf5883</vt:lpwstr>
  </property>
  <property fmtid="{D5CDD505-2E9C-101B-9397-08002B2CF9AE}" pid="24" name="Mendeley Citation Style_1">
    <vt:lpwstr>http://www.zotero.org/styles/vancouver</vt:lpwstr>
  </property>
</Properties>
</file>