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4A81B" w14:textId="006E7737" w:rsidR="00E846B1" w:rsidRPr="00FA0E4A" w:rsidRDefault="009A4C64" w:rsidP="00E846B1">
      <w:pPr>
        <w:spacing w:line="480" w:lineRule="auto"/>
        <w:rPr>
          <w:rFonts w:ascii="Times New Roman" w:hAnsi="Times New Roman" w:cs="Times New Roman"/>
        </w:rPr>
      </w:pPr>
      <w:r w:rsidRPr="00FA0E4A">
        <w:rPr>
          <w:rFonts w:ascii="Times New Roman" w:hAnsi="Times New Roman" w:cs="Times New Roman"/>
          <w:b/>
          <w:bCs/>
        </w:rPr>
        <w:t xml:space="preserve">Table 1S. </w:t>
      </w:r>
    </w:p>
    <w:p w14:paraId="1481E4A9" w14:textId="04AF6B5B" w:rsidR="00E846B1" w:rsidRPr="00FA0E4A" w:rsidRDefault="00E846B1" w:rsidP="00E846B1">
      <w:pPr>
        <w:spacing w:line="480" w:lineRule="auto"/>
        <w:rPr>
          <w:rFonts w:ascii="Times New Roman" w:hAnsi="Times New Roman" w:cs="Times New Roman"/>
          <w:i/>
          <w:iCs/>
        </w:rPr>
      </w:pPr>
      <w:r w:rsidRPr="00FA0E4A">
        <w:rPr>
          <w:rFonts w:ascii="Times New Roman" w:hAnsi="Times New Roman" w:cs="Times New Roman"/>
          <w:i/>
          <w:iCs/>
        </w:rPr>
        <w:t xml:space="preserve">Pearson correlation between </w:t>
      </w:r>
      <w:r w:rsidR="009A4C64" w:rsidRPr="00FA0E4A">
        <w:rPr>
          <w:rFonts w:ascii="Times New Roman" w:hAnsi="Times New Roman" w:cs="Times New Roman"/>
          <w:i/>
          <w:iCs/>
        </w:rPr>
        <w:t xml:space="preserve">independent </w:t>
      </w:r>
      <w:r w:rsidRPr="00FA0E4A">
        <w:rPr>
          <w:rFonts w:ascii="Times New Roman" w:hAnsi="Times New Roman" w:cs="Times New Roman"/>
          <w:i/>
          <w:iCs/>
        </w:rPr>
        <w:t>variables</w:t>
      </w:r>
    </w:p>
    <w:tbl>
      <w:tblPr>
        <w:tblW w:w="13180" w:type="dxa"/>
        <w:tblInd w:w="108" w:type="dxa"/>
        <w:tblLook w:val="04A0" w:firstRow="1" w:lastRow="0" w:firstColumn="1" w:lastColumn="0" w:noHBand="0" w:noVBand="1"/>
      </w:tblPr>
      <w:tblGrid>
        <w:gridCol w:w="2960"/>
        <w:gridCol w:w="1460"/>
        <w:gridCol w:w="1460"/>
        <w:gridCol w:w="1460"/>
        <w:gridCol w:w="1460"/>
        <w:gridCol w:w="1460"/>
        <w:gridCol w:w="1460"/>
        <w:gridCol w:w="1460"/>
      </w:tblGrid>
      <w:tr w:rsidR="00E846B1" w:rsidRPr="00FA0E4A" w14:paraId="71FBE1E4" w14:textId="77777777" w:rsidTr="00FD4E90">
        <w:trPr>
          <w:trHeight w:val="280"/>
        </w:trPr>
        <w:tc>
          <w:tcPr>
            <w:tcW w:w="2960" w:type="dxa"/>
            <w:tcBorders>
              <w:top w:val="single" w:sz="4" w:space="0" w:color="auto"/>
              <w:left w:val="nil"/>
              <w:bottom w:val="single" w:sz="4" w:space="0" w:color="auto"/>
              <w:right w:val="nil"/>
            </w:tcBorders>
            <w:shd w:val="clear" w:color="auto" w:fill="auto"/>
            <w:noWrap/>
            <w:vAlign w:val="center"/>
            <w:hideMark/>
          </w:tcPr>
          <w:p w14:paraId="562DDA7F" w14:textId="77777777" w:rsidR="00E846B1" w:rsidRPr="00FA0E4A" w:rsidRDefault="00E846B1" w:rsidP="00FD4E90">
            <w:pPr>
              <w:rPr>
                <w:rFonts w:ascii="Times New Roman" w:hAnsi="Times New Roman" w:cs="Times New Roman"/>
                <w:color w:val="000000"/>
                <w:sz w:val="20"/>
                <w:szCs w:val="20"/>
              </w:rPr>
            </w:pPr>
            <w:bookmarkStart w:id="0" w:name="OLE_LINK23"/>
            <w:bookmarkStart w:id="1" w:name="OLE_LINK24"/>
            <w:bookmarkStart w:id="2" w:name="OLE_LINK30"/>
            <w:r w:rsidRPr="00FA0E4A">
              <w:rPr>
                <w:rFonts w:ascii="Times New Roman" w:hAnsi="Times New Roman" w:cs="Times New Roman"/>
                <w:color w:val="000000"/>
                <w:sz w:val="20"/>
                <w:szCs w:val="20"/>
              </w:rPr>
              <w:t>Variable</w:t>
            </w:r>
          </w:p>
        </w:tc>
        <w:tc>
          <w:tcPr>
            <w:tcW w:w="1460" w:type="dxa"/>
            <w:tcBorders>
              <w:top w:val="single" w:sz="4" w:space="0" w:color="auto"/>
              <w:left w:val="nil"/>
              <w:bottom w:val="single" w:sz="4" w:space="0" w:color="auto"/>
              <w:right w:val="nil"/>
            </w:tcBorders>
            <w:shd w:val="clear" w:color="auto" w:fill="auto"/>
            <w:noWrap/>
            <w:vAlign w:val="center"/>
            <w:hideMark/>
          </w:tcPr>
          <w:p w14:paraId="38240F55"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1</w:t>
            </w:r>
          </w:p>
        </w:tc>
        <w:tc>
          <w:tcPr>
            <w:tcW w:w="1460" w:type="dxa"/>
            <w:tcBorders>
              <w:top w:val="single" w:sz="4" w:space="0" w:color="auto"/>
              <w:left w:val="nil"/>
              <w:bottom w:val="single" w:sz="4" w:space="0" w:color="auto"/>
              <w:right w:val="nil"/>
            </w:tcBorders>
            <w:shd w:val="clear" w:color="auto" w:fill="auto"/>
            <w:noWrap/>
            <w:vAlign w:val="center"/>
            <w:hideMark/>
          </w:tcPr>
          <w:p w14:paraId="5A6CF782"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2</w:t>
            </w:r>
          </w:p>
        </w:tc>
        <w:tc>
          <w:tcPr>
            <w:tcW w:w="1460" w:type="dxa"/>
            <w:tcBorders>
              <w:top w:val="single" w:sz="4" w:space="0" w:color="auto"/>
              <w:left w:val="nil"/>
              <w:bottom w:val="single" w:sz="4" w:space="0" w:color="auto"/>
              <w:right w:val="nil"/>
            </w:tcBorders>
            <w:shd w:val="clear" w:color="auto" w:fill="auto"/>
            <w:noWrap/>
            <w:vAlign w:val="center"/>
            <w:hideMark/>
          </w:tcPr>
          <w:p w14:paraId="216028F2"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3</w:t>
            </w:r>
          </w:p>
        </w:tc>
        <w:tc>
          <w:tcPr>
            <w:tcW w:w="1460" w:type="dxa"/>
            <w:tcBorders>
              <w:top w:val="single" w:sz="4" w:space="0" w:color="auto"/>
              <w:left w:val="nil"/>
              <w:bottom w:val="single" w:sz="4" w:space="0" w:color="auto"/>
              <w:right w:val="nil"/>
            </w:tcBorders>
            <w:shd w:val="clear" w:color="auto" w:fill="auto"/>
            <w:noWrap/>
            <w:vAlign w:val="center"/>
            <w:hideMark/>
          </w:tcPr>
          <w:p w14:paraId="010F82EA"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4</w:t>
            </w:r>
          </w:p>
        </w:tc>
        <w:tc>
          <w:tcPr>
            <w:tcW w:w="1460" w:type="dxa"/>
            <w:tcBorders>
              <w:top w:val="single" w:sz="4" w:space="0" w:color="auto"/>
              <w:left w:val="nil"/>
              <w:bottom w:val="single" w:sz="4" w:space="0" w:color="auto"/>
              <w:right w:val="nil"/>
            </w:tcBorders>
            <w:shd w:val="clear" w:color="auto" w:fill="auto"/>
            <w:noWrap/>
            <w:vAlign w:val="center"/>
            <w:hideMark/>
          </w:tcPr>
          <w:p w14:paraId="4B1E0AEC"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5</w:t>
            </w:r>
          </w:p>
        </w:tc>
        <w:tc>
          <w:tcPr>
            <w:tcW w:w="1460" w:type="dxa"/>
            <w:tcBorders>
              <w:top w:val="single" w:sz="4" w:space="0" w:color="auto"/>
              <w:left w:val="nil"/>
              <w:bottom w:val="single" w:sz="4" w:space="0" w:color="auto"/>
              <w:right w:val="nil"/>
            </w:tcBorders>
            <w:shd w:val="clear" w:color="auto" w:fill="auto"/>
            <w:noWrap/>
            <w:vAlign w:val="center"/>
            <w:hideMark/>
          </w:tcPr>
          <w:p w14:paraId="5A95D740"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6</w:t>
            </w:r>
          </w:p>
        </w:tc>
        <w:tc>
          <w:tcPr>
            <w:tcW w:w="1460" w:type="dxa"/>
            <w:tcBorders>
              <w:top w:val="single" w:sz="4" w:space="0" w:color="auto"/>
              <w:left w:val="nil"/>
              <w:bottom w:val="single" w:sz="4" w:space="0" w:color="auto"/>
              <w:right w:val="nil"/>
            </w:tcBorders>
            <w:shd w:val="clear" w:color="auto" w:fill="auto"/>
            <w:noWrap/>
            <w:vAlign w:val="center"/>
            <w:hideMark/>
          </w:tcPr>
          <w:p w14:paraId="416F9D8C"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7</w:t>
            </w:r>
          </w:p>
        </w:tc>
      </w:tr>
      <w:tr w:rsidR="00E846B1" w:rsidRPr="00FA0E4A" w14:paraId="77E0F19F" w14:textId="77777777" w:rsidTr="00FD4E90">
        <w:trPr>
          <w:trHeight w:val="600"/>
        </w:trPr>
        <w:tc>
          <w:tcPr>
            <w:tcW w:w="2960" w:type="dxa"/>
            <w:tcBorders>
              <w:top w:val="nil"/>
              <w:left w:val="nil"/>
              <w:bottom w:val="nil"/>
              <w:right w:val="nil"/>
            </w:tcBorders>
            <w:shd w:val="clear" w:color="auto" w:fill="auto"/>
            <w:noWrap/>
            <w:vAlign w:val="center"/>
            <w:hideMark/>
          </w:tcPr>
          <w:p w14:paraId="6715E674"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1.BMI</w:t>
            </w:r>
          </w:p>
        </w:tc>
        <w:tc>
          <w:tcPr>
            <w:tcW w:w="1460" w:type="dxa"/>
            <w:tcBorders>
              <w:top w:val="nil"/>
              <w:left w:val="nil"/>
              <w:bottom w:val="nil"/>
              <w:right w:val="nil"/>
            </w:tcBorders>
            <w:shd w:val="clear" w:color="auto" w:fill="auto"/>
            <w:noWrap/>
            <w:vAlign w:val="center"/>
            <w:hideMark/>
          </w:tcPr>
          <w:p w14:paraId="4E36EF71"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w:t>
            </w:r>
          </w:p>
        </w:tc>
        <w:tc>
          <w:tcPr>
            <w:tcW w:w="1460" w:type="dxa"/>
            <w:tcBorders>
              <w:top w:val="nil"/>
              <w:left w:val="nil"/>
              <w:bottom w:val="nil"/>
              <w:right w:val="nil"/>
            </w:tcBorders>
            <w:shd w:val="clear" w:color="auto" w:fill="auto"/>
            <w:vAlign w:val="center"/>
            <w:hideMark/>
          </w:tcPr>
          <w:p w14:paraId="2C8CB332"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 xml:space="preserve">-0.002 </w:t>
            </w:r>
            <w:r w:rsidRPr="00FA0E4A">
              <w:rPr>
                <w:rFonts w:ascii="Times New Roman" w:hAnsi="Times New Roman" w:cs="Times New Roman"/>
                <w:color w:val="000000"/>
                <w:sz w:val="20"/>
                <w:szCs w:val="20"/>
              </w:rPr>
              <w:br/>
              <w:t>[-0.17, 0.17]</w:t>
            </w:r>
          </w:p>
        </w:tc>
        <w:tc>
          <w:tcPr>
            <w:tcW w:w="1460" w:type="dxa"/>
            <w:tcBorders>
              <w:top w:val="nil"/>
              <w:left w:val="nil"/>
              <w:bottom w:val="nil"/>
              <w:right w:val="nil"/>
            </w:tcBorders>
            <w:shd w:val="clear" w:color="auto" w:fill="auto"/>
            <w:vAlign w:val="center"/>
            <w:hideMark/>
          </w:tcPr>
          <w:p w14:paraId="2CC34348"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-0.21 *</w:t>
            </w:r>
            <w:r w:rsidRPr="00FA0E4A">
              <w:rPr>
                <w:rFonts w:ascii="Times New Roman" w:hAnsi="Times New Roman" w:cs="Times New Roman"/>
                <w:color w:val="000000"/>
                <w:sz w:val="20"/>
                <w:szCs w:val="20"/>
              </w:rPr>
              <w:br/>
              <w:t>[-0.36, -0.04]</w:t>
            </w:r>
          </w:p>
        </w:tc>
        <w:tc>
          <w:tcPr>
            <w:tcW w:w="1460" w:type="dxa"/>
            <w:tcBorders>
              <w:top w:val="nil"/>
              <w:left w:val="nil"/>
              <w:bottom w:val="nil"/>
              <w:right w:val="nil"/>
            </w:tcBorders>
            <w:shd w:val="clear" w:color="auto" w:fill="auto"/>
            <w:vAlign w:val="center"/>
            <w:hideMark/>
          </w:tcPr>
          <w:p w14:paraId="59F8EAE2"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 xml:space="preserve">0.08 </w:t>
            </w:r>
            <w:r w:rsidRPr="00FA0E4A">
              <w:rPr>
                <w:rFonts w:ascii="Times New Roman" w:hAnsi="Times New Roman" w:cs="Times New Roman"/>
                <w:color w:val="000000"/>
                <w:sz w:val="20"/>
                <w:szCs w:val="20"/>
              </w:rPr>
              <w:br/>
              <w:t>[-0.09, 0.25]</w:t>
            </w:r>
          </w:p>
        </w:tc>
        <w:tc>
          <w:tcPr>
            <w:tcW w:w="1460" w:type="dxa"/>
            <w:tcBorders>
              <w:top w:val="nil"/>
              <w:left w:val="nil"/>
              <w:bottom w:val="nil"/>
              <w:right w:val="nil"/>
            </w:tcBorders>
            <w:shd w:val="clear" w:color="auto" w:fill="auto"/>
            <w:vAlign w:val="center"/>
            <w:hideMark/>
          </w:tcPr>
          <w:p w14:paraId="3D57D61D"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0.19 *</w:t>
            </w:r>
            <w:r w:rsidRPr="00FA0E4A">
              <w:rPr>
                <w:rFonts w:ascii="Times New Roman" w:hAnsi="Times New Roman" w:cs="Times New Roman"/>
                <w:color w:val="000000"/>
                <w:sz w:val="20"/>
                <w:szCs w:val="20"/>
              </w:rPr>
              <w:br/>
              <w:t>[0.02, 0.35]</w:t>
            </w:r>
          </w:p>
        </w:tc>
        <w:tc>
          <w:tcPr>
            <w:tcW w:w="1460" w:type="dxa"/>
            <w:tcBorders>
              <w:top w:val="nil"/>
              <w:left w:val="nil"/>
              <w:bottom w:val="nil"/>
              <w:right w:val="nil"/>
            </w:tcBorders>
            <w:shd w:val="clear" w:color="auto" w:fill="auto"/>
            <w:vAlign w:val="center"/>
            <w:hideMark/>
          </w:tcPr>
          <w:p w14:paraId="6DBDF398"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0.47 ***</w:t>
            </w:r>
            <w:r w:rsidRPr="00FA0E4A">
              <w:rPr>
                <w:rFonts w:ascii="Times New Roman" w:hAnsi="Times New Roman" w:cs="Times New Roman"/>
                <w:color w:val="000000"/>
                <w:sz w:val="20"/>
                <w:szCs w:val="20"/>
              </w:rPr>
              <w:br/>
              <w:t>[0.32, 0.59]</w:t>
            </w:r>
          </w:p>
        </w:tc>
        <w:tc>
          <w:tcPr>
            <w:tcW w:w="1460" w:type="dxa"/>
            <w:tcBorders>
              <w:top w:val="nil"/>
              <w:left w:val="nil"/>
              <w:bottom w:val="nil"/>
              <w:right w:val="nil"/>
            </w:tcBorders>
            <w:shd w:val="clear" w:color="auto" w:fill="auto"/>
            <w:vAlign w:val="center"/>
            <w:hideMark/>
          </w:tcPr>
          <w:p w14:paraId="2B36FEFD"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 xml:space="preserve">0.05 </w:t>
            </w:r>
            <w:r w:rsidRPr="00FA0E4A">
              <w:rPr>
                <w:rFonts w:ascii="Times New Roman" w:hAnsi="Times New Roman" w:cs="Times New Roman"/>
                <w:color w:val="000000"/>
                <w:sz w:val="20"/>
                <w:szCs w:val="20"/>
              </w:rPr>
              <w:br/>
              <w:t>[-0.12, 0.22]</w:t>
            </w:r>
          </w:p>
        </w:tc>
      </w:tr>
      <w:tr w:rsidR="00E846B1" w:rsidRPr="00FA0E4A" w14:paraId="5911671F" w14:textId="77777777" w:rsidTr="00FD4E90">
        <w:trPr>
          <w:trHeight w:val="600"/>
        </w:trPr>
        <w:tc>
          <w:tcPr>
            <w:tcW w:w="2960" w:type="dxa"/>
            <w:tcBorders>
              <w:top w:val="nil"/>
              <w:left w:val="nil"/>
              <w:bottom w:val="nil"/>
              <w:right w:val="nil"/>
            </w:tcBorders>
            <w:shd w:val="clear" w:color="auto" w:fill="auto"/>
            <w:noWrap/>
            <w:vAlign w:val="center"/>
            <w:hideMark/>
          </w:tcPr>
          <w:p w14:paraId="0BA24611"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2.Eating Inflexibility</w:t>
            </w:r>
          </w:p>
        </w:tc>
        <w:tc>
          <w:tcPr>
            <w:tcW w:w="1460" w:type="dxa"/>
            <w:tcBorders>
              <w:top w:val="nil"/>
              <w:left w:val="nil"/>
              <w:bottom w:val="nil"/>
              <w:right w:val="nil"/>
            </w:tcBorders>
            <w:shd w:val="clear" w:color="auto" w:fill="auto"/>
            <w:vAlign w:val="center"/>
            <w:hideMark/>
          </w:tcPr>
          <w:p w14:paraId="6B66C3D4"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0.003</w:t>
            </w:r>
          </w:p>
          <w:p w14:paraId="60738B0F"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[-0.07, 0.08]</w:t>
            </w:r>
          </w:p>
        </w:tc>
        <w:tc>
          <w:tcPr>
            <w:tcW w:w="1460" w:type="dxa"/>
            <w:tcBorders>
              <w:top w:val="nil"/>
              <w:left w:val="nil"/>
              <w:bottom w:val="nil"/>
              <w:right w:val="nil"/>
            </w:tcBorders>
            <w:shd w:val="clear" w:color="auto" w:fill="auto"/>
            <w:noWrap/>
            <w:vAlign w:val="center"/>
            <w:hideMark/>
          </w:tcPr>
          <w:p w14:paraId="4BAA9FC8"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w:t>
            </w:r>
          </w:p>
        </w:tc>
        <w:tc>
          <w:tcPr>
            <w:tcW w:w="1460" w:type="dxa"/>
            <w:tcBorders>
              <w:top w:val="nil"/>
              <w:left w:val="nil"/>
              <w:bottom w:val="nil"/>
              <w:right w:val="nil"/>
            </w:tcBorders>
            <w:shd w:val="clear" w:color="auto" w:fill="auto"/>
            <w:vAlign w:val="center"/>
            <w:hideMark/>
          </w:tcPr>
          <w:p w14:paraId="6BC0939F"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 xml:space="preserve">0.05 </w:t>
            </w:r>
            <w:r w:rsidRPr="00FA0E4A">
              <w:rPr>
                <w:rFonts w:ascii="Times New Roman" w:hAnsi="Times New Roman" w:cs="Times New Roman"/>
                <w:color w:val="000000"/>
                <w:sz w:val="20"/>
                <w:szCs w:val="20"/>
              </w:rPr>
              <w:br/>
              <w:t>[-0.12, 0.22]</w:t>
            </w:r>
          </w:p>
        </w:tc>
        <w:tc>
          <w:tcPr>
            <w:tcW w:w="1460" w:type="dxa"/>
            <w:tcBorders>
              <w:top w:val="nil"/>
              <w:left w:val="nil"/>
              <w:bottom w:val="nil"/>
              <w:right w:val="nil"/>
            </w:tcBorders>
            <w:shd w:val="clear" w:color="auto" w:fill="auto"/>
            <w:vAlign w:val="center"/>
            <w:hideMark/>
          </w:tcPr>
          <w:p w14:paraId="55EC1E0A"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 xml:space="preserve">0.02 </w:t>
            </w:r>
            <w:r w:rsidRPr="00FA0E4A">
              <w:rPr>
                <w:rFonts w:ascii="Times New Roman" w:hAnsi="Times New Roman" w:cs="Times New Roman"/>
                <w:color w:val="000000"/>
                <w:sz w:val="20"/>
                <w:szCs w:val="20"/>
              </w:rPr>
              <w:br/>
              <w:t>[-0.15, 0.19]</w:t>
            </w:r>
          </w:p>
        </w:tc>
        <w:tc>
          <w:tcPr>
            <w:tcW w:w="1460" w:type="dxa"/>
            <w:tcBorders>
              <w:top w:val="nil"/>
              <w:left w:val="nil"/>
              <w:bottom w:val="nil"/>
              <w:right w:val="nil"/>
            </w:tcBorders>
            <w:shd w:val="clear" w:color="auto" w:fill="auto"/>
            <w:vAlign w:val="center"/>
            <w:hideMark/>
          </w:tcPr>
          <w:p w14:paraId="5E495965"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0.18 *</w:t>
            </w:r>
            <w:r w:rsidRPr="00FA0E4A">
              <w:rPr>
                <w:rFonts w:ascii="Times New Roman" w:hAnsi="Times New Roman" w:cs="Times New Roman"/>
                <w:color w:val="000000"/>
                <w:sz w:val="20"/>
                <w:szCs w:val="20"/>
              </w:rPr>
              <w:br/>
              <w:t>[0.01, 0.34]</w:t>
            </w:r>
          </w:p>
        </w:tc>
        <w:tc>
          <w:tcPr>
            <w:tcW w:w="1460" w:type="dxa"/>
            <w:tcBorders>
              <w:top w:val="nil"/>
              <w:left w:val="nil"/>
              <w:bottom w:val="nil"/>
              <w:right w:val="nil"/>
            </w:tcBorders>
            <w:shd w:val="clear" w:color="auto" w:fill="auto"/>
            <w:vAlign w:val="center"/>
            <w:hideMark/>
          </w:tcPr>
          <w:p w14:paraId="3EF769E2"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0.25 **</w:t>
            </w:r>
            <w:r w:rsidRPr="00FA0E4A">
              <w:rPr>
                <w:rFonts w:ascii="Times New Roman" w:hAnsi="Times New Roman" w:cs="Times New Roman"/>
                <w:color w:val="000000"/>
                <w:sz w:val="20"/>
                <w:szCs w:val="20"/>
              </w:rPr>
              <w:br/>
              <w:t>[0.09, 0.41]</w:t>
            </w:r>
          </w:p>
        </w:tc>
        <w:tc>
          <w:tcPr>
            <w:tcW w:w="1460" w:type="dxa"/>
            <w:tcBorders>
              <w:top w:val="nil"/>
              <w:left w:val="nil"/>
              <w:bottom w:val="nil"/>
              <w:right w:val="nil"/>
            </w:tcBorders>
            <w:shd w:val="clear" w:color="auto" w:fill="auto"/>
            <w:vAlign w:val="center"/>
            <w:hideMark/>
          </w:tcPr>
          <w:p w14:paraId="34A5D60C"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 xml:space="preserve">0.13 </w:t>
            </w:r>
            <w:r w:rsidRPr="00FA0E4A">
              <w:rPr>
                <w:rFonts w:ascii="Times New Roman" w:hAnsi="Times New Roman" w:cs="Times New Roman"/>
                <w:color w:val="000000"/>
                <w:sz w:val="20"/>
                <w:szCs w:val="20"/>
              </w:rPr>
              <w:br/>
              <w:t>[-0.05, 0.29]</w:t>
            </w:r>
          </w:p>
        </w:tc>
      </w:tr>
      <w:tr w:rsidR="00E846B1" w:rsidRPr="00FA0E4A" w14:paraId="4142C5E3" w14:textId="77777777" w:rsidTr="00FD4E90">
        <w:trPr>
          <w:trHeight w:val="600"/>
        </w:trPr>
        <w:tc>
          <w:tcPr>
            <w:tcW w:w="2960" w:type="dxa"/>
            <w:tcBorders>
              <w:top w:val="nil"/>
              <w:left w:val="nil"/>
              <w:bottom w:val="nil"/>
              <w:right w:val="nil"/>
            </w:tcBorders>
            <w:shd w:val="clear" w:color="auto" w:fill="auto"/>
            <w:noWrap/>
            <w:vAlign w:val="center"/>
            <w:hideMark/>
          </w:tcPr>
          <w:p w14:paraId="0BADE529"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3.Psychological Distress</w:t>
            </w:r>
          </w:p>
        </w:tc>
        <w:tc>
          <w:tcPr>
            <w:tcW w:w="1460" w:type="dxa"/>
            <w:tcBorders>
              <w:top w:val="nil"/>
              <w:left w:val="nil"/>
              <w:bottom w:val="nil"/>
              <w:right w:val="nil"/>
            </w:tcBorders>
            <w:shd w:val="clear" w:color="auto" w:fill="auto"/>
            <w:vAlign w:val="center"/>
            <w:hideMark/>
          </w:tcPr>
          <w:p w14:paraId="293D01A8"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 xml:space="preserve">-0.03 </w:t>
            </w:r>
          </w:p>
          <w:p w14:paraId="24754082"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[-0.1, 0.05]</w:t>
            </w:r>
          </w:p>
        </w:tc>
        <w:tc>
          <w:tcPr>
            <w:tcW w:w="1460" w:type="dxa"/>
            <w:tcBorders>
              <w:top w:val="nil"/>
              <w:left w:val="nil"/>
              <w:bottom w:val="nil"/>
              <w:right w:val="nil"/>
            </w:tcBorders>
            <w:shd w:val="clear" w:color="auto" w:fill="auto"/>
            <w:vAlign w:val="center"/>
            <w:hideMark/>
          </w:tcPr>
          <w:p w14:paraId="413870BA"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 xml:space="preserve">0.06 </w:t>
            </w:r>
            <w:r w:rsidRPr="00FA0E4A">
              <w:rPr>
                <w:rFonts w:ascii="Times New Roman" w:hAnsi="Times New Roman" w:cs="Times New Roman"/>
                <w:color w:val="000000"/>
                <w:sz w:val="20"/>
                <w:szCs w:val="20"/>
              </w:rPr>
              <w:br/>
              <w:t>[-0.01, 0.14]</w:t>
            </w:r>
          </w:p>
        </w:tc>
        <w:tc>
          <w:tcPr>
            <w:tcW w:w="1460" w:type="dxa"/>
            <w:tcBorders>
              <w:top w:val="nil"/>
              <w:left w:val="nil"/>
              <w:bottom w:val="nil"/>
              <w:right w:val="nil"/>
            </w:tcBorders>
            <w:shd w:val="clear" w:color="auto" w:fill="auto"/>
            <w:noWrap/>
            <w:vAlign w:val="center"/>
            <w:hideMark/>
          </w:tcPr>
          <w:p w14:paraId="2D495D92"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w:t>
            </w:r>
          </w:p>
        </w:tc>
        <w:tc>
          <w:tcPr>
            <w:tcW w:w="1460" w:type="dxa"/>
            <w:tcBorders>
              <w:top w:val="nil"/>
              <w:left w:val="nil"/>
              <w:bottom w:val="nil"/>
              <w:right w:val="nil"/>
            </w:tcBorders>
            <w:shd w:val="clear" w:color="auto" w:fill="auto"/>
            <w:vAlign w:val="center"/>
            <w:hideMark/>
          </w:tcPr>
          <w:p w14:paraId="7297873F"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0.4 ***</w:t>
            </w:r>
            <w:r w:rsidRPr="00FA0E4A">
              <w:rPr>
                <w:rFonts w:ascii="Times New Roman" w:hAnsi="Times New Roman" w:cs="Times New Roman"/>
                <w:color w:val="000000"/>
                <w:sz w:val="20"/>
                <w:szCs w:val="20"/>
              </w:rPr>
              <w:br/>
              <w:t>[0.25, 0.53]</w:t>
            </w:r>
          </w:p>
        </w:tc>
        <w:tc>
          <w:tcPr>
            <w:tcW w:w="1460" w:type="dxa"/>
            <w:tcBorders>
              <w:top w:val="nil"/>
              <w:left w:val="nil"/>
              <w:bottom w:val="nil"/>
              <w:right w:val="nil"/>
            </w:tcBorders>
            <w:shd w:val="clear" w:color="auto" w:fill="auto"/>
            <w:vAlign w:val="center"/>
            <w:hideMark/>
          </w:tcPr>
          <w:p w14:paraId="3A2C7A97"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0.31 ***</w:t>
            </w:r>
            <w:r w:rsidRPr="00FA0E4A">
              <w:rPr>
                <w:rFonts w:ascii="Times New Roman" w:hAnsi="Times New Roman" w:cs="Times New Roman"/>
                <w:color w:val="000000"/>
                <w:sz w:val="20"/>
                <w:szCs w:val="20"/>
              </w:rPr>
              <w:br/>
              <w:t>[0.15, 0.46]</w:t>
            </w:r>
          </w:p>
        </w:tc>
        <w:tc>
          <w:tcPr>
            <w:tcW w:w="1460" w:type="dxa"/>
            <w:tcBorders>
              <w:top w:val="nil"/>
              <w:left w:val="nil"/>
              <w:bottom w:val="nil"/>
              <w:right w:val="nil"/>
            </w:tcBorders>
            <w:shd w:val="clear" w:color="auto" w:fill="auto"/>
            <w:vAlign w:val="center"/>
            <w:hideMark/>
          </w:tcPr>
          <w:p w14:paraId="5767D2B0"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-0.21 *</w:t>
            </w:r>
            <w:r w:rsidRPr="00FA0E4A">
              <w:rPr>
                <w:rFonts w:ascii="Times New Roman" w:hAnsi="Times New Roman" w:cs="Times New Roman"/>
                <w:color w:val="000000"/>
                <w:sz w:val="20"/>
                <w:szCs w:val="20"/>
              </w:rPr>
              <w:br/>
              <w:t>[-0.37, -0.04]</w:t>
            </w:r>
          </w:p>
        </w:tc>
        <w:tc>
          <w:tcPr>
            <w:tcW w:w="1460" w:type="dxa"/>
            <w:tcBorders>
              <w:top w:val="nil"/>
              <w:left w:val="nil"/>
              <w:bottom w:val="nil"/>
              <w:right w:val="nil"/>
            </w:tcBorders>
            <w:shd w:val="clear" w:color="auto" w:fill="auto"/>
            <w:vAlign w:val="center"/>
            <w:hideMark/>
          </w:tcPr>
          <w:p w14:paraId="450A8FFD"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0.39 ***</w:t>
            </w:r>
            <w:r w:rsidRPr="00FA0E4A">
              <w:rPr>
                <w:rFonts w:ascii="Times New Roman" w:hAnsi="Times New Roman" w:cs="Times New Roman"/>
                <w:color w:val="000000"/>
                <w:sz w:val="20"/>
                <w:szCs w:val="20"/>
              </w:rPr>
              <w:br/>
              <w:t>[0.24, 0.53]</w:t>
            </w:r>
          </w:p>
        </w:tc>
      </w:tr>
      <w:tr w:rsidR="00E846B1" w:rsidRPr="00FA0E4A" w14:paraId="355045A4" w14:textId="77777777" w:rsidTr="00FD4E90">
        <w:trPr>
          <w:trHeight w:val="600"/>
        </w:trPr>
        <w:tc>
          <w:tcPr>
            <w:tcW w:w="2960" w:type="dxa"/>
            <w:tcBorders>
              <w:top w:val="nil"/>
              <w:left w:val="nil"/>
              <w:bottom w:val="nil"/>
              <w:right w:val="nil"/>
            </w:tcBorders>
            <w:shd w:val="clear" w:color="auto" w:fill="auto"/>
            <w:noWrap/>
            <w:vAlign w:val="center"/>
            <w:hideMark/>
          </w:tcPr>
          <w:p w14:paraId="39AE5B4C"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 xml:space="preserve">4.Loss of Control Over Eating </w:t>
            </w:r>
          </w:p>
        </w:tc>
        <w:tc>
          <w:tcPr>
            <w:tcW w:w="1460" w:type="dxa"/>
            <w:tcBorders>
              <w:top w:val="nil"/>
              <w:left w:val="nil"/>
              <w:bottom w:val="nil"/>
              <w:right w:val="nil"/>
            </w:tcBorders>
            <w:shd w:val="clear" w:color="auto" w:fill="auto"/>
            <w:vAlign w:val="center"/>
            <w:hideMark/>
          </w:tcPr>
          <w:p w14:paraId="70F15789"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0.14 ***</w:t>
            </w:r>
            <w:r w:rsidRPr="00FA0E4A">
              <w:rPr>
                <w:rFonts w:ascii="Times New Roman" w:hAnsi="Times New Roman" w:cs="Times New Roman"/>
                <w:color w:val="000000"/>
                <w:sz w:val="20"/>
                <w:szCs w:val="20"/>
              </w:rPr>
              <w:br/>
              <w:t>[0.06, 0.21]</w:t>
            </w:r>
          </w:p>
        </w:tc>
        <w:tc>
          <w:tcPr>
            <w:tcW w:w="1460" w:type="dxa"/>
            <w:tcBorders>
              <w:top w:val="nil"/>
              <w:left w:val="nil"/>
              <w:bottom w:val="nil"/>
              <w:right w:val="nil"/>
            </w:tcBorders>
            <w:shd w:val="clear" w:color="auto" w:fill="auto"/>
            <w:vAlign w:val="center"/>
            <w:hideMark/>
          </w:tcPr>
          <w:p w14:paraId="75B8164E"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0.13 ***</w:t>
            </w:r>
            <w:r w:rsidRPr="00FA0E4A">
              <w:rPr>
                <w:rFonts w:ascii="Times New Roman" w:hAnsi="Times New Roman" w:cs="Times New Roman"/>
                <w:color w:val="000000"/>
                <w:sz w:val="20"/>
                <w:szCs w:val="20"/>
              </w:rPr>
              <w:br/>
              <w:t>[0.05, 0.2]</w:t>
            </w:r>
          </w:p>
        </w:tc>
        <w:tc>
          <w:tcPr>
            <w:tcW w:w="1460" w:type="dxa"/>
            <w:tcBorders>
              <w:top w:val="nil"/>
              <w:left w:val="nil"/>
              <w:bottom w:val="nil"/>
              <w:right w:val="nil"/>
            </w:tcBorders>
            <w:shd w:val="clear" w:color="auto" w:fill="auto"/>
            <w:vAlign w:val="center"/>
            <w:hideMark/>
          </w:tcPr>
          <w:p w14:paraId="323CB223"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0.42 ***</w:t>
            </w:r>
            <w:r w:rsidRPr="00FA0E4A">
              <w:rPr>
                <w:rFonts w:ascii="Times New Roman" w:hAnsi="Times New Roman" w:cs="Times New Roman"/>
                <w:color w:val="000000"/>
                <w:sz w:val="20"/>
                <w:szCs w:val="20"/>
              </w:rPr>
              <w:br/>
              <w:t>[0.36, 0.48]</w:t>
            </w:r>
          </w:p>
        </w:tc>
        <w:tc>
          <w:tcPr>
            <w:tcW w:w="1460" w:type="dxa"/>
            <w:tcBorders>
              <w:top w:val="nil"/>
              <w:left w:val="nil"/>
              <w:bottom w:val="nil"/>
              <w:right w:val="nil"/>
            </w:tcBorders>
            <w:shd w:val="clear" w:color="auto" w:fill="auto"/>
            <w:noWrap/>
            <w:vAlign w:val="center"/>
            <w:hideMark/>
          </w:tcPr>
          <w:p w14:paraId="5D8AAFAC"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w:t>
            </w:r>
          </w:p>
        </w:tc>
        <w:tc>
          <w:tcPr>
            <w:tcW w:w="1460" w:type="dxa"/>
            <w:tcBorders>
              <w:top w:val="nil"/>
              <w:left w:val="nil"/>
              <w:bottom w:val="nil"/>
              <w:right w:val="nil"/>
            </w:tcBorders>
            <w:shd w:val="clear" w:color="auto" w:fill="auto"/>
            <w:vAlign w:val="center"/>
            <w:hideMark/>
          </w:tcPr>
          <w:p w14:paraId="2C8233D9"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0.36 ***</w:t>
            </w:r>
            <w:r w:rsidRPr="00FA0E4A">
              <w:rPr>
                <w:rFonts w:ascii="Times New Roman" w:hAnsi="Times New Roman" w:cs="Times New Roman"/>
                <w:color w:val="000000"/>
                <w:sz w:val="20"/>
                <w:szCs w:val="20"/>
              </w:rPr>
              <w:br/>
              <w:t>[0.2, 0.5]</w:t>
            </w:r>
          </w:p>
        </w:tc>
        <w:tc>
          <w:tcPr>
            <w:tcW w:w="1460" w:type="dxa"/>
            <w:tcBorders>
              <w:top w:val="nil"/>
              <w:left w:val="nil"/>
              <w:bottom w:val="nil"/>
              <w:right w:val="nil"/>
            </w:tcBorders>
            <w:shd w:val="clear" w:color="auto" w:fill="auto"/>
            <w:vAlign w:val="center"/>
            <w:hideMark/>
          </w:tcPr>
          <w:p w14:paraId="1A0BE7EC"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 xml:space="preserve">0.12 </w:t>
            </w:r>
            <w:r w:rsidRPr="00FA0E4A">
              <w:rPr>
                <w:rFonts w:ascii="Times New Roman" w:hAnsi="Times New Roman" w:cs="Times New Roman"/>
                <w:color w:val="000000"/>
                <w:sz w:val="20"/>
                <w:szCs w:val="20"/>
              </w:rPr>
              <w:br/>
              <w:t>[-0.05, 0.28]</w:t>
            </w:r>
          </w:p>
        </w:tc>
        <w:tc>
          <w:tcPr>
            <w:tcW w:w="1460" w:type="dxa"/>
            <w:tcBorders>
              <w:top w:val="nil"/>
              <w:left w:val="nil"/>
              <w:bottom w:val="nil"/>
              <w:right w:val="nil"/>
            </w:tcBorders>
            <w:shd w:val="clear" w:color="auto" w:fill="auto"/>
            <w:vAlign w:val="center"/>
            <w:hideMark/>
          </w:tcPr>
          <w:p w14:paraId="55CD0547"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0.45 ***</w:t>
            </w:r>
            <w:r w:rsidRPr="00FA0E4A">
              <w:rPr>
                <w:rFonts w:ascii="Times New Roman" w:hAnsi="Times New Roman" w:cs="Times New Roman"/>
                <w:color w:val="000000"/>
                <w:sz w:val="20"/>
                <w:szCs w:val="20"/>
              </w:rPr>
              <w:br/>
              <w:t>[0.3, 0.58]</w:t>
            </w:r>
          </w:p>
        </w:tc>
      </w:tr>
      <w:tr w:rsidR="00E846B1" w:rsidRPr="00FA0E4A" w14:paraId="0913E81A" w14:textId="77777777" w:rsidTr="00FD4E90">
        <w:trPr>
          <w:trHeight w:val="600"/>
        </w:trPr>
        <w:tc>
          <w:tcPr>
            <w:tcW w:w="2960" w:type="dxa"/>
            <w:tcBorders>
              <w:top w:val="nil"/>
              <w:left w:val="nil"/>
              <w:bottom w:val="nil"/>
              <w:right w:val="nil"/>
            </w:tcBorders>
            <w:shd w:val="clear" w:color="auto" w:fill="auto"/>
            <w:noWrap/>
            <w:vAlign w:val="center"/>
            <w:hideMark/>
          </w:tcPr>
          <w:p w14:paraId="638C7E0A"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 xml:space="preserve">5.Body Image Inflexibility </w:t>
            </w:r>
          </w:p>
        </w:tc>
        <w:tc>
          <w:tcPr>
            <w:tcW w:w="1460" w:type="dxa"/>
            <w:tcBorders>
              <w:top w:val="nil"/>
              <w:left w:val="nil"/>
              <w:bottom w:val="nil"/>
              <w:right w:val="nil"/>
            </w:tcBorders>
            <w:shd w:val="clear" w:color="auto" w:fill="auto"/>
            <w:vAlign w:val="center"/>
            <w:hideMark/>
          </w:tcPr>
          <w:p w14:paraId="1FCC4131"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0.28 ***</w:t>
            </w:r>
            <w:r w:rsidRPr="00FA0E4A">
              <w:rPr>
                <w:rFonts w:ascii="Times New Roman" w:hAnsi="Times New Roman" w:cs="Times New Roman"/>
                <w:color w:val="000000"/>
                <w:sz w:val="20"/>
                <w:szCs w:val="20"/>
              </w:rPr>
              <w:br/>
              <w:t>[0.21, 0.35]</w:t>
            </w:r>
          </w:p>
        </w:tc>
        <w:tc>
          <w:tcPr>
            <w:tcW w:w="1460" w:type="dxa"/>
            <w:tcBorders>
              <w:top w:val="nil"/>
              <w:left w:val="nil"/>
              <w:bottom w:val="nil"/>
              <w:right w:val="nil"/>
            </w:tcBorders>
            <w:shd w:val="clear" w:color="auto" w:fill="auto"/>
            <w:vAlign w:val="center"/>
            <w:hideMark/>
          </w:tcPr>
          <w:p w14:paraId="79EDBC6E"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0.24 ***</w:t>
            </w:r>
            <w:r w:rsidRPr="00FA0E4A">
              <w:rPr>
                <w:rFonts w:ascii="Times New Roman" w:hAnsi="Times New Roman" w:cs="Times New Roman"/>
                <w:color w:val="000000"/>
                <w:sz w:val="20"/>
                <w:szCs w:val="20"/>
              </w:rPr>
              <w:br/>
              <w:t>[0.17, 0.31]</w:t>
            </w:r>
          </w:p>
        </w:tc>
        <w:tc>
          <w:tcPr>
            <w:tcW w:w="1460" w:type="dxa"/>
            <w:tcBorders>
              <w:top w:val="nil"/>
              <w:left w:val="nil"/>
              <w:bottom w:val="nil"/>
              <w:right w:val="nil"/>
            </w:tcBorders>
            <w:shd w:val="clear" w:color="auto" w:fill="auto"/>
            <w:vAlign w:val="center"/>
            <w:hideMark/>
          </w:tcPr>
          <w:p w14:paraId="3062BAAD"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0.34 ***</w:t>
            </w:r>
            <w:r w:rsidRPr="00FA0E4A">
              <w:rPr>
                <w:rFonts w:ascii="Times New Roman" w:hAnsi="Times New Roman" w:cs="Times New Roman"/>
                <w:color w:val="000000"/>
                <w:sz w:val="20"/>
                <w:szCs w:val="20"/>
              </w:rPr>
              <w:br/>
              <w:t>[0.27, 0.41]</w:t>
            </w:r>
          </w:p>
        </w:tc>
        <w:tc>
          <w:tcPr>
            <w:tcW w:w="1460" w:type="dxa"/>
            <w:tcBorders>
              <w:top w:val="nil"/>
              <w:left w:val="nil"/>
              <w:bottom w:val="nil"/>
              <w:right w:val="nil"/>
            </w:tcBorders>
            <w:shd w:val="clear" w:color="auto" w:fill="auto"/>
            <w:vAlign w:val="center"/>
            <w:hideMark/>
          </w:tcPr>
          <w:p w14:paraId="56A05C48"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0.52 ***</w:t>
            </w:r>
            <w:r w:rsidRPr="00FA0E4A">
              <w:rPr>
                <w:rFonts w:ascii="Times New Roman" w:hAnsi="Times New Roman" w:cs="Times New Roman"/>
                <w:color w:val="000000"/>
                <w:sz w:val="20"/>
                <w:szCs w:val="20"/>
              </w:rPr>
              <w:br/>
              <w:t>[0.47, 0.58]</w:t>
            </w:r>
          </w:p>
        </w:tc>
        <w:tc>
          <w:tcPr>
            <w:tcW w:w="1460" w:type="dxa"/>
            <w:tcBorders>
              <w:top w:val="nil"/>
              <w:left w:val="nil"/>
              <w:bottom w:val="nil"/>
              <w:right w:val="nil"/>
            </w:tcBorders>
            <w:shd w:val="clear" w:color="auto" w:fill="auto"/>
            <w:noWrap/>
            <w:vAlign w:val="center"/>
            <w:hideMark/>
          </w:tcPr>
          <w:p w14:paraId="61012366"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w:t>
            </w:r>
          </w:p>
        </w:tc>
        <w:tc>
          <w:tcPr>
            <w:tcW w:w="1460" w:type="dxa"/>
            <w:tcBorders>
              <w:top w:val="nil"/>
              <w:left w:val="nil"/>
              <w:bottom w:val="nil"/>
              <w:right w:val="nil"/>
            </w:tcBorders>
            <w:shd w:val="clear" w:color="auto" w:fill="auto"/>
            <w:vAlign w:val="center"/>
            <w:hideMark/>
          </w:tcPr>
          <w:p w14:paraId="03B7F9D1"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0.34 ***</w:t>
            </w:r>
            <w:r w:rsidRPr="00FA0E4A">
              <w:rPr>
                <w:rFonts w:ascii="Times New Roman" w:hAnsi="Times New Roman" w:cs="Times New Roman"/>
                <w:color w:val="000000"/>
                <w:sz w:val="20"/>
                <w:szCs w:val="20"/>
              </w:rPr>
              <w:br/>
              <w:t>[0.18, 0.49]</w:t>
            </w:r>
          </w:p>
        </w:tc>
        <w:tc>
          <w:tcPr>
            <w:tcW w:w="1460" w:type="dxa"/>
            <w:tcBorders>
              <w:top w:val="nil"/>
              <w:left w:val="nil"/>
              <w:bottom w:val="nil"/>
              <w:right w:val="nil"/>
            </w:tcBorders>
            <w:shd w:val="clear" w:color="auto" w:fill="auto"/>
            <w:vAlign w:val="center"/>
            <w:hideMark/>
          </w:tcPr>
          <w:p w14:paraId="43F780C5"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0.30 ***</w:t>
            </w:r>
            <w:r w:rsidRPr="00FA0E4A">
              <w:rPr>
                <w:rFonts w:ascii="Times New Roman" w:hAnsi="Times New Roman" w:cs="Times New Roman"/>
                <w:color w:val="000000"/>
                <w:sz w:val="20"/>
                <w:szCs w:val="20"/>
              </w:rPr>
              <w:br/>
              <w:t>[0.14, 0.45]</w:t>
            </w:r>
          </w:p>
        </w:tc>
      </w:tr>
      <w:tr w:rsidR="00E846B1" w:rsidRPr="00FA0E4A" w14:paraId="66CF3B7E" w14:textId="77777777" w:rsidTr="00FD4E90">
        <w:trPr>
          <w:trHeight w:val="600"/>
        </w:trPr>
        <w:tc>
          <w:tcPr>
            <w:tcW w:w="2960" w:type="dxa"/>
            <w:tcBorders>
              <w:top w:val="nil"/>
              <w:left w:val="nil"/>
              <w:bottom w:val="nil"/>
              <w:right w:val="nil"/>
            </w:tcBorders>
            <w:shd w:val="clear" w:color="auto" w:fill="auto"/>
            <w:noWrap/>
            <w:vAlign w:val="center"/>
            <w:hideMark/>
          </w:tcPr>
          <w:p w14:paraId="5BBBDB73"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6.Body Dissatisfaction</w:t>
            </w:r>
          </w:p>
        </w:tc>
        <w:tc>
          <w:tcPr>
            <w:tcW w:w="1460" w:type="dxa"/>
            <w:tcBorders>
              <w:top w:val="nil"/>
              <w:left w:val="nil"/>
              <w:bottom w:val="nil"/>
              <w:right w:val="nil"/>
            </w:tcBorders>
            <w:shd w:val="clear" w:color="auto" w:fill="auto"/>
            <w:vAlign w:val="center"/>
            <w:hideMark/>
          </w:tcPr>
          <w:p w14:paraId="50DEB8D9"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0.52 ***</w:t>
            </w:r>
            <w:r w:rsidRPr="00FA0E4A">
              <w:rPr>
                <w:rFonts w:ascii="Times New Roman" w:hAnsi="Times New Roman" w:cs="Times New Roman"/>
                <w:color w:val="000000"/>
                <w:sz w:val="20"/>
                <w:szCs w:val="20"/>
              </w:rPr>
              <w:br/>
              <w:t>[0.46, 0.57]</w:t>
            </w:r>
          </w:p>
        </w:tc>
        <w:tc>
          <w:tcPr>
            <w:tcW w:w="1460" w:type="dxa"/>
            <w:tcBorders>
              <w:top w:val="nil"/>
              <w:left w:val="nil"/>
              <w:bottom w:val="nil"/>
              <w:right w:val="nil"/>
            </w:tcBorders>
            <w:shd w:val="clear" w:color="auto" w:fill="auto"/>
            <w:vAlign w:val="center"/>
            <w:hideMark/>
          </w:tcPr>
          <w:p w14:paraId="0B663028"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 xml:space="preserve">0.07 </w:t>
            </w:r>
            <w:r w:rsidRPr="00FA0E4A">
              <w:rPr>
                <w:rFonts w:ascii="Times New Roman" w:hAnsi="Times New Roman" w:cs="Times New Roman"/>
                <w:color w:val="000000"/>
                <w:sz w:val="20"/>
                <w:szCs w:val="20"/>
              </w:rPr>
              <w:br/>
              <w:t>[-0.01, 0.14]</w:t>
            </w:r>
          </w:p>
        </w:tc>
        <w:tc>
          <w:tcPr>
            <w:tcW w:w="1460" w:type="dxa"/>
            <w:tcBorders>
              <w:top w:val="nil"/>
              <w:left w:val="nil"/>
              <w:bottom w:val="nil"/>
              <w:right w:val="nil"/>
            </w:tcBorders>
            <w:shd w:val="clear" w:color="auto" w:fill="auto"/>
            <w:vAlign w:val="center"/>
            <w:hideMark/>
          </w:tcPr>
          <w:p w14:paraId="6A522168"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0.14 ***</w:t>
            </w:r>
            <w:r w:rsidRPr="00FA0E4A">
              <w:rPr>
                <w:rFonts w:ascii="Times New Roman" w:hAnsi="Times New Roman" w:cs="Times New Roman"/>
                <w:color w:val="000000"/>
                <w:sz w:val="20"/>
                <w:szCs w:val="20"/>
              </w:rPr>
              <w:br/>
              <w:t>[0.07, 0.21]</w:t>
            </w:r>
          </w:p>
        </w:tc>
        <w:tc>
          <w:tcPr>
            <w:tcW w:w="1460" w:type="dxa"/>
            <w:tcBorders>
              <w:top w:val="nil"/>
              <w:left w:val="nil"/>
              <w:bottom w:val="nil"/>
              <w:right w:val="nil"/>
            </w:tcBorders>
            <w:shd w:val="clear" w:color="auto" w:fill="auto"/>
            <w:vAlign w:val="center"/>
            <w:hideMark/>
          </w:tcPr>
          <w:p w14:paraId="6BD8796E"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0.3 ***</w:t>
            </w:r>
            <w:r w:rsidRPr="00FA0E4A">
              <w:rPr>
                <w:rFonts w:ascii="Times New Roman" w:hAnsi="Times New Roman" w:cs="Times New Roman"/>
                <w:color w:val="000000"/>
                <w:sz w:val="20"/>
                <w:szCs w:val="20"/>
              </w:rPr>
              <w:br/>
              <w:t>[0.23, 0.37]</w:t>
            </w:r>
          </w:p>
        </w:tc>
        <w:tc>
          <w:tcPr>
            <w:tcW w:w="1460" w:type="dxa"/>
            <w:tcBorders>
              <w:top w:val="nil"/>
              <w:left w:val="nil"/>
              <w:bottom w:val="nil"/>
              <w:right w:val="nil"/>
            </w:tcBorders>
            <w:shd w:val="clear" w:color="auto" w:fill="auto"/>
            <w:vAlign w:val="center"/>
            <w:hideMark/>
          </w:tcPr>
          <w:p w14:paraId="6AB76B51"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0.39 ***</w:t>
            </w:r>
            <w:r w:rsidRPr="00FA0E4A">
              <w:rPr>
                <w:rFonts w:ascii="Times New Roman" w:hAnsi="Times New Roman" w:cs="Times New Roman"/>
                <w:color w:val="000000"/>
                <w:sz w:val="20"/>
                <w:szCs w:val="20"/>
              </w:rPr>
              <w:br/>
              <w:t>[0.32, 0.45]</w:t>
            </w:r>
          </w:p>
        </w:tc>
        <w:tc>
          <w:tcPr>
            <w:tcW w:w="1460" w:type="dxa"/>
            <w:tcBorders>
              <w:top w:val="nil"/>
              <w:left w:val="nil"/>
              <w:bottom w:val="nil"/>
              <w:right w:val="nil"/>
            </w:tcBorders>
            <w:shd w:val="clear" w:color="auto" w:fill="auto"/>
            <w:noWrap/>
            <w:vAlign w:val="center"/>
            <w:hideMark/>
          </w:tcPr>
          <w:p w14:paraId="199CF418"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w:t>
            </w:r>
          </w:p>
        </w:tc>
        <w:tc>
          <w:tcPr>
            <w:tcW w:w="1460" w:type="dxa"/>
            <w:tcBorders>
              <w:top w:val="nil"/>
              <w:left w:val="nil"/>
              <w:bottom w:val="nil"/>
              <w:right w:val="nil"/>
            </w:tcBorders>
            <w:shd w:val="clear" w:color="auto" w:fill="auto"/>
            <w:vAlign w:val="center"/>
            <w:hideMark/>
          </w:tcPr>
          <w:p w14:paraId="354D0540"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 xml:space="preserve">0.09 </w:t>
            </w:r>
            <w:r w:rsidRPr="00FA0E4A">
              <w:rPr>
                <w:rFonts w:ascii="Times New Roman" w:hAnsi="Times New Roman" w:cs="Times New Roman"/>
                <w:color w:val="000000"/>
                <w:sz w:val="20"/>
                <w:szCs w:val="20"/>
              </w:rPr>
              <w:br/>
              <w:t>[-0.08, 0.26]</w:t>
            </w:r>
          </w:p>
        </w:tc>
      </w:tr>
      <w:tr w:rsidR="00E846B1" w:rsidRPr="00FA0E4A" w14:paraId="243DF812" w14:textId="77777777" w:rsidTr="00FD4E90">
        <w:trPr>
          <w:trHeight w:val="600"/>
        </w:trPr>
        <w:tc>
          <w:tcPr>
            <w:tcW w:w="2960" w:type="dxa"/>
            <w:tcBorders>
              <w:top w:val="nil"/>
              <w:left w:val="nil"/>
              <w:bottom w:val="single" w:sz="4" w:space="0" w:color="auto"/>
              <w:right w:val="nil"/>
            </w:tcBorders>
            <w:shd w:val="clear" w:color="auto" w:fill="auto"/>
            <w:noWrap/>
            <w:vAlign w:val="center"/>
            <w:hideMark/>
          </w:tcPr>
          <w:p w14:paraId="372A4969"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7.Emotional Overeating</w:t>
            </w:r>
          </w:p>
        </w:tc>
        <w:tc>
          <w:tcPr>
            <w:tcW w:w="1460" w:type="dxa"/>
            <w:tcBorders>
              <w:top w:val="nil"/>
              <w:left w:val="nil"/>
              <w:bottom w:val="single" w:sz="4" w:space="0" w:color="auto"/>
              <w:right w:val="nil"/>
            </w:tcBorders>
            <w:shd w:val="clear" w:color="auto" w:fill="auto"/>
            <w:vAlign w:val="center"/>
            <w:hideMark/>
          </w:tcPr>
          <w:p w14:paraId="6C4F058D"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0.10 *</w:t>
            </w:r>
            <w:r w:rsidRPr="00FA0E4A">
              <w:rPr>
                <w:rFonts w:ascii="Times New Roman" w:hAnsi="Times New Roman" w:cs="Times New Roman"/>
                <w:color w:val="000000"/>
                <w:sz w:val="20"/>
                <w:szCs w:val="20"/>
              </w:rPr>
              <w:br/>
              <w:t>[0.02, 0.17]</w:t>
            </w:r>
          </w:p>
        </w:tc>
        <w:tc>
          <w:tcPr>
            <w:tcW w:w="1460" w:type="dxa"/>
            <w:tcBorders>
              <w:top w:val="nil"/>
              <w:left w:val="nil"/>
              <w:bottom w:val="single" w:sz="4" w:space="0" w:color="auto"/>
              <w:right w:val="nil"/>
            </w:tcBorders>
            <w:shd w:val="clear" w:color="auto" w:fill="auto"/>
            <w:vAlign w:val="center"/>
            <w:hideMark/>
          </w:tcPr>
          <w:p w14:paraId="2E94EC35"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0.12 **</w:t>
            </w:r>
            <w:r w:rsidRPr="00FA0E4A">
              <w:rPr>
                <w:rFonts w:ascii="Times New Roman" w:hAnsi="Times New Roman" w:cs="Times New Roman"/>
                <w:color w:val="000000"/>
                <w:sz w:val="20"/>
                <w:szCs w:val="20"/>
              </w:rPr>
              <w:br/>
              <w:t>[0.04, 0.19]</w:t>
            </w:r>
          </w:p>
        </w:tc>
        <w:tc>
          <w:tcPr>
            <w:tcW w:w="1460" w:type="dxa"/>
            <w:tcBorders>
              <w:top w:val="nil"/>
              <w:left w:val="nil"/>
              <w:bottom w:val="single" w:sz="4" w:space="0" w:color="auto"/>
              <w:right w:val="nil"/>
            </w:tcBorders>
            <w:shd w:val="clear" w:color="auto" w:fill="auto"/>
            <w:vAlign w:val="center"/>
            <w:hideMark/>
          </w:tcPr>
          <w:p w14:paraId="22367C01"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0.26 ***</w:t>
            </w:r>
            <w:r w:rsidRPr="00FA0E4A">
              <w:rPr>
                <w:rFonts w:ascii="Times New Roman" w:hAnsi="Times New Roman" w:cs="Times New Roman"/>
                <w:color w:val="000000"/>
                <w:sz w:val="20"/>
                <w:szCs w:val="20"/>
              </w:rPr>
              <w:br/>
              <w:t>[0.19, 0.33]</w:t>
            </w:r>
          </w:p>
        </w:tc>
        <w:tc>
          <w:tcPr>
            <w:tcW w:w="1460" w:type="dxa"/>
            <w:tcBorders>
              <w:top w:val="nil"/>
              <w:left w:val="nil"/>
              <w:bottom w:val="single" w:sz="4" w:space="0" w:color="auto"/>
              <w:right w:val="nil"/>
            </w:tcBorders>
            <w:shd w:val="clear" w:color="auto" w:fill="auto"/>
            <w:vAlign w:val="center"/>
            <w:hideMark/>
          </w:tcPr>
          <w:p w14:paraId="1F400888"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0.44 ***</w:t>
            </w:r>
            <w:r w:rsidRPr="00FA0E4A">
              <w:rPr>
                <w:rFonts w:ascii="Times New Roman" w:hAnsi="Times New Roman" w:cs="Times New Roman"/>
                <w:color w:val="000000"/>
                <w:sz w:val="20"/>
                <w:szCs w:val="20"/>
              </w:rPr>
              <w:br/>
              <w:t>[0.38, 0.5]</w:t>
            </w:r>
          </w:p>
        </w:tc>
        <w:tc>
          <w:tcPr>
            <w:tcW w:w="1460" w:type="dxa"/>
            <w:tcBorders>
              <w:top w:val="nil"/>
              <w:left w:val="nil"/>
              <w:bottom w:val="single" w:sz="4" w:space="0" w:color="auto"/>
              <w:right w:val="nil"/>
            </w:tcBorders>
            <w:shd w:val="clear" w:color="auto" w:fill="auto"/>
            <w:vAlign w:val="center"/>
            <w:hideMark/>
          </w:tcPr>
          <w:p w14:paraId="76941EE5"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0.43 ***</w:t>
            </w:r>
            <w:r w:rsidRPr="00FA0E4A">
              <w:rPr>
                <w:rFonts w:ascii="Times New Roman" w:hAnsi="Times New Roman" w:cs="Times New Roman"/>
                <w:color w:val="000000"/>
                <w:sz w:val="20"/>
                <w:szCs w:val="20"/>
              </w:rPr>
              <w:br/>
              <w:t>[0.37, 0.49]</w:t>
            </w:r>
          </w:p>
        </w:tc>
        <w:tc>
          <w:tcPr>
            <w:tcW w:w="1460" w:type="dxa"/>
            <w:tcBorders>
              <w:top w:val="nil"/>
              <w:left w:val="nil"/>
              <w:bottom w:val="single" w:sz="4" w:space="0" w:color="auto"/>
              <w:right w:val="nil"/>
            </w:tcBorders>
            <w:shd w:val="clear" w:color="auto" w:fill="auto"/>
            <w:vAlign w:val="center"/>
            <w:hideMark/>
          </w:tcPr>
          <w:p w14:paraId="2B724110"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0.15 ***</w:t>
            </w:r>
            <w:r w:rsidRPr="00FA0E4A">
              <w:rPr>
                <w:rFonts w:ascii="Times New Roman" w:hAnsi="Times New Roman" w:cs="Times New Roman"/>
                <w:color w:val="000000"/>
                <w:sz w:val="20"/>
                <w:szCs w:val="20"/>
              </w:rPr>
              <w:br/>
              <w:t>[0.08, 0.22]</w:t>
            </w:r>
          </w:p>
        </w:tc>
        <w:tc>
          <w:tcPr>
            <w:tcW w:w="1460" w:type="dxa"/>
            <w:tcBorders>
              <w:top w:val="nil"/>
              <w:left w:val="nil"/>
              <w:bottom w:val="single" w:sz="4" w:space="0" w:color="auto"/>
              <w:right w:val="nil"/>
            </w:tcBorders>
            <w:shd w:val="clear" w:color="auto" w:fill="auto"/>
            <w:noWrap/>
            <w:vAlign w:val="center"/>
            <w:hideMark/>
          </w:tcPr>
          <w:p w14:paraId="5936BEAE" w14:textId="77777777" w:rsidR="00E846B1" w:rsidRPr="00FA0E4A" w:rsidRDefault="00E846B1" w:rsidP="00FD4E90">
            <w:pPr>
              <w:rPr>
                <w:rFonts w:ascii="Times New Roman" w:hAnsi="Times New Roman" w:cs="Times New Roman"/>
                <w:color w:val="000000"/>
                <w:sz w:val="20"/>
                <w:szCs w:val="20"/>
              </w:rPr>
            </w:pPr>
            <w:r w:rsidRPr="00FA0E4A">
              <w:rPr>
                <w:rFonts w:ascii="Times New Roman" w:hAnsi="Times New Roman" w:cs="Times New Roman"/>
                <w:color w:val="000000"/>
                <w:sz w:val="20"/>
                <w:szCs w:val="20"/>
              </w:rPr>
              <w:t>-</w:t>
            </w:r>
          </w:p>
        </w:tc>
      </w:tr>
    </w:tbl>
    <w:bookmarkEnd w:id="0"/>
    <w:bookmarkEnd w:id="1"/>
    <w:bookmarkEnd w:id="2"/>
    <w:p w14:paraId="3D899013" w14:textId="58023447" w:rsidR="00D84304" w:rsidRPr="00FA0E4A" w:rsidRDefault="00E846B1">
      <w:pPr>
        <w:rPr>
          <w:rFonts w:ascii="Times New Roman" w:hAnsi="Times New Roman" w:cs="Times New Roman"/>
        </w:rPr>
      </w:pPr>
      <w:r w:rsidRPr="00FA0E4A">
        <w:rPr>
          <w:rFonts w:ascii="Times New Roman" w:hAnsi="Times New Roman" w:cs="Times New Roman"/>
          <w:i/>
          <w:iCs/>
        </w:rPr>
        <w:t>Note:</w:t>
      </w:r>
      <w:r w:rsidRPr="00FA0E4A">
        <w:rPr>
          <w:rFonts w:ascii="Times New Roman" w:hAnsi="Times New Roman" w:cs="Times New Roman"/>
        </w:rPr>
        <w:t xml:space="preserve"> The upper-right data represents the Pearson correlation estimates and confidence intervals for the sub-sample at</w:t>
      </w:r>
      <w:r w:rsidR="00C705B9" w:rsidRPr="00FA0E4A">
        <w:rPr>
          <w:rFonts w:ascii="Times New Roman" w:hAnsi="Times New Roman" w:cs="Times New Roman"/>
        </w:rPr>
        <w:t xml:space="preserve"> high </w:t>
      </w:r>
      <w:r w:rsidRPr="00FA0E4A">
        <w:rPr>
          <w:rFonts w:ascii="Times New Roman" w:hAnsi="Times New Roman" w:cs="Times New Roman"/>
        </w:rPr>
        <w:t>risk of EDs. The lower-left data represents the Pearson correlation estimates and confidence intervals for the sub-sample with low risk of EDs</w:t>
      </w:r>
      <w:bookmarkStart w:id="3" w:name="OLE_LINK96"/>
      <w:bookmarkStart w:id="4" w:name="OLE_LINK97"/>
      <w:r w:rsidRPr="00FA0E4A">
        <w:rPr>
          <w:rFonts w:ascii="Times New Roman" w:hAnsi="Times New Roman" w:cs="Times New Roman"/>
        </w:rPr>
        <w:t xml:space="preserve">; </w:t>
      </w:r>
      <w:r w:rsidRPr="00FA0E4A">
        <w:rPr>
          <w:rFonts w:ascii="Times New Roman" w:hAnsi="Times New Roman" w:cs="Times New Roman"/>
          <w:vertAlign w:val="superscript"/>
        </w:rPr>
        <w:t>*</w:t>
      </w:r>
      <w:r w:rsidRPr="00FA0E4A">
        <w:rPr>
          <w:rFonts w:ascii="Times New Roman" w:hAnsi="Times New Roman" w:cs="Times New Roman"/>
        </w:rPr>
        <w:t xml:space="preserve"> </w:t>
      </w:r>
      <w:r w:rsidRPr="00FA0E4A">
        <w:rPr>
          <w:rFonts w:ascii="Times New Roman" w:hAnsi="Times New Roman" w:cs="Times New Roman"/>
          <w:i/>
          <w:iCs/>
        </w:rPr>
        <w:t>p</w:t>
      </w:r>
      <w:r w:rsidRPr="00FA0E4A">
        <w:rPr>
          <w:rFonts w:ascii="Times New Roman" w:hAnsi="Times New Roman" w:cs="Times New Roman"/>
        </w:rPr>
        <w:t xml:space="preserve"> &lt; .05, </w:t>
      </w:r>
      <w:r w:rsidRPr="00FA0E4A">
        <w:rPr>
          <w:rFonts w:ascii="Times New Roman" w:hAnsi="Times New Roman" w:cs="Times New Roman"/>
          <w:vertAlign w:val="superscript"/>
        </w:rPr>
        <w:t>**</w:t>
      </w:r>
      <w:r w:rsidRPr="00FA0E4A">
        <w:rPr>
          <w:rFonts w:ascii="Times New Roman" w:hAnsi="Times New Roman" w:cs="Times New Roman"/>
        </w:rPr>
        <w:t xml:space="preserve"> </w:t>
      </w:r>
      <w:r w:rsidRPr="00FA0E4A">
        <w:rPr>
          <w:rFonts w:ascii="Times New Roman" w:hAnsi="Times New Roman" w:cs="Times New Roman"/>
          <w:i/>
          <w:iCs/>
        </w:rPr>
        <w:t>p</w:t>
      </w:r>
      <w:r w:rsidRPr="00FA0E4A">
        <w:rPr>
          <w:rFonts w:ascii="Times New Roman" w:hAnsi="Times New Roman" w:cs="Times New Roman"/>
        </w:rPr>
        <w:t xml:space="preserve"> &lt; .01,</w:t>
      </w:r>
      <w:r w:rsidRPr="00FA0E4A">
        <w:rPr>
          <w:rFonts w:ascii="Times New Roman" w:hAnsi="Times New Roman" w:cs="Times New Roman"/>
          <w:vertAlign w:val="superscript"/>
        </w:rPr>
        <w:t xml:space="preserve"> ***</w:t>
      </w:r>
      <w:r w:rsidRPr="00FA0E4A">
        <w:rPr>
          <w:rFonts w:ascii="Times New Roman" w:hAnsi="Times New Roman" w:cs="Times New Roman"/>
        </w:rPr>
        <w:t xml:space="preserve"> </w:t>
      </w:r>
      <w:r w:rsidRPr="00FA0E4A">
        <w:rPr>
          <w:rFonts w:ascii="Times New Roman" w:hAnsi="Times New Roman" w:cs="Times New Roman"/>
          <w:i/>
          <w:iCs/>
        </w:rPr>
        <w:t>p</w:t>
      </w:r>
      <w:r w:rsidRPr="00FA0E4A">
        <w:rPr>
          <w:rFonts w:ascii="Times New Roman" w:hAnsi="Times New Roman" w:cs="Times New Roman"/>
        </w:rPr>
        <w:t xml:space="preserve"> &lt; .001</w:t>
      </w:r>
      <w:bookmarkEnd w:id="3"/>
      <w:bookmarkEnd w:id="4"/>
      <w:r w:rsidRPr="00FA0E4A">
        <w:rPr>
          <w:rFonts w:ascii="Times New Roman" w:hAnsi="Times New Roman" w:cs="Times New Roman"/>
        </w:rPr>
        <w:t>.</w:t>
      </w:r>
    </w:p>
    <w:p w14:paraId="7620AC99" w14:textId="77777777" w:rsidR="00FE41EB" w:rsidRPr="0051056C" w:rsidRDefault="00FE41EB">
      <w:pPr>
        <w:rPr>
          <w:rFonts w:ascii="Times New Roman" w:hAnsi="Times New Roman" w:cs="Times New Roman"/>
        </w:rPr>
        <w:sectPr w:rsidR="00FE41EB" w:rsidRPr="0051056C" w:rsidSect="00E846B1">
          <w:footerReference w:type="even" r:id="rId7"/>
          <w:footerReference w:type="default" r:id="rId8"/>
          <w:pgSz w:w="16840" w:h="11900" w:orient="landscape"/>
          <w:pgMar w:top="1440" w:right="1440" w:bottom="1440" w:left="1440" w:header="708" w:footer="708" w:gutter="0"/>
          <w:cols w:space="708"/>
          <w:docGrid w:linePitch="360"/>
        </w:sectPr>
      </w:pPr>
    </w:p>
    <w:p w14:paraId="679C66CD" w14:textId="4697119E" w:rsidR="00FE41EB" w:rsidRPr="0051056C" w:rsidRDefault="00FE41EB">
      <w:pPr>
        <w:rPr>
          <w:rFonts w:ascii="Times New Roman" w:hAnsi="Times New Roman" w:cs="Times New Roman"/>
          <w:b/>
          <w:bCs/>
        </w:rPr>
      </w:pPr>
      <w:r w:rsidRPr="0051056C">
        <w:rPr>
          <w:rFonts w:ascii="Times New Roman" w:hAnsi="Times New Roman" w:cs="Times New Roman"/>
          <w:b/>
          <w:bCs/>
        </w:rPr>
        <w:lastRenderedPageBreak/>
        <w:t xml:space="preserve">Supplementary </w:t>
      </w:r>
      <w:r w:rsidR="001A620E" w:rsidRPr="00FA0E4A">
        <w:rPr>
          <w:rFonts w:ascii="Times New Roman" w:hAnsi="Times New Roman" w:cs="Times New Roman"/>
          <w:b/>
          <w:bCs/>
        </w:rPr>
        <w:t>S</w:t>
      </w:r>
      <w:r w:rsidRPr="0051056C">
        <w:rPr>
          <w:rFonts w:ascii="Times New Roman" w:hAnsi="Times New Roman" w:cs="Times New Roman"/>
          <w:b/>
          <w:bCs/>
        </w:rPr>
        <w:t xml:space="preserve">ensitivity </w:t>
      </w:r>
      <w:r w:rsidR="001A620E" w:rsidRPr="00FA0E4A">
        <w:rPr>
          <w:rFonts w:ascii="Times New Roman" w:hAnsi="Times New Roman" w:cs="Times New Roman"/>
          <w:b/>
          <w:bCs/>
        </w:rPr>
        <w:t>A</w:t>
      </w:r>
      <w:r w:rsidRPr="0051056C">
        <w:rPr>
          <w:rFonts w:ascii="Times New Roman" w:hAnsi="Times New Roman" w:cs="Times New Roman"/>
          <w:b/>
          <w:bCs/>
        </w:rPr>
        <w:t xml:space="preserve">nalysis </w:t>
      </w:r>
    </w:p>
    <w:p w14:paraId="0750A6A3" w14:textId="3C1568B2" w:rsidR="00FE41EB" w:rsidRPr="0051056C" w:rsidRDefault="00FE41EB">
      <w:pPr>
        <w:rPr>
          <w:rFonts w:ascii="Times New Roman" w:hAnsi="Times New Roman" w:cs="Times New Roman"/>
        </w:rPr>
      </w:pPr>
    </w:p>
    <w:p w14:paraId="6F6B6BEF" w14:textId="31C646FB" w:rsidR="00FE41EB" w:rsidRPr="00FA0E4A" w:rsidRDefault="00FE41EB" w:rsidP="00FE41EB">
      <w:pPr>
        <w:spacing w:line="480" w:lineRule="auto"/>
        <w:ind w:firstLine="720"/>
        <w:rPr>
          <w:rFonts w:ascii="Times New Roman" w:hAnsi="Times New Roman" w:cs="Times New Roman"/>
        </w:rPr>
      </w:pPr>
      <w:r w:rsidRPr="0051056C">
        <w:rPr>
          <w:rFonts w:ascii="Times New Roman" w:hAnsi="Times New Roman" w:cs="Times New Roman"/>
        </w:rPr>
        <w:t xml:space="preserve">By </w:t>
      </w:r>
      <w:r w:rsidRPr="00FA0E4A">
        <w:rPr>
          <w:rFonts w:ascii="Times New Roman" w:hAnsi="Times New Roman" w:cs="Times New Roman"/>
        </w:rPr>
        <w:t xml:space="preserve">using a sample of female university students extracted from a project on the eating behaviors and body image of Chinese university students </w:t>
      </w:r>
      <w:r w:rsidR="00947DEA">
        <w:rPr>
          <w:rFonts w:ascii="Times New Roman" w:hAnsi="Times New Roman" w:cs="Times New Roman"/>
        </w:rPr>
        <w:t xml:space="preserve">(see </w:t>
      </w:r>
      <w:r w:rsidR="001A620E" w:rsidRPr="00FA0E4A">
        <w:rPr>
          <w:rFonts w:ascii="Times New Roman" w:hAnsi="Times New Roman" w:cs="Times New Roman"/>
        </w:rPr>
        <w:fldChar w:fldCharType="begin"/>
      </w:r>
      <w:r w:rsidR="0051056C">
        <w:rPr>
          <w:rFonts w:ascii="Times New Roman" w:hAnsi="Times New Roman" w:cs="Times New Roman"/>
        </w:rPr>
        <w:instrText xml:space="preserve"> ADDIN EN.CITE &lt;EndNote&gt;&lt;Cite&gt;&lt;Author&gt;He&lt;/Author&gt;&lt;Year&gt;2021&lt;/Year&gt;&lt;RecNum&gt;82&lt;/RecNum&gt;&lt;DisplayText&gt;[1]&lt;/DisplayText&gt;&lt;record&gt;&lt;rec-number&gt;82&lt;/rec-number&gt;&lt;foreign-keys&gt;&lt;key app="EN" db-id="fdx09rt2kdrewrerrrm5ttfmpwx0vp5xez2x" timestamp="1625566098"&gt;82&lt;/key&gt;&lt;/foreign-keys&gt;&lt;ref-type name="Journal Article"&gt;17&lt;/ref-type&gt;&lt;contributors&gt;&lt;authors&gt;&lt;author&gt;He, J.&lt;/author&gt;&lt;author&gt;Sun, S.&lt;/author&gt;&lt;author&gt;Fan, X.&lt;/author&gt;&lt;/authors&gt;&lt;/contributors&gt;&lt;auth-address&gt;Chinese University of Hong Kong (Shenzhen), Shenzhen, Guangdong, China.&amp;#xD;School of Journalism, Fudan University, Guoding Road 400, Shanghai, 200433, China. shaojingsun@gmail.com.&lt;/auth-address&gt;&lt;titles&gt;&lt;title&gt;Validation of the 12-item Short Form of the Eating Disorder Examination Questionnaire in the Chinese context: confirmatory factor analysis and Rasch analysis&lt;/title&gt;&lt;secondary-title&gt;Eat Weight Disord&lt;/secondary-title&gt;&lt;/titles&gt;&lt;pages&gt;201-209&lt;/pages&gt;&lt;volume&gt;26&lt;/volume&gt;&lt;number&gt;1&lt;/number&gt;&lt;edition&gt;2020/01/04&lt;/edition&gt;&lt;keywords&gt;&lt;keyword&gt;China&lt;/keyword&gt;&lt;keyword&gt;Cross-Sectional Studies&lt;/keyword&gt;&lt;keyword&gt;Factor Analysis, Statistical&lt;/keyword&gt;&lt;keyword&gt;*Feeding and Eating Disorders/diagnosis&lt;/keyword&gt;&lt;keyword&gt;Humans&lt;/keyword&gt;&lt;keyword&gt;Psychometrics&lt;/keyword&gt;&lt;keyword&gt;Reproducibility of Results&lt;/keyword&gt;&lt;keyword&gt;Surveys and Questionnaires&lt;/keyword&gt;&lt;keyword&gt;Chinese&lt;/keyword&gt;&lt;keyword&gt;Confirmatory factor analysis&lt;/keyword&gt;&lt;keyword&gt;Eating disorder examination questionnaire&lt;/keyword&gt;&lt;keyword&gt;Rasch model&lt;/keyword&gt;&lt;keyword&gt;Validation&lt;/keyword&gt;&lt;/keywords&gt;&lt;dates&gt;&lt;year&gt;2021&lt;/year&gt;&lt;pub-dates&gt;&lt;date&gt;Feb&lt;/date&gt;&lt;/pub-dates&gt;&lt;/dates&gt;&lt;isbn&gt;1590-1262 (Electronic)&amp;#xD;1124-4909 (Linking)&lt;/isbn&gt;&lt;accession-num&gt;31898240&lt;/accession-num&gt;&lt;urls&gt;&lt;related-urls&gt;&lt;url&gt;https://www.ncbi.nlm.nih.gov/pubmed/31898240&lt;/url&gt;&lt;/related-urls&gt;&lt;/urls&gt;&lt;electronic-resource-num&gt;10.1007/s40519-019-00840-3&lt;/electronic-resource-num&gt;&lt;/record&gt;&lt;/Cite&gt;&lt;/EndNote&gt;</w:instrText>
      </w:r>
      <w:r w:rsidR="001A620E" w:rsidRPr="00FA0E4A">
        <w:rPr>
          <w:rFonts w:ascii="Times New Roman" w:hAnsi="Times New Roman" w:cs="Times New Roman"/>
        </w:rPr>
        <w:fldChar w:fldCharType="separate"/>
      </w:r>
      <w:r w:rsidR="0051056C">
        <w:rPr>
          <w:rFonts w:ascii="Times New Roman" w:hAnsi="Times New Roman" w:cs="Times New Roman"/>
          <w:noProof/>
        </w:rPr>
        <w:t>[1]</w:t>
      </w:r>
      <w:r w:rsidR="001A620E" w:rsidRPr="00FA0E4A">
        <w:rPr>
          <w:rFonts w:ascii="Times New Roman" w:hAnsi="Times New Roman" w:cs="Times New Roman"/>
        </w:rPr>
        <w:fldChar w:fldCharType="end"/>
      </w:r>
      <w:r w:rsidR="00947DEA">
        <w:rPr>
          <w:rFonts w:ascii="Times New Roman" w:hAnsi="Times New Roman" w:cs="Times New Roman"/>
        </w:rPr>
        <w:t>)</w:t>
      </w:r>
      <w:r w:rsidRPr="00FA0E4A">
        <w:rPr>
          <w:rFonts w:ascii="Times New Roman" w:hAnsi="Times New Roman" w:cs="Times New Roman"/>
        </w:rPr>
        <w:t>,</w:t>
      </w:r>
      <w:r w:rsidRPr="00022F9F">
        <w:rPr>
          <w:rFonts w:ascii="Times New Roman" w:hAnsi="Times New Roman" w:cs="Times New Roman"/>
        </w:rPr>
        <w:t xml:space="preserve"> </w:t>
      </w:r>
      <w:r w:rsidRPr="00FA0E4A">
        <w:rPr>
          <w:rFonts w:ascii="Times New Roman" w:hAnsi="Times New Roman" w:cs="Times New Roman"/>
        </w:rPr>
        <w:t xml:space="preserve">we conducted a sensitivity analysis to examine the robustness of the findings when a different </w:t>
      </w:r>
      <w:r w:rsidR="00504CF8">
        <w:rPr>
          <w:rFonts w:ascii="Times New Roman" w:hAnsi="Times New Roman" w:cs="Times New Roman"/>
        </w:rPr>
        <w:t xml:space="preserve">EDs screening </w:t>
      </w:r>
      <w:r w:rsidRPr="00FA0E4A">
        <w:rPr>
          <w:rFonts w:ascii="Times New Roman" w:hAnsi="Times New Roman" w:cs="Times New Roman"/>
        </w:rPr>
        <w:t xml:space="preserve">measure was used. </w:t>
      </w:r>
      <w:r w:rsidR="00C2108E" w:rsidRPr="00FA0E4A">
        <w:rPr>
          <w:rFonts w:ascii="Times New Roman" w:hAnsi="Times New Roman" w:cs="Times New Roman"/>
        </w:rPr>
        <w:t>T</w:t>
      </w:r>
      <w:r w:rsidRPr="00FA0E4A">
        <w:rPr>
          <w:rFonts w:ascii="Times New Roman" w:hAnsi="Times New Roman" w:cs="Times New Roman"/>
        </w:rPr>
        <w:t xml:space="preserve">he female university students aged from 18 to 23 years </w:t>
      </w:r>
      <w:r w:rsidR="009B60CE" w:rsidRPr="00FA0E4A">
        <w:rPr>
          <w:rFonts w:ascii="Times New Roman" w:hAnsi="Times New Roman" w:cs="Times New Roman"/>
        </w:rPr>
        <w:t>(</w:t>
      </w:r>
      <w:r w:rsidR="009B60CE" w:rsidRPr="0051056C">
        <w:rPr>
          <w:rFonts w:ascii="Times New Roman" w:hAnsi="Times New Roman" w:cs="Times New Roman"/>
          <w:i/>
          <w:iCs/>
        </w:rPr>
        <w:t>Mean</w:t>
      </w:r>
      <w:r w:rsidR="009B60CE" w:rsidRPr="00FA0E4A">
        <w:rPr>
          <w:rFonts w:ascii="Times New Roman" w:hAnsi="Times New Roman" w:cs="Times New Roman"/>
        </w:rPr>
        <w:t xml:space="preserve"> = 20.08, </w:t>
      </w:r>
      <w:r w:rsidR="009B60CE" w:rsidRPr="0051056C">
        <w:rPr>
          <w:rFonts w:ascii="Times New Roman" w:hAnsi="Times New Roman" w:cs="Times New Roman"/>
          <w:i/>
          <w:iCs/>
        </w:rPr>
        <w:t>SD</w:t>
      </w:r>
      <w:r w:rsidR="009B60CE" w:rsidRPr="00FA0E4A">
        <w:rPr>
          <w:rFonts w:ascii="Times New Roman" w:hAnsi="Times New Roman" w:cs="Times New Roman"/>
        </w:rPr>
        <w:t xml:space="preserve"> = 0.94), and their</w:t>
      </w:r>
      <w:r w:rsidRPr="00FA0E4A">
        <w:rPr>
          <w:rFonts w:ascii="Times New Roman" w:hAnsi="Times New Roman" w:cs="Times New Roman"/>
        </w:rPr>
        <w:t xml:space="preserve"> BMI, derived from self-reported height and weight, rang</w:t>
      </w:r>
      <w:r w:rsidR="009B60CE" w:rsidRPr="00FA0E4A">
        <w:rPr>
          <w:rFonts w:ascii="Times New Roman" w:hAnsi="Times New Roman" w:cs="Times New Roman"/>
        </w:rPr>
        <w:t>ed</w:t>
      </w:r>
      <w:r w:rsidRPr="00FA0E4A">
        <w:rPr>
          <w:rFonts w:ascii="Times New Roman" w:hAnsi="Times New Roman" w:cs="Times New Roman"/>
        </w:rPr>
        <w:t xml:space="preserve"> from 14.30 to 36.89 kg/m</w:t>
      </w:r>
      <w:r w:rsidRPr="00FA0E4A">
        <w:rPr>
          <w:rFonts w:ascii="Times New Roman" w:hAnsi="Times New Roman" w:cs="Times New Roman"/>
          <w:vertAlign w:val="superscript"/>
        </w:rPr>
        <w:t>2</w:t>
      </w:r>
      <w:r w:rsidR="009B60CE" w:rsidRPr="00FA0E4A">
        <w:rPr>
          <w:rFonts w:ascii="Times New Roman" w:hAnsi="Times New Roman" w:cs="Times New Roman"/>
        </w:rPr>
        <w:t xml:space="preserve"> (Mean = </w:t>
      </w:r>
      <w:r w:rsidRPr="00FA0E4A">
        <w:rPr>
          <w:rFonts w:ascii="Times New Roman" w:hAnsi="Times New Roman" w:cs="Times New Roman"/>
        </w:rPr>
        <w:t>20.70</w:t>
      </w:r>
      <w:r w:rsidR="009B60CE" w:rsidRPr="00FA0E4A">
        <w:rPr>
          <w:rFonts w:ascii="Times New Roman" w:hAnsi="Times New Roman" w:cs="Times New Roman"/>
        </w:rPr>
        <w:t>,</w:t>
      </w:r>
      <w:r w:rsidRPr="00FA0E4A">
        <w:rPr>
          <w:rFonts w:ascii="Times New Roman" w:hAnsi="Times New Roman" w:cs="Times New Roman"/>
        </w:rPr>
        <w:t xml:space="preserve"> </w:t>
      </w:r>
      <w:r w:rsidRPr="00FA0E4A">
        <w:rPr>
          <w:rFonts w:ascii="Times New Roman" w:hAnsi="Times New Roman" w:cs="Times New Roman"/>
          <w:i/>
          <w:iCs/>
        </w:rPr>
        <w:t>SD</w:t>
      </w:r>
      <w:r w:rsidRPr="00FA0E4A">
        <w:rPr>
          <w:rFonts w:ascii="Times New Roman" w:hAnsi="Times New Roman" w:cs="Times New Roman"/>
        </w:rPr>
        <w:t xml:space="preserve"> = 3.01).</w:t>
      </w:r>
    </w:p>
    <w:p w14:paraId="5538830A" w14:textId="1E068E81" w:rsidR="00C2108E" w:rsidRPr="00FA0E4A" w:rsidRDefault="00C2108E" w:rsidP="00FE41EB">
      <w:pPr>
        <w:spacing w:line="480" w:lineRule="auto"/>
        <w:ind w:firstLine="720"/>
        <w:rPr>
          <w:rFonts w:ascii="Times New Roman" w:hAnsi="Times New Roman" w:cs="Times New Roman"/>
        </w:rPr>
      </w:pPr>
      <w:r w:rsidRPr="00FA0E4A">
        <w:rPr>
          <w:rFonts w:ascii="Times New Roman" w:hAnsi="Times New Roman" w:cs="Times New Roman"/>
        </w:rPr>
        <w:t xml:space="preserve">In the sensitivity analysis, the SCOFF </w:t>
      </w:r>
      <w:r w:rsidR="001A620E" w:rsidRPr="00FA0E4A">
        <w:rPr>
          <w:rFonts w:ascii="Times New Roman" w:hAnsi="Times New Roman" w:cs="Times New Roman"/>
        </w:rPr>
        <w:fldChar w:fldCharType="begin"/>
      </w:r>
      <w:r w:rsidR="0051056C">
        <w:rPr>
          <w:rFonts w:ascii="Times New Roman" w:hAnsi="Times New Roman" w:cs="Times New Roman"/>
        </w:rPr>
        <w:instrText xml:space="preserve"> ADDIN EN.CITE &lt;EndNote&gt;&lt;Cite&gt;&lt;Author&gt;Morgan&lt;/Author&gt;&lt;Year&gt;1999&lt;/Year&gt;&lt;RecNum&gt;151&lt;/RecNum&gt;&lt;DisplayText&gt;[2]&lt;/DisplayText&gt;&lt;record&gt;&lt;rec-number&gt;151&lt;/rec-number&gt;&lt;foreign-keys&gt;&lt;key app="EN" db-id="eezzx2f0022adqe0e9rxrdzi2apfapaw005t" timestamp="1614751894" guid="46562737-3aa6-4a4f-97c9-5b147181d1a2"&gt;151&lt;/key&gt;&lt;/foreign-keys&gt;&lt;ref-type name="Journal Article"&gt;17&lt;/ref-type&gt;&lt;contributors&gt;&lt;authors&gt;&lt;author&gt;Morgan, John F&lt;/author&gt;&lt;author&gt;Reid, Fiona&lt;/author&gt;&lt;author&gt;Lacey, J Hubert&lt;/author&gt;&lt;/authors&gt;&lt;/contributors&gt;&lt;titles&gt;&lt;title&gt;The SCOFF questionnaire: assessment of a new screening tool for eating disorders&lt;/title&gt;&lt;secondary-title&gt;Bmj&lt;/secondary-title&gt;&lt;/titles&gt;&lt;periodical&gt;&lt;full-title&gt;Bmj&lt;/full-title&gt;&lt;/periodical&gt;&lt;pages&gt;1467-1468&lt;/pages&gt;&lt;volume&gt;319&lt;/volume&gt;&lt;number&gt;7223&lt;/number&gt;&lt;dates&gt;&lt;year&gt;1999&lt;/year&gt;&lt;/dates&gt;&lt;isbn&gt;0959-8138&lt;/isbn&gt;&lt;urls&gt;&lt;/urls&gt;&lt;/record&gt;&lt;/Cite&gt;&lt;/EndNote&gt;</w:instrText>
      </w:r>
      <w:r w:rsidR="001A620E" w:rsidRPr="00FA0E4A">
        <w:rPr>
          <w:rFonts w:ascii="Times New Roman" w:hAnsi="Times New Roman" w:cs="Times New Roman"/>
        </w:rPr>
        <w:fldChar w:fldCharType="separate"/>
      </w:r>
      <w:r w:rsidR="0051056C">
        <w:rPr>
          <w:rFonts w:ascii="Times New Roman" w:hAnsi="Times New Roman" w:cs="Times New Roman"/>
          <w:noProof/>
        </w:rPr>
        <w:t>[2]</w:t>
      </w:r>
      <w:r w:rsidR="001A620E" w:rsidRPr="00FA0E4A">
        <w:rPr>
          <w:rFonts w:ascii="Times New Roman" w:hAnsi="Times New Roman" w:cs="Times New Roman"/>
        </w:rPr>
        <w:fldChar w:fldCharType="end"/>
      </w:r>
      <w:r w:rsidR="001A620E" w:rsidRPr="00FA0E4A" w:rsidDel="001A620E">
        <w:rPr>
          <w:rFonts w:ascii="Times New Roman" w:hAnsi="Times New Roman" w:cs="Times New Roman"/>
        </w:rPr>
        <w:t xml:space="preserve"> </w:t>
      </w:r>
      <w:r w:rsidRPr="00FA0E4A">
        <w:rPr>
          <w:rFonts w:ascii="Times New Roman" w:hAnsi="Times New Roman" w:cs="Times New Roman"/>
        </w:rPr>
        <w:t>was used to screen participants at-risk of EDs</w:t>
      </w:r>
      <w:r w:rsidR="00A77ADD" w:rsidRPr="00FA0E4A">
        <w:rPr>
          <w:rFonts w:ascii="Times New Roman" w:hAnsi="Times New Roman" w:cs="Times New Roman"/>
        </w:rPr>
        <w:t xml:space="preserve"> (</w:t>
      </w:r>
      <w:r w:rsidR="001A620E" w:rsidRPr="00FA0E4A">
        <w:rPr>
          <w:rFonts w:ascii="Times New Roman" w:hAnsi="Times New Roman" w:cs="Times New Roman"/>
        </w:rPr>
        <w:t xml:space="preserve">59% </w:t>
      </w:r>
      <w:r w:rsidR="00A77ADD" w:rsidRPr="00FA0E4A">
        <w:rPr>
          <w:rFonts w:ascii="Times New Roman" w:hAnsi="Times New Roman" w:cs="Times New Roman"/>
        </w:rPr>
        <w:t xml:space="preserve">were screened positive on SCOFF </w:t>
      </w:r>
      <m:oMath>
        <m:r>
          <w:rPr>
            <w:rFonts w:ascii="Cambria Math" w:hAnsi="Cambria Math" w:cs="Times New Roman"/>
          </w:rPr>
          <m:t>≥</m:t>
        </m:r>
      </m:oMath>
      <w:r w:rsidR="00A77ADD" w:rsidRPr="00FA0E4A">
        <w:rPr>
          <w:rFonts w:ascii="Times New Roman" w:hAnsi="Times New Roman" w:cs="Times New Roman"/>
        </w:rPr>
        <w:t xml:space="preserve"> </w:t>
      </w:r>
      <w:r w:rsidR="00B87864" w:rsidRPr="00FA0E4A">
        <w:rPr>
          <w:rFonts w:ascii="Times New Roman" w:hAnsi="Times New Roman" w:cs="Times New Roman"/>
        </w:rPr>
        <w:t>2</w:t>
      </w:r>
      <w:r w:rsidR="00A77ADD" w:rsidRPr="00FA0E4A">
        <w:rPr>
          <w:rFonts w:ascii="Times New Roman" w:hAnsi="Times New Roman" w:cs="Times New Roman"/>
        </w:rPr>
        <w:t>)</w:t>
      </w:r>
      <w:r w:rsidRPr="00FA0E4A">
        <w:rPr>
          <w:rFonts w:ascii="Times New Roman" w:hAnsi="Times New Roman" w:cs="Times New Roman"/>
        </w:rPr>
        <w:t xml:space="preserve">. </w:t>
      </w:r>
      <w:r w:rsidR="00777740" w:rsidRPr="00FA0E4A">
        <w:rPr>
          <w:rFonts w:ascii="Times New Roman" w:hAnsi="Times New Roman" w:cs="Times New Roman"/>
        </w:rPr>
        <w:t xml:space="preserve">In line with the current study, we </w:t>
      </w:r>
      <w:r w:rsidRPr="00FA0E4A">
        <w:rPr>
          <w:rFonts w:ascii="Times New Roman" w:hAnsi="Times New Roman" w:cs="Times New Roman"/>
        </w:rPr>
        <w:t xml:space="preserve">used </w:t>
      </w:r>
      <w:r w:rsidR="00777740" w:rsidRPr="00FA0E4A">
        <w:rPr>
          <w:rFonts w:ascii="Times New Roman" w:hAnsi="Times New Roman" w:cs="Times New Roman"/>
        </w:rPr>
        <w:t xml:space="preserve">the following independent variables </w:t>
      </w:r>
      <w:r w:rsidRPr="00FA0E4A">
        <w:rPr>
          <w:rFonts w:ascii="Times New Roman" w:hAnsi="Times New Roman" w:cs="Times New Roman"/>
        </w:rPr>
        <w:t>in machine learning</w:t>
      </w:r>
      <w:r w:rsidR="00777740" w:rsidRPr="00FA0E4A">
        <w:rPr>
          <w:rFonts w:ascii="Times New Roman" w:hAnsi="Times New Roman" w:cs="Times New Roman"/>
        </w:rPr>
        <w:t xml:space="preserve">, namely BMI, </w:t>
      </w:r>
      <w:r w:rsidRPr="00FA0E4A">
        <w:rPr>
          <w:rFonts w:ascii="Times New Roman" w:hAnsi="Times New Roman" w:cs="Times New Roman"/>
        </w:rPr>
        <w:t xml:space="preserve">psychological distress as measured by the 10-item Kessler Scale </w:t>
      </w:r>
      <w:r w:rsidR="001A620E" w:rsidRPr="00FA0E4A">
        <w:rPr>
          <w:rFonts w:ascii="Times New Roman" w:hAnsi="Times New Roman" w:cs="Times New Roman"/>
        </w:rPr>
        <w:fldChar w:fldCharType="begin"/>
      </w:r>
      <w:r w:rsidR="0051056C">
        <w:rPr>
          <w:rFonts w:ascii="Times New Roman" w:hAnsi="Times New Roman" w:cs="Times New Roman"/>
        </w:rPr>
        <w:instrText xml:space="preserve"> ADDIN EN.CITE &lt;EndNote&gt;&lt;Cite&gt;&lt;Author&gt;Kessler&lt;/Author&gt;&lt;Year&gt;1994&lt;/Year&gt;&lt;RecNum&gt;142&lt;/RecNum&gt;&lt;DisplayText&gt;[3]&lt;/DisplayText&gt;&lt;record&gt;&lt;rec-number&gt;142&lt;/rec-number&gt;&lt;foreign-keys&gt;&lt;key app="EN" db-id="eezzx2f0022adqe0e9rxrdzi2apfapaw005t" timestamp="1613871827" guid="f0a8ea94-5476-41b3-bccd-8fccb462938a"&gt;142&lt;/key&gt;&lt;/foreign-keys&gt;&lt;ref-type name="Journal Article"&gt;17&lt;/ref-type&gt;&lt;contributors&gt;&lt;authors&gt;&lt;author&gt;Kessler, R&lt;/author&gt;&lt;author&gt;Mroczek, D&lt;/author&gt;&lt;/authors&gt;&lt;/contributors&gt;&lt;titles&gt;&lt;title&gt;Final versions of our non-specific psychological distress scale&lt;/title&gt;&lt;secondary-title&gt;Ann Arbor, MI: Survey Research Center of the Institute for Social Research, University of Michigan&lt;/secondary-title&gt;&lt;/titles&gt;&lt;periodical&gt;&lt;full-title&gt;Ann Arbor, MI: Survey Research Center of the Institute for Social Research, University of Michigan&lt;/full-title&gt;&lt;/periodical&gt;&lt;dates&gt;&lt;year&gt;1994&lt;/year&gt;&lt;/dates&gt;&lt;urls&gt;&lt;/urls&gt;&lt;/record&gt;&lt;/Cite&gt;&lt;/EndNote&gt;</w:instrText>
      </w:r>
      <w:r w:rsidR="001A620E" w:rsidRPr="00FA0E4A">
        <w:rPr>
          <w:rFonts w:ascii="Times New Roman" w:hAnsi="Times New Roman" w:cs="Times New Roman"/>
        </w:rPr>
        <w:fldChar w:fldCharType="separate"/>
      </w:r>
      <w:r w:rsidR="0051056C">
        <w:rPr>
          <w:rFonts w:ascii="Times New Roman" w:hAnsi="Times New Roman" w:cs="Times New Roman"/>
          <w:noProof/>
        </w:rPr>
        <w:t>[3]</w:t>
      </w:r>
      <w:r w:rsidR="001A620E" w:rsidRPr="00FA0E4A">
        <w:rPr>
          <w:rFonts w:ascii="Times New Roman" w:hAnsi="Times New Roman" w:cs="Times New Roman"/>
        </w:rPr>
        <w:fldChar w:fldCharType="end"/>
      </w:r>
      <w:r w:rsidR="00FA0E4A">
        <w:rPr>
          <w:rFonts w:ascii="Times New Roman" w:hAnsi="Times New Roman" w:cs="Times New Roman"/>
        </w:rPr>
        <w:t>,</w:t>
      </w:r>
      <w:r w:rsidRPr="00FA0E4A">
        <w:rPr>
          <w:rFonts w:ascii="Times New Roman" w:hAnsi="Times New Roman" w:cs="Times New Roman"/>
        </w:rPr>
        <w:t xml:space="preserve"> </w:t>
      </w:r>
      <w:r w:rsidR="00777740" w:rsidRPr="00FA0E4A">
        <w:rPr>
          <w:rFonts w:ascii="Times New Roman" w:hAnsi="Times New Roman" w:cs="Times New Roman"/>
        </w:rPr>
        <w:t>eating inflexibility as measured by the Inflexible Eating Questionnaire</w:t>
      </w:r>
      <w:r w:rsidR="001A620E" w:rsidRPr="00FA0E4A">
        <w:rPr>
          <w:rFonts w:ascii="Times New Roman" w:hAnsi="Times New Roman" w:cs="Times New Roman"/>
        </w:rPr>
        <w:t xml:space="preserve"> </w:t>
      </w:r>
      <w:r w:rsidR="001A620E" w:rsidRPr="00FA0E4A">
        <w:rPr>
          <w:rFonts w:ascii="Times New Roman" w:hAnsi="Times New Roman" w:cs="Times New Roman"/>
        </w:rPr>
        <w:fldChar w:fldCharType="begin"/>
      </w:r>
      <w:r w:rsidR="0051056C">
        <w:rPr>
          <w:rFonts w:ascii="Times New Roman" w:hAnsi="Times New Roman" w:cs="Times New Roman"/>
        </w:rPr>
        <w:instrText xml:space="preserve"> ADDIN EN.CITE &lt;EndNote&gt;&lt;Cite&gt;&lt;Author&gt;Duarte&lt;/Author&gt;&lt;Year&gt;2017&lt;/Year&gt;&lt;RecNum&gt;143&lt;/RecNum&gt;&lt;DisplayText&gt;[4]&lt;/DisplayText&gt;&lt;record&gt;&lt;rec-number&gt;143&lt;/rec-number&gt;&lt;foreign-keys&gt;&lt;key app="EN" db-id="eezzx2f0022adqe0e9rxrdzi2apfapaw005t" timestamp="1613873708" guid="59011b3f-46f4-425f-b2cf-0ef9fab65c87"&gt;143&lt;/key&gt;&lt;/foreign-keys&gt;&lt;ref-type name="Journal Article"&gt;17&lt;/ref-type&gt;&lt;contributors&gt;&lt;authors&gt;&lt;author&gt;Duarte, Cristiana&lt;/author&gt;&lt;author&gt;Ferreira, Cláudia&lt;/author&gt;&lt;author&gt;Pinto-Gouveia, José&lt;/author&gt;&lt;author&gt;Trindade, IA&lt;/author&gt;&lt;author&gt;Martinho, A&lt;/author&gt;&lt;/authors&gt;&lt;/contributors&gt;&lt;titles&gt;&lt;title&gt;What makes dietary restraint problematic? Development and validation of the Inflexible Eating Questionnaire&lt;/title&gt;&lt;secondary-title&gt;Appetite&lt;/secondary-title&gt;&lt;/titles&gt;&lt;periodical&gt;&lt;full-title&gt;Appetite&lt;/full-title&gt;&lt;/periodical&gt;&lt;pages&gt;146-154&lt;/pages&gt;&lt;volume&gt;114&lt;/volume&gt;&lt;dates&gt;&lt;year&gt;2017&lt;/year&gt;&lt;/dates&gt;&lt;isbn&gt;0195-6663&lt;/isbn&gt;&lt;urls&gt;&lt;/urls&gt;&lt;/record&gt;&lt;/Cite&gt;&lt;/EndNote&gt;</w:instrText>
      </w:r>
      <w:r w:rsidR="001A620E" w:rsidRPr="00FA0E4A">
        <w:rPr>
          <w:rFonts w:ascii="Times New Roman" w:hAnsi="Times New Roman" w:cs="Times New Roman"/>
        </w:rPr>
        <w:fldChar w:fldCharType="separate"/>
      </w:r>
      <w:r w:rsidR="0051056C">
        <w:rPr>
          <w:rFonts w:ascii="Times New Roman" w:hAnsi="Times New Roman" w:cs="Times New Roman"/>
          <w:noProof/>
        </w:rPr>
        <w:t>[4]</w:t>
      </w:r>
      <w:r w:rsidR="001A620E" w:rsidRPr="00FA0E4A">
        <w:rPr>
          <w:rFonts w:ascii="Times New Roman" w:hAnsi="Times New Roman" w:cs="Times New Roman"/>
        </w:rPr>
        <w:fldChar w:fldCharType="end"/>
      </w:r>
      <w:r w:rsidR="00777740" w:rsidRPr="00FA0E4A">
        <w:rPr>
          <w:rFonts w:ascii="Times New Roman" w:hAnsi="Times New Roman" w:cs="Times New Roman"/>
        </w:rPr>
        <w:t>, body image inflexibility as measured by the Body Image Acceptance and Action Questionnaire</w:t>
      </w:r>
      <w:r w:rsidR="001A620E" w:rsidRPr="00FA0E4A">
        <w:rPr>
          <w:rFonts w:ascii="Times New Roman" w:hAnsi="Times New Roman" w:cs="Times New Roman"/>
        </w:rPr>
        <w:t xml:space="preserve"> </w:t>
      </w:r>
      <w:r w:rsidR="001A620E" w:rsidRPr="00FA0E4A">
        <w:rPr>
          <w:rFonts w:ascii="Times New Roman" w:hAnsi="Times New Roman" w:cs="Times New Roman"/>
        </w:rPr>
        <w:fldChar w:fldCharType="begin"/>
      </w:r>
      <w:r w:rsidR="0051056C">
        <w:rPr>
          <w:rFonts w:ascii="Times New Roman" w:hAnsi="Times New Roman" w:cs="Times New Roman"/>
        </w:rPr>
        <w:instrText xml:space="preserve"> ADDIN EN.CITE &lt;EndNote&gt;&lt;Cite&gt;&lt;Author&gt;Sandoz&lt;/Author&gt;&lt;Year&gt;2013&lt;/Year&gt;&lt;RecNum&gt;122&lt;/RecNum&gt;&lt;DisplayText&gt;[5]&lt;/DisplayText&gt;&lt;record&gt;&lt;rec-number&gt;122&lt;/rec-number&gt;&lt;foreign-keys&gt;&lt;key app="EN" db-id="fdx09rt2kdrewrerrrm5ttfmpwx0vp5xez2x" timestamp="1635542088"&gt;122&lt;/key&gt;&lt;/foreign-keys&gt;&lt;ref-type name="Journal Article"&gt;17&lt;/ref-type&gt;&lt;contributors&gt;&lt;authors&gt;&lt;author&gt;Sandoz, Emily K&lt;/author&gt;&lt;author&gt;Wilson, Kelly G&lt;/author&gt;&lt;author&gt;Merwin, Rhonda M&lt;/author&gt;&lt;author&gt;Kellum, Karen Kate&lt;/author&gt;&lt;/authors&gt;&lt;/contributors&gt;&lt;titles&gt;&lt;title&gt;Assessment of body image flexibility: the body image-acceptance and action questionnaire&lt;/title&gt;&lt;secondary-title&gt;Journal of Contextual Behavioral Science&lt;/secondary-title&gt;&lt;/titles&gt;&lt;periodical&gt;&lt;full-title&gt;Journal of Contextual Behavioral Science&lt;/full-title&gt;&lt;/periodical&gt;&lt;pages&gt;39-48&lt;/pages&gt;&lt;volume&gt;2&lt;/volume&gt;&lt;number&gt;1-2&lt;/number&gt;&lt;dates&gt;&lt;year&gt;2013&lt;/year&gt;&lt;/dates&gt;&lt;isbn&gt;2212-1447&lt;/isbn&gt;&lt;urls&gt;&lt;/urls&gt;&lt;/record&gt;&lt;/Cite&gt;&lt;/EndNote&gt;</w:instrText>
      </w:r>
      <w:r w:rsidR="001A620E" w:rsidRPr="00FA0E4A">
        <w:rPr>
          <w:rFonts w:ascii="Times New Roman" w:hAnsi="Times New Roman" w:cs="Times New Roman"/>
        </w:rPr>
        <w:fldChar w:fldCharType="separate"/>
      </w:r>
      <w:r w:rsidR="0051056C">
        <w:rPr>
          <w:rFonts w:ascii="Times New Roman" w:hAnsi="Times New Roman" w:cs="Times New Roman"/>
          <w:noProof/>
        </w:rPr>
        <w:t>[5]</w:t>
      </w:r>
      <w:r w:rsidR="001A620E" w:rsidRPr="00FA0E4A">
        <w:rPr>
          <w:rFonts w:ascii="Times New Roman" w:hAnsi="Times New Roman" w:cs="Times New Roman"/>
        </w:rPr>
        <w:fldChar w:fldCharType="end"/>
      </w:r>
      <w:r w:rsidR="00777740" w:rsidRPr="00FA0E4A">
        <w:rPr>
          <w:rFonts w:ascii="Times New Roman" w:hAnsi="Times New Roman" w:cs="Times New Roman"/>
        </w:rPr>
        <w:t>, body dissatisfaction as measured by the body dissatisfaction subscale of the Eating Disorder Inventory</w:t>
      </w:r>
      <w:r w:rsidR="001A620E" w:rsidRPr="00FA0E4A">
        <w:rPr>
          <w:rFonts w:ascii="Times New Roman" w:hAnsi="Times New Roman" w:cs="Times New Roman"/>
        </w:rPr>
        <w:t xml:space="preserve"> </w:t>
      </w:r>
      <w:r w:rsidR="001A620E" w:rsidRPr="00FA0E4A">
        <w:rPr>
          <w:rFonts w:ascii="Times New Roman" w:hAnsi="Times New Roman" w:cs="Times New Roman"/>
        </w:rPr>
        <w:fldChar w:fldCharType="begin"/>
      </w:r>
      <w:r w:rsidR="0051056C">
        <w:rPr>
          <w:rFonts w:ascii="Times New Roman" w:hAnsi="Times New Roman" w:cs="Times New Roman"/>
        </w:rPr>
        <w:instrText xml:space="preserve"> ADDIN EN.CITE &lt;EndNote&gt;&lt;Cite&gt;&lt;Author&gt;Leung&lt;/Author&gt;&lt;Year&gt;2004&lt;/Year&gt;&lt;RecNum&gt;95&lt;/RecNum&gt;&lt;DisplayText&gt;[6]&lt;/DisplayText&gt;&lt;record&gt;&lt;rec-number&gt;95&lt;/rec-number&gt;&lt;foreign-keys&gt;&lt;key app="EN" db-id="fdx09rt2kdrewrerrrm5ttfmpwx0vp5xez2x" timestamp="1626597651"&gt;95&lt;/key&gt;&lt;/foreign-keys&gt;&lt;ref-type name="Journal Article"&gt;17&lt;/ref-type&gt;&lt;contributors&gt;&lt;authors&gt;&lt;author&gt;Leung, Freedom&lt;/author&gt;&lt;author&gt;Wang, Jianping&lt;/author&gt;&lt;author&gt;Tang, Carol Wai-yee&lt;/author&gt;&lt;/authors&gt;&lt;/contributors&gt;&lt;titles&gt;&lt;title&gt;Psychometric properties and normative data of the Eating Disorder Inventory among 12 to 18 year old Chinese girls in Hong Kong&lt;/title&gt;&lt;secondary-title&gt;Journal of psychosomatic research&lt;/secondary-title&gt;&lt;/titles&gt;&lt;periodical&gt;&lt;full-title&gt;Journal of psychosomatic research&lt;/full-title&gt;&lt;/periodical&gt;&lt;pages&gt;59-66&lt;/pages&gt;&lt;volume&gt;57&lt;/volume&gt;&lt;number&gt;1&lt;/number&gt;&lt;dates&gt;&lt;year&gt;2004&lt;/year&gt;&lt;/dates&gt;&lt;isbn&gt;0022-3999&lt;/isbn&gt;&lt;urls&gt;&lt;/urls&gt;&lt;/record&gt;&lt;/Cite&gt;&lt;/EndNote&gt;</w:instrText>
      </w:r>
      <w:r w:rsidR="001A620E" w:rsidRPr="00FA0E4A">
        <w:rPr>
          <w:rFonts w:ascii="Times New Roman" w:hAnsi="Times New Roman" w:cs="Times New Roman"/>
        </w:rPr>
        <w:fldChar w:fldCharType="separate"/>
      </w:r>
      <w:r w:rsidR="0051056C">
        <w:rPr>
          <w:rFonts w:ascii="Times New Roman" w:hAnsi="Times New Roman" w:cs="Times New Roman"/>
          <w:noProof/>
        </w:rPr>
        <w:t>[6]</w:t>
      </w:r>
      <w:r w:rsidR="001A620E" w:rsidRPr="00FA0E4A">
        <w:rPr>
          <w:rFonts w:ascii="Times New Roman" w:hAnsi="Times New Roman" w:cs="Times New Roman"/>
        </w:rPr>
        <w:fldChar w:fldCharType="end"/>
      </w:r>
      <w:r w:rsidR="00777740" w:rsidRPr="00FA0E4A">
        <w:rPr>
          <w:rFonts w:ascii="Times New Roman" w:hAnsi="Times New Roman" w:cs="Times New Roman"/>
        </w:rPr>
        <w:t xml:space="preserve">, and </w:t>
      </w:r>
      <w:r w:rsidR="00396EF7">
        <w:rPr>
          <w:rFonts w:ascii="Times New Roman" w:hAnsi="Times New Roman" w:cs="Times New Roman"/>
        </w:rPr>
        <w:t>e</w:t>
      </w:r>
      <w:r w:rsidR="00777740" w:rsidRPr="0051056C">
        <w:rPr>
          <w:rFonts w:ascii="Times New Roman" w:hAnsi="Times New Roman" w:cs="Times New Roman"/>
        </w:rPr>
        <w:t xml:space="preserve">motional </w:t>
      </w:r>
      <w:r w:rsidR="00396EF7">
        <w:rPr>
          <w:rFonts w:ascii="Times New Roman" w:hAnsi="Times New Roman" w:cs="Times New Roman"/>
        </w:rPr>
        <w:t>o</w:t>
      </w:r>
      <w:r w:rsidR="00777740" w:rsidRPr="0051056C">
        <w:rPr>
          <w:rFonts w:ascii="Times New Roman" w:hAnsi="Times New Roman" w:cs="Times New Roman"/>
        </w:rPr>
        <w:t>vereating</w:t>
      </w:r>
      <w:r w:rsidR="001A620E" w:rsidRPr="00FA0E4A">
        <w:rPr>
          <w:rFonts w:ascii="Times New Roman" w:hAnsi="Times New Roman" w:cs="Times New Roman"/>
        </w:rPr>
        <w:t xml:space="preserve"> </w:t>
      </w:r>
      <w:r w:rsidR="00A4486B" w:rsidRPr="00FA0E4A">
        <w:rPr>
          <w:rFonts w:ascii="Times New Roman" w:hAnsi="Times New Roman" w:cs="Times New Roman"/>
        </w:rPr>
        <w:t xml:space="preserve">as measured by the emotional overeating subscale </w:t>
      </w:r>
      <w:r w:rsidR="00396EF7" w:rsidRPr="00FA0E4A">
        <w:rPr>
          <w:rFonts w:ascii="Times New Roman" w:hAnsi="Times New Roman" w:cs="Times New Roman"/>
        </w:rPr>
        <w:t xml:space="preserve">(EOE) </w:t>
      </w:r>
      <w:r w:rsidR="00A4486B" w:rsidRPr="00FA0E4A">
        <w:rPr>
          <w:rFonts w:ascii="Times New Roman" w:hAnsi="Times New Roman" w:cs="Times New Roman"/>
        </w:rPr>
        <w:t>of the Adult Eating Behavior Questionnaire</w:t>
      </w:r>
      <w:r w:rsidR="001A620E" w:rsidRPr="00FA0E4A">
        <w:rPr>
          <w:rFonts w:ascii="Times New Roman" w:hAnsi="Times New Roman" w:cs="Times New Roman"/>
        </w:rPr>
        <w:t xml:space="preserve"> </w:t>
      </w:r>
      <w:r w:rsidR="001A620E" w:rsidRPr="00FA0E4A">
        <w:rPr>
          <w:rFonts w:ascii="Times New Roman" w:hAnsi="Times New Roman" w:cs="Times New Roman"/>
        </w:rPr>
        <w:fldChar w:fldCharType="begin"/>
      </w:r>
      <w:r w:rsidR="0051056C">
        <w:rPr>
          <w:rFonts w:ascii="Times New Roman" w:hAnsi="Times New Roman" w:cs="Times New Roman"/>
        </w:rPr>
        <w:instrText xml:space="preserve"> ADDIN EN.CITE &lt;EndNote&gt;&lt;Cite&gt;&lt;Author&gt;He&lt;/Author&gt;&lt;Year&gt;2019&lt;/Year&gt;&lt;RecNum&gt;73&lt;/RecNum&gt;&lt;DisplayText&gt;[7]&lt;/DisplayText&gt;&lt;record&gt;&lt;rec-number&gt;73&lt;/rec-number&gt;&lt;foreign-keys&gt;&lt;key app="EN" db-id="eezzx2f0022adqe0e9rxrdzi2apfapaw005t" timestamp="1610642264" guid="53624589-8bfd-478a-a611-98801522856b"&gt;73&lt;/key&gt;&lt;/foreign-keys&gt;&lt;ref-type name="Journal Article"&gt;17&lt;/ref-type&gt;&lt;contributors&gt;&lt;authors&gt;&lt;author&gt;He, Jinbo&lt;/author&gt;&lt;author&gt;Sun, Shengyan&lt;/author&gt;&lt;author&gt;Zickgraf, Hana F&lt;/author&gt;&lt;author&gt;Ellis, Jordan M&lt;/author&gt;&lt;author&gt;Fan, Xitao&lt;/author&gt;&lt;/authors&gt;&lt;/contributors&gt;&lt;titles&gt;&lt;title&gt;Assessing appetitive traits among Chinese young adults using the adult eating behavior questionnaire: Factor structure, gender invariance and latent mean differences, and associations with BMI&lt;/title&gt;&lt;secondary-title&gt;Assessment&lt;/secondary-title&gt;&lt;/titles&gt;&lt;periodical&gt;&lt;full-title&gt;Assessment&lt;/full-title&gt;&lt;/periodical&gt;&lt;pages&gt;1073191119864642&lt;/pages&gt;&lt;dates&gt;&lt;year&gt;2019&lt;/year&gt;&lt;/dates&gt;&lt;isbn&gt;1073-1911&lt;/isbn&gt;&lt;urls&gt;&lt;/urls&gt;&lt;/record&gt;&lt;/Cite&gt;&lt;/EndNote&gt;</w:instrText>
      </w:r>
      <w:r w:rsidR="001A620E" w:rsidRPr="00FA0E4A">
        <w:rPr>
          <w:rFonts w:ascii="Times New Roman" w:hAnsi="Times New Roman" w:cs="Times New Roman"/>
        </w:rPr>
        <w:fldChar w:fldCharType="separate"/>
      </w:r>
      <w:r w:rsidR="0051056C">
        <w:rPr>
          <w:rFonts w:ascii="Times New Roman" w:hAnsi="Times New Roman" w:cs="Times New Roman"/>
          <w:noProof/>
        </w:rPr>
        <w:t>[7]</w:t>
      </w:r>
      <w:r w:rsidR="001A620E" w:rsidRPr="00FA0E4A">
        <w:rPr>
          <w:rFonts w:ascii="Times New Roman" w:hAnsi="Times New Roman" w:cs="Times New Roman"/>
        </w:rPr>
        <w:fldChar w:fldCharType="end"/>
      </w:r>
      <w:r w:rsidR="00A4486B" w:rsidRPr="00FA0E4A">
        <w:rPr>
          <w:rFonts w:ascii="Times New Roman" w:hAnsi="Times New Roman" w:cs="Times New Roman"/>
        </w:rPr>
        <w:t>.</w:t>
      </w:r>
      <w:r w:rsidR="00BA2E1B" w:rsidRPr="00FA0E4A">
        <w:rPr>
          <w:rFonts w:ascii="Times New Roman" w:hAnsi="Times New Roman" w:cs="Times New Roman"/>
        </w:rPr>
        <w:t xml:space="preserve"> However, L</w:t>
      </w:r>
      <w:r w:rsidR="001A620E" w:rsidRPr="00FA0E4A">
        <w:rPr>
          <w:rFonts w:ascii="Times New Roman" w:hAnsi="Times New Roman" w:cs="Times New Roman"/>
        </w:rPr>
        <w:t>oss of Control Over Eating was not available in this dataset.</w:t>
      </w:r>
    </w:p>
    <w:p w14:paraId="6323DF6B" w14:textId="2500636D" w:rsidR="00887390" w:rsidRPr="0051056C" w:rsidRDefault="00A4486B" w:rsidP="00FE41EB">
      <w:pPr>
        <w:spacing w:line="480" w:lineRule="auto"/>
        <w:ind w:firstLine="720"/>
        <w:rPr>
          <w:rFonts w:ascii="Times New Roman" w:hAnsi="Times New Roman" w:cs="Times New Roman"/>
        </w:rPr>
      </w:pPr>
      <w:r w:rsidRPr="00FA0E4A">
        <w:rPr>
          <w:rFonts w:ascii="Times New Roman" w:hAnsi="Times New Roman" w:cs="Times New Roman"/>
        </w:rPr>
        <w:t xml:space="preserve">With the same statistical methods described in the main manuscript, results </w:t>
      </w:r>
      <w:r w:rsidR="00FA0E4A">
        <w:rPr>
          <w:rFonts w:ascii="Times New Roman" w:hAnsi="Times New Roman" w:cs="Times New Roman"/>
        </w:rPr>
        <w:t>(</w:t>
      </w:r>
      <w:r w:rsidR="00FA0E4A">
        <w:rPr>
          <w:rFonts w:ascii="Times New Roman" w:hAnsi="Times New Roman" w:cs="Times New Roman" w:hint="eastAsia"/>
        </w:rPr>
        <w:t>a</w:t>
      </w:r>
      <w:r w:rsidR="00FA0E4A">
        <w:rPr>
          <w:rFonts w:ascii="Times New Roman" w:hAnsi="Times New Roman" w:cs="Times New Roman"/>
        </w:rPr>
        <w:t xml:space="preserve">s Figure 1S) </w:t>
      </w:r>
      <w:r w:rsidRPr="00FA0E4A">
        <w:rPr>
          <w:rFonts w:ascii="Times New Roman" w:hAnsi="Times New Roman" w:cs="Times New Roman"/>
        </w:rPr>
        <w:t>showed that</w:t>
      </w:r>
      <w:r w:rsidR="00887390" w:rsidRPr="0051056C">
        <w:rPr>
          <w:rFonts w:ascii="Times New Roman" w:hAnsi="Times New Roman" w:cs="Times New Roman"/>
        </w:rPr>
        <w:t xml:space="preserve"> body image inflexibility, EOE, eating inflexibility, and body dissatisfaction are important features. The feature importance was .46, .22, .19, and .14. This model in classifying those at high risk of </w:t>
      </w:r>
      <w:r w:rsidR="000526C8">
        <w:rPr>
          <w:rFonts w:ascii="Times New Roman" w:hAnsi="Times New Roman" w:cs="Times New Roman"/>
        </w:rPr>
        <w:t>ED</w:t>
      </w:r>
      <w:r w:rsidR="00887390" w:rsidRPr="0051056C">
        <w:rPr>
          <w:rFonts w:ascii="Times New Roman" w:hAnsi="Times New Roman" w:cs="Times New Roman"/>
        </w:rPr>
        <w:t>s in the test subsample had a sensitivity of .51 and a specificity of .77.</w:t>
      </w:r>
    </w:p>
    <w:p w14:paraId="7179D7F1" w14:textId="369BAEE9" w:rsidR="00C2108E" w:rsidRPr="00FA0E4A" w:rsidRDefault="00BA2E1B" w:rsidP="0051056C">
      <w:pPr>
        <w:spacing w:line="480" w:lineRule="auto"/>
        <w:rPr>
          <w:rFonts w:ascii="Times New Roman" w:hAnsi="Times New Roman" w:cs="Times New Roman"/>
          <w:b/>
        </w:rPr>
      </w:pPr>
      <w:r w:rsidRPr="00FA0E4A">
        <w:rPr>
          <w:rFonts w:ascii="Times New Roman" w:hAnsi="Times New Roman" w:cs="Times New Roman"/>
          <w:b/>
        </w:rPr>
        <w:t>Figure</w:t>
      </w:r>
      <w:r w:rsidR="001A620E" w:rsidRPr="00FA0E4A">
        <w:rPr>
          <w:rFonts w:ascii="Times New Roman" w:hAnsi="Times New Roman" w:cs="Times New Roman"/>
          <w:b/>
        </w:rPr>
        <w:t xml:space="preserve"> 1S</w:t>
      </w:r>
      <w:r w:rsidR="00FA0E4A">
        <w:rPr>
          <w:rFonts w:ascii="Times New Roman" w:hAnsi="Times New Roman" w:cs="Times New Roman"/>
          <w:b/>
        </w:rPr>
        <w:t>.</w:t>
      </w:r>
    </w:p>
    <w:p w14:paraId="39E29ACF" w14:textId="717FE898" w:rsidR="001A620E" w:rsidRPr="0051056C" w:rsidRDefault="001A620E" w:rsidP="0051056C">
      <w:pPr>
        <w:spacing w:line="360" w:lineRule="auto"/>
        <w:rPr>
          <w:rFonts w:ascii="Times New Roman" w:hAnsi="Times New Roman" w:cs="Times New Roman"/>
        </w:rPr>
      </w:pPr>
      <w:r w:rsidRPr="00FA0E4A">
        <w:rPr>
          <w:rFonts w:ascii="Times New Roman" w:hAnsi="Times New Roman" w:cs="Times New Roman"/>
        </w:rPr>
        <w:t>Decision Tree for Classifying high risk of EDs</w:t>
      </w:r>
    </w:p>
    <w:p w14:paraId="2E353774" w14:textId="7FCA6FE6" w:rsidR="00107AE7" w:rsidRPr="00FA0E4A" w:rsidRDefault="00107AE7" w:rsidP="00FA0E4A">
      <w:pPr>
        <w:spacing w:line="480" w:lineRule="auto"/>
        <w:ind w:firstLine="720"/>
        <w:jc w:val="center"/>
        <w:rPr>
          <w:rFonts w:ascii="Times New Roman" w:hAnsi="Times New Roman" w:cs="Times New Roman"/>
          <w:b/>
        </w:rPr>
      </w:pPr>
      <w:r w:rsidRPr="00FA0E4A">
        <w:rPr>
          <w:rFonts w:ascii="Times New Roman" w:hAnsi="Times New Roman" w:cs="Times New Roman"/>
          <w:b/>
          <w:noProof/>
        </w:rPr>
        <w:lastRenderedPageBreak/>
        <w:drawing>
          <wp:inline distT="0" distB="0" distL="0" distR="0" wp14:anchorId="1433B82E" wp14:editId="617A5F00">
            <wp:extent cx="4610637" cy="36026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utpu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15740" cy="3606622"/>
                    </a:xfrm>
                    <a:prstGeom prst="rect">
                      <a:avLst/>
                    </a:prstGeom>
                  </pic:spPr>
                </pic:pic>
              </a:graphicData>
            </a:graphic>
          </wp:inline>
        </w:drawing>
      </w:r>
    </w:p>
    <w:p w14:paraId="69E79BE6" w14:textId="57A7D41C" w:rsidR="001A620E" w:rsidRPr="00FA0E4A" w:rsidRDefault="001A620E" w:rsidP="001A620E">
      <w:pPr>
        <w:pStyle w:val="ListParagraph"/>
        <w:spacing w:line="360" w:lineRule="auto"/>
        <w:ind w:left="420" w:firstLineChars="0" w:firstLine="0"/>
        <w:jc w:val="left"/>
        <w:rPr>
          <w:rFonts w:cs="Times New Roman"/>
          <w:bCs/>
        </w:rPr>
      </w:pPr>
      <w:r w:rsidRPr="00FA0E4A">
        <w:rPr>
          <w:rFonts w:cs="Times New Roman"/>
          <w:bCs/>
          <w:i/>
          <w:iCs/>
        </w:rPr>
        <w:t>Note</w:t>
      </w:r>
      <w:r w:rsidRPr="00FA0E4A">
        <w:rPr>
          <w:rFonts w:cs="Times New Roman"/>
          <w:bCs/>
        </w:rPr>
        <w:t>：</w:t>
      </w:r>
      <w:r w:rsidRPr="00FA0E4A">
        <w:rPr>
          <w:rFonts w:cs="Times New Roman"/>
          <w:bCs/>
        </w:rPr>
        <w:t xml:space="preserve">Figure 1S shows the classification tree for high risk of EDs based on the training subsample of the overall dataset. For each internal node, the first line refers to a decision rule with a selected attribute. For a node with branches, its left child node follows the decision rule in the parent node, whereas its right child follows the complement of the decision rule. The second line of each internal node indicates the percentage of samples involved in this node. The third line refers to the percentages of positive (high risk of EDs) samples and that of negative (low risk of EDs) samples within each node. The shade of color refers to the purity of each node, implying the </w:t>
      </w:r>
      <w:r w:rsidR="002D62C6" w:rsidRPr="00FA0E4A">
        <w:rPr>
          <w:rFonts w:cs="Times New Roman"/>
          <w:bCs/>
        </w:rPr>
        <w:t>exten</w:t>
      </w:r>
      <w:r w:rsidR="002D62C6">
        <w:rPr>
          <w:rFonts w:cs="Times New Roman"/>
          <w:bCs/>
        </w:rPr>
        <w:t xml:space="preserve">t </w:t>
      </w:r>
      <w:r w:rsidRPr="00FA0E4A">
        <w:rPr>
          <w:rFonts w:cs="Times New Roman"/>
          <w:bCs/>
        </w:rPr>
        <w:t xml:space="preserve">of a mixture of groups for a subset of samples. The dark color means more samples belong to one group. Lastly, </w:t>
      </w:r>
      <w:r w:rsidRPr="00FA0E4A">
        <w:rPr>
          <w:rFonts w:cs="Times New Roman"/>
          <w:bCs/>
          <w:i/>
        </w:rPr>
        <w:t>class</w:t>
      </w:r>
      <w:r w:rsidRPr="00FA0E4A">
        <w:rPr>
          <w:rFonts w:cs="Times New Roman"/>
          <w:bCs/>
        </w:rPr>
        <w:t xml:space="preserve"> in each box indicates whether</w:t>
      </w:r>
      <w:r w:rsidR="00256539">
        <w:rPr>
          <w:rFonts w:cs="Times New Roman"/>
          <w:bCs/>
        </w:rPr>
        <w:t xml:space="preserve"> high risk of</w:t>
      </w:r>
      <w:r w:rsidRPr="00FA0E4A">
        <w:rPr>
          <w:rFonts w:cs="Times New Roman"/>
          <w:bCs/>
        </w:rPr>
        <w:t xml:space="preserve"> EDs</w:t>
      </w:r>
      <w:r w:rsidR="002D62C6">
        <w:rPr>
          <w:rFonts w:cs="Times New Roman"/>
          <w:bCs/>
        </w:rPr>
        <w:t xml:space="preserve"> </w:t>
      </w:r>
      <w:r w:rsidRPr="00FA0E4A">
        <w:rPr>
          <w:rFonts w:cs="Times New Roman"/>
          <w:bCs/>
        </w:rPr>
        <w:t xml:space="preserve">is more prevalent in the node. Blue boxes with </w:t>
      </w:r>
      <w:r w:rsidRPr="00FA0E4A">
        <w:rPr>
          <w:rFonts w:cs="Times New Roman"/>
          <w:bCs/>
          <w:i/>
        </w:rPr>
        <w:t>class = yes</w:t>
      </w:r>
      <w:r w:rsidRPr="00FA0E4A">
        <w:rPr>
          <w:rFonts w:cs="Times New Roman"/>
          <w:bCs/>
        </w:rPr>
        <w:t xml:space="preserve"> indicate high risk of EDs is more prevalent</w:t>
      </w:r>
      <w:r w:rsidR="00504CF8">
        <w:rPr>
          <w:rFonts w:cs="Times New Roman"/>
          <w:bCs/>
        </w:rPr>
        <w:t>,</w:t>
      </w:r>
      <w:r w:rsidRPr="00FA0E4A">
        <w:rPr>
          <w:rFonts w:cs="Times New Roman"/>
          <w:bCs/>
        </w:rPr>
        <w:t xml:space="preserve"> whereas orange boxes with </w:t>
      </w:r>
      <w:r w:rsidRPr="00FA0E4A">
        <w:rPr>
          <w:rFonts w:cs="Times New Roman"/>
          <w:bCs/>
          <w:i/>
        </w:rPr>
        <w:t>class = no</w:t>
      </w:r>
      <w:r w:rsidRPr="00FA0E4A">
        <w:rPr>
          <w:rFonts w:cs="Times New Roman"/>
          <w:bCs/>
        </w:rPr>
        <w:t xml:space="preserve"> indicate the subgroups contain more people with low risk of EDs, based on SCOFF scores.</w:t>
      </w:r>
    </w:p>
    <w:p w14:paraId="6C6A0917" w14:textId="7EBEAB1E" w:rsidR="0051056C" w:rsidRDefault="0051056C" w:rsidP="009B60CE">
      <w:pPr>
        <w:rPr>
          <w:rFonts w:ascii="Times New Roman" w:hAnsi="Times New Roman" w:cs="Times New Roman"/>
        </w:rPr>
      </w:pPr>
      <w:r>
        <w:rPr>
          <w:rFonts w:ascii="Times New Roman" w:hAnsi="Times New Roman" w:cs="Times New Roman"/>
        </w:rPr>
        <w:br w:type="page"/>
      </w:r>
    </w:p>
    <w:p w14:paraId="4D349B79" w14:textId="77777777" w:rsidR="00FA0E4A" w:rsidRPr="00083155" w:rsidRDefault="00FA0E4A" w:rsidP="00FA0E4A">
      <w:pPr>
        <w:rPr>
          <w:rFonts w:ascii="Times New Roman" w:hAnsi="Times New Roman" w:cs="Times New Roman"/>
          <w:b/>
          <w:bCs/>
        </w:rPr>
      </w:pPr>
      <w:r w:rsidRPr="00083155">
        <w:rPr>
          <w:rFonts w:ascii="Times New Roman" w:hAnsi="Times New Roman" w:cs="Times New Roman"/>
          <w:b/>
          <w:bCs/>
        </w:rPr>
        <w:lastRenderedPageBreak/>
        <w:t>References</w:t>
      </w:r>
    </w:p>
    <w:p w14:paraId="763D6205" w14:textId="77777777" w:rsidR="00FA0E4A" w:rsidRPr="00FA0E4A" w:rsidRDefault="00FA0E4A" w:rsidP="00FA0E4A">
      <w:pPr>
        <w:rPr>
          <w:rFonts w:ascii="Times New Roman" w:hAnsi="Times New Roman" w:cs="Times New Roman"/>
        </w:rPr>
      </w:pPr>
    </w:p>
    <w:p w14:paraId="3991E500" w14:textId="14526FAD" w:rsidR="0051056C" w:rsidRPr="00256539" w:rsidRDefault="00FA0E4A" w:rsidP="0051056C">
      <w:pPr>
        <w:pStyle w:val="EndNoteBibliography"/>
        <w:ind w:left="720" w:hanging="720"/>
        <w:rPr>
          <w:rFonts w:ascii="Times New Roman" w:hAnsi="Times New Roman" w:cs="Times New Roman"/>
          <w:noProof/>
        </w:rPr>
      </w:pPr>
      <w:r w:rsidRPr="00504CF8">
        <w:rPr>
          <w:rFonts w:ascii="Times New Roman" w:hAnsi="Times New Roman" w:cs="Times New Roman"/>
        </w:rPr>
        <w:fldChar w:fldCharType="begin"/>
      </w:r>
      <w:r w:rsidRPr="00504CF8">
        <w:rPr>
          <w:rFonts w:ascii="Times New Roman" w:hAnsi="Times New Roman" w:cs="Times New Roman"/>
        </w:rPr>
        <w:instrText xml:space="preserve"> ADDIN EN.REFLIST </w:instrText>
      </w:r>
      <w:r w:rsidRPr="00504CF8">
        <w:rPr>
          <w:rFonts w:ascii="Times New Roman" w:hAnsi="Times New Roman" w:cs="Times New Roman"/>
        </w:rPr>
        <w:fldChar w:fldCharType="separate"/>
      </w:r>
      <w:r w:rsidR="0051056C" w:rsidRPr="00256539">
        <w:rPr>
          <w:rFonts w:ascii="Times New Roman" w:hAnsi="Times New Roman" w:cs="Times New Roman"/>
          <w:noProof/>
        </w:rPr>
        <w:t>1.</w:t>
      </w:r>
      <w:r w:rsidR="0051056C" w:rsidRPr="00256539">
        <w:rPr>
          <w:rFonts w:ascii="Times New Roman" w:hAnsi="Times New Roman" w:cs="Times New Roman"/>
          <w:noProof/>
        </w:rPr>
        <w:tab/>
        <w:t xml:space="preserve">He J, Sun S, Fan X: </w:t>
      </w:r>
      <w:r w:rsidR="0051056C" w:rsidRPr="00256539">
        <w:rPr>
          <w:rFonts w:ascii="Times New Roman" w:hAnsi="Times New Roman" w:cs="Times New Roman"/>
          <w:b/>
          <w:noProof/>
        </w:rPr>
        <w:t>Validation of the 12-item Short Form of the Eating Disorder Examination Questionnaire in the Chinese context: confirmatory factor analysis and Rasch analysis</w:t>
      </w:r>
      <w:r w:rsidR="0051056C" w:rsidRPr="00256539">
        <w:rPr>
          <w:rFonts w:ascii="Times New Roman" w:hAnsi="Times New Roman" w:cs="Times New Roman"/>
          <w:noProof/>
        </w:rPr>
        <w:t xml:space="preserve">. </w:t>
      </w:r>
      <w:r w:rsidR="0051056C" w:rsidRPr="00256539">
        <w:rPr>
          <w:rFonts w:ascii="Times New Roman" w:hAnsi="Times New Roman" w:cs="Times New Roman"/>
          <w:i/>
          <w:noProof/>
        </w:rPr>
        <w:t xml:space="preserve">Eat Weight Disord </w:t>
      </w:r>
      <w:r w:rsidR="0051056C" w:rsidRPr="00256539">
        <w:rPr>
          <w:rFonts w:ascii="Times New Roman" w:hAnsi="Times New Roman" w:cs="Times New Roman"/>
          <w:noProof/>
        </w:rPr>
        <w:t xml:space="preserve">2021, </w:t>
      </w:r>
      <w:r w:rsidR="0051056C" w:rsidRPr="00256539">
        <w:rPr>
          <w:rFonts w:ascii="Times New Roman" w:hAnsi="Times New Roman" w:cs="Times New Roman"/>
          <w:b/>
          <w:noProof/>
        </w:rPr>
        <w:t>26</w:t>
      </w:r>
      <w:r w:rsidR="0051056C" w:rsidRPr="00256539">
        <w:rPr>
          <w:rFonts w:ascii="Times New Roman" w:hAnsi="Times New Roman" w:cs="Times New Roman"/>
          <w:noProof/>
        </w:rPr>
        <w:t>(1):201-209.</w:t>
      </w:r>
      <w:hyperlink r:id="rId10" w:history="1">
        <w:r w:rsidR="0051056C" w:rsidRPr="00256539">
          <w:rPr>
            <w:rStyle w:val="Hyperlink"/>
            <w:rFonts w:ascii="Times New Roman" w:hAnsi="Times New Roman" w:cs="Times New Roman"/>
            <w:noProof/>
          </w:rPr>
          <w:t>https://doi.org/10.1007/s40519-019-00840-3</w:t>
        </w:r>
      </w:hyperlink>
    </w:p>
    <w:p w14:paraId="18B1EE0D" w14:textId="6B6DC8F5" w:rsidR="0051056C" w:rsidRPr="00256539" w:rsidRDefault="0051056C" w:rsidP="0051056C">
      <w:pPr>
        <w:pStyle w:val="EndNoteBibliography"/>
        <w:ind w:left="720" w:hanging="720"/>
        <w:rPr>
          <w:rFonts w:ascii="Times New Roman" w:hAnsi="Times New Roman" w:cs="Times New Roman"/>
          <w:noProof/>
        </w:rPr>
      </w:pPr>
      <w:r w:rsidRPr="00256539">
        <w:rPr>
          <w:rFonts w:ascii="Times New Roman" w:hAnsi="Times New Roman" w:cs="Times New Roman"/>
          <w:noProof/>
        </w:rPr>
        <w:t>2.</w:t>
      </w:r>
      <w:r w:rsidRPr="00256539">
        <w:rPr>
          <w:rFonts w:ascii="Times New Roman" w:hAnsi="Times New Roman" w:cs="Times New Roman"/>
          <w:noProof/>
        </w:rPr>
        <w:tab/>
        <w:t xml:space="preserve">Morgan JF, Reid F, Lacey JH: </w:t>
      </w:r>
      <w:r w:rsidRPr="00256539">
        <w:rPr>
          <w:rFonts w:ascii="Times New Roman" w:hAnsi="Times New Roman" w:cs="Times New Roman"/>
          <w:b/>
          <w:noProof/>
        </w:rPr>
        <w:t>The SCOFF questionnaire: assessment of a new screening tool for eating disorders</w:t>
      </w:r>
      <w:r w:rsidRPr="00256539">
        <w:rPr>
          <w:rFonts w:ascii="Times New Roman" w:hAnsi="Times New Roman" w:cs="Times New Roman"/>
          <w:noProof/>
        </w:rPr>
        <w:t xml:space="preserve">. </w:t>
      </w:r>
      <w:r w:rsidRPr="00256539">
        <w:rPr>
          <w:rFonts w:ascii="Times New Roman" w:hAnsi="Times New Roman" w:cs="Times New Roman"/>
          <w:i/>
          <w:noProof/>
        </w:rPr>
        <w:t xml:space="preserve">Bmj </w:t>
      </w:r>
      <w:r w:rsidRPr="00256539">
        <w:rPr>
          <w:rFonts w:ascii="Times New Roman" w:hAnsi="Times New Roman" w:cs="Times New Roman"/>
          <w:noProof/>
        </w:rPr>
        <w:t xml:space="preserve">1999, </w:t>
      </w:r>
      <w:r w:rsidRPr="00256539">
        <w:rPr>
          <w:rFonts w:ascii="Times New Roman" w:hAnsi="Times New Roman" w:cs="Times New Roman"/>
          <w:b/>
          <w:noProof/>
        </w:rPr>
        <w:t>319</w:t>
      </w:r>
      <w:r w:rsidRPr="00256539">
        <w:rPr>
          <w:rFonts w:ascii="Times New Roman" w:hAnsi="Times New Roman" w:cs="Times New Roman"/>
          <w:noProof/>
        </w:rPr>
        <w:t>(7223):1467-1468</w:t>
      </w:r>
      <w:bookmarkStart w:id="5" w:name="OLE_LINK148"/>
      <w:bookmarkStart w:id="6" w:name="OLE_LINK149"/>
      <w:r w:rsidRPr="00256539">
        <w:rPr>
          <w:rFonts w:ascii="Times New Roman" w:hAnsi="Times New Roman" w:cs="Times New Roman"/>
          <w:noProof/>
        </w:rPr>
        <w:t xml:space="preserve"> </w:t>
      </w:r>
      <w:r w:rsidRPr="00504CF8">
        <w:rPr>
          <w:rFonts w:ascii="Times New Roman" w:hAnsi="Times New Roman" w:cs="Times New Roman"/>
          <w:noProof/>
        </w:rPr>
        <w:t>https://doi.org/10.1136/bmj.319.7223.1467</w:t>
      </w:r>
      <w:bookmarkEnd w:id="5"/>
      <w:bookmarkEnd w:id="6"/>
    </w:p>
    <w:p w14:paraId="6995B884" w14:textId="77777777" w:rsidR="0051056C" w:rsidRPr="00256539" w:rsidRDefault="0051056C" w:rsidP="0051056C">
      <w:pPr>
        <w:pStyle w:val="EndNoteBibliography"/>
        <w:ind w:left="720" w:hanging="720"/>
        <w:rPr>
          <w:rFonts w:ascii="Times New Roman" w:hAnsi="Times New Roman" w:cs="Times New Roman"/>
          <w:noProof/>
        </w:rPr>
      </w:pPr>
      <w:r w:rsidRPr="00256539">
        <w:rPr>
          <w:rFonts w:ascii="Times New Roman" w:hAnsi="Times New Roman" w:cs="Times New Roman"/>
          <w:noProof/>
        </w:rPr>
        <w:t>3.</w:t>
      </w:r>
      <w:r w:rsidRPr="00256539">
        <w:rPr>
          <w:rFonts w:ascii="Times New Roman" w:hAnsi="Times New Roman" w:cs="Times New Roman"/>
          <w:noProof/>
        </w:rPr>
        <w:tab/>
        <w:t xml:space="preserve">Kessler R, Mroczek D: </w:t>
      </w:r>
      <w:r w:rsidRPr="00256539">
        <w:rPr>
          <w:rFonts w:ascii="Times New Roman" w:hAnsi="Times New Roman" w:cs="Times New Roman"/>
          <w:b/>
          <w:noProof/>
        </w:rPr>
        <w:t>Final versions of our non-specific psychological distress scale</w:t>
      </w:r>
      <w:r w:rsidRPr="00256539">
        <w:rPr>
          <w:rFonts w:ascii="Times New Roman" w:hAnsi="Times New Roman" w:cs="Times New Roman"/>
          <w:noProof/>
        </w:rPr>
        <w:t xml:space="preserve">. </w:t>
      </w:r>
      <w:r w:rsidRPr="00256539">
        <w:rPr>
          <w:rFonts w:ascii="Times New Roman" w:hAnsi="Times New Roman" w:cs="Times New Roman"/>
          <w:i/>
          <w:noProof/>
        </w:rPr>
        <w:t xml:space="preserve">Ann Arbor, MI: Survey Research Center of the Institute for Social Research, University of Michigan </w:t>
      </w:r>
      <w:r w:rsidRPr="00256539">
        <w:rPr>
          <w:rFonts w:ascii="Times New Roman" w:hAnsi="Times New Roman" w:cs="Times New Roman"/>
          <w:noProof/>
        </w:rPr>
        <w:t>1994</w:t>
      </w:r>
    </w:p>
    <w:p w14:paraId="0D092384" w14:textId="177A29FC" w:rsidR="0051056C" w:rsidRPr="00256539" w:rsidRDefault="0051056C" w:rsidP="0051056C">
      <w:pPr>
        <w:pStyle w:val="EndNoteBibliography"/>
        <w:ind w:left="720" w:hanging="720"/>
        <w:rPr>
          <w:rFonts w:ascii="Times New Roman" w:hAnsi="Times New Roman" w:cs="Times New Roman"/>
          <w:noProof/>
        </w:rPr>
      </w:pPr>
      <w:r w:rsidRPr="00256539">
        <w:rPr>
          <w:rFonts w:ascii="Times New Roman" w:hAnsi="Times New Roman" w:cs="Times New Roman"/>
          <w:noProof/>
        </w:rPr>
        <w:t>4.</w:t>
      </w:r>
      <w:r w:rsidRPr="00256539">
        <w:rPr>
          <w:rFonts w:ascii="Times New Roman" w:hAnsi="Times New Roman" w:cs="Times New Roman"/>
          <w:noProof/>
        </w:rPr>
        <w:tab/>
        <w:t xml:space="preserve">Duarte C, Ferreira C, Pinto-Gouveia J, Trindade I, Martinho A: </w:t>
      </w:r>
      <w:r w:rsidRPr="00256539">
        <w:rPr>
          <w:rFonts w:ascii="Times New Roman" w:hAnsi="Times New Roman" w:cs="Times New Roman"/>
          <w:b/>
          <w:noProof/>
        </w:rPr>
        <w:t>What makes dietary restraint problematic? Development and validation of the Inflexible Eating Questionnaire</w:t>
      </w:r>
      <w:r w:rsidRPr="00256539">
        <w:rPr>
          <w:rFonts w:ascii="Times New Roman" w:hAnsi="Times New Roman" w:cs="Times New Roman"/>
          <w:noProof/>
        </w:rPr>
        <w:t xml:space="preserve">. </w:t>
      </w:r>
      <w:r w:rsidRPr="00256539">
        <w:rPr>
          <w:rFonts w:ascii="Times New Roman" w:hAnsi="Times New Roman" w:cs="Times New Roman"/>
          <w:i/>
          <w:noProof/>
        </w:rPr>
        <w:t xml:space="preserve">Appetite </w:t>
      </w:r>
      <w:r w:rsidRPr="00256539">
        <w:rPr>
          <w:rFonts w:ascii="Times New Roman" w:hAnsi="Times New Roman" w:cs="Times New Roman"/>
          <w:noProof/>
        </w:rPr>
        <w:t xml:space="preserve">2017, </w:t>
      </w:r>
      <w:r w:rsidRPr="00256539">
        <w:rPr>
          <w:rFonts w:ascii="Times New Roman" w:hAnsi="Times New Roman" w:cs="Times New Roman"/>
          <w:b/>
          <w:noProof/>
        </w:rPr>
        <w:t>114</w:t>
      </w:r>
      <w:r w:rsidRPr="00256539">
        <w:rPr>
          <w:rFonts w:ascii="Times New Roman" w:hAnsi="Times New Roman" w:cs="Times New Roman"/>
          <w:noProof/>
        </w:rPr>
        <w:t>:146-154</w:t>
      </w:r>
      <w:r w:rsidRPr="00504CF8">
        <w:rPr>
          <w:rFonts w:ascii="Times New Roman" w:hAnsi="Times New Roman" w:cs="Times New Roman"/>
          <w:noProof/>
        </w:rPr>
        <w:t xml:space="preserve"> https://doi.org/10.1016/j.appet.2017.03.034</w:t>
      </w:r>
    </w:p>
    <w:p w14:paraId="62EFB7F2" w14:textId="79852C68" w:rsidR="0051056C" w:rsidRPr="00256539" w:rsidRDefault="0051056C" w:rsidP="0051056C">
      <w:pPr>
        <w:pStyle w:val="EndNoteBibliography"/>
        <w:ind w:left="720" w:hanging="720"/>
        <w:rPr>
          <w:rFonts w:ascii="Times New Roman" w:hAnsi="Times New Roman" w:cs="Times New Roman"/>
          <w:noProof/>
        </w:rPr>
      </w:pPr>
      <w:r w:rsidRPr="00256539">
        <w:rPr>
          <w:rFonts w:ascii="Times New Roman" w:hAnsi="Times New Roman" w:cs="Times New Roman"/>
          <w:noProof/>
        </w:rPr>
        <w:t>5.</w:t>
      </w:r>
      <w:r w:rsidRPr="00256539">
        <w:rPr>
          <w:rFonts w:ascii="Times New Roman" w:hAnsi="Times New Roman" w:cs="Times New Roman"/>
          <w:noProof/>
        </w:rPr>
        <w:tab/>
        <w:t xml:space="preserve">Sandoz EK, Wilson KG, Merwin RM, Kellum KK: </w:t>
      </w:r>
      <w:r w:rsidRPr="00256539">
        <w:rPr>
          <w:rFonts w:ascii="Times New Roman" w:hAnsi="Times New Roman" w:cs="Times New Roman"/>
          <w:b/>
          <w:noProof/>
        </w:rPr>
        <w:t>Assessment of body image flexibility: the body image-acceptance and action questionnaire</w:t>
      </w:r>
      <w:r w:rsidRPr="00256539">
        <w:rPr>
          <w:rFonts w:ascii="Times New Roman" w:hAnsi="Times New Roman" w:cs="Times New Roman"/>
          <w:noProof/>
        </w:rPr>
        <w:t xml:space="preserve">. </w:t>
      </w:r>
      <w:r w:rsidRPr="00256539">
        <w:rPr>
          <w:rFonts w:ascii="Times New Roman" w:hAnsi="Times New Roman" w:cs="Times New Roman"/>
          <w:i/>
          <w:noProof/>
        </w:rPr>
        <w:t xml:space="preserve">Journal of Contextual Behavioral Science </w:t>
      </w:r>
      <w:r w:rsidRPr="00256539">
        <w:rPr>
          <w:rFonts w:ascii="Times New Roman" w:hAnsi="Times New Roman" w:cs="Times New Roman"/>
          <w:noProof/>
        </w:rPr>
        <w:t xml:space="preserve">2013, </w:t>
      </w:r>
      <w:r w:rsidRPr="00256539">
        <w:rPr>
          <w:rFonts w:ascii="Times New Roman" w:hAnsi="Times New Roman" w:cs="Times New Roman"/>
          <w:b/>
          <w:noProof/>
        </w:rPr>
        <w:t>2</w:t>
      </w:r>
      <w:r w:rsidRPr="00256539">
        <w:rPr>
          <w:rFonts w:ascii="Times New Roman" w:hAnsi="Times New Roman" w:cs="Times New Roman"/>
          <w:noProof/>
        </w:rPr>
        <w:t xml:space="preserve">(1-2):39-48 </w:t>
      </w:r>
      <w:hyperlink r:id="rId11" w:tgtFrame="_blank" w:history="1">
        <w:r w:rsidRPr="00504CF8">
          <w:rPr>
            <w:rStyle w:val="Hyperlink"/>
            <w:rFonts w:ascii="Times New Roman" w:hAnsi="Times New Roman" w:cs="Times New Roman"/>
            <w:noProof/>
          </w:rPr>
          <w:t>https://doi.org/10.1016/j.brat.2005.06.006</w:t>
        </w:r>
      </w:hyperlink>
    </w:p>
    <w:p w14:paraId="3559D9E8" w14:textId="2D17253D" w:rsidR="0051056C" w:rsidRPr="00256539" w:rsidRDefault="0051056C" w:rsidP="0051056C">
      <w:pPr>
        <w:pStyle w:val="EndNoteBibliography"/>
        <w:ind w:left="720" w:hanging="720"/>
        <w:rPr>
          <w:rFonts w:ascii="Times New Roman" w:hAnsi="Times New Roman" w:cs="Times New Roman"/>
          <w:noProof/>
        </w:rPr>
      </w:pPr>
      <w:r w:rsidRPr="00256539">
        <w:rPr>
          <w:rFonts w:ascii="Times New Roman" w:hAnsi="Times New Roman" w:cs="Times New Roman"/>
          <w:noProof/>
        </w:rPr>
        <w:t>6.</w:t>
      </w:r>
      <w:r w:rsidRPr="00256539">
        <w:rPr>
          <w:rFonts w:ascii="Times New Roman" w:hAnsi="Times New Roman" w:cs="Times New Roman"/>
          <w:noProof/>
        </w:rPr>
        <w:tab/>
        <w:t xml:space="preserve">Leung F, Wang J, Tang CW-y: </w:t>
      </w:r>
      <w:r w:rsidRPr="00256539">
        <w:rPr>
          <w:rFonts w:ascii="Times New Roman" w:hAnsi="Times New Roman" w:cs="Times New Roman"/>
          <w:b/>
          <w:noProof/>
        </w:rPr>
        <w:t>Psychometric properties and normative data of the Eating Disorder Inventory among 12 to 18 year old Chinese girls in Hong Kong</w:t>
      </w:r>
      <w:r w:rsidRPr="00256539">
        <w:rPr>
          <w:rFonts w:ascii="Times New Roman" w:hAnsi="Times New Roman" w:cs="Times New Roman"/>
          <w:noProof/>
        </w:rPr>
        <w:t xml:space="preserve">. </w:t>
      </w:r>
      <w:r w:rsidRPr="00256539">
        <w:rPr>
          <w:rFonts w:ascii="Times New Roman" w:hAnsi="Times New Roman" w:cs="Times New Roman"/>
          <w:i/>
          <w:noProof/>
        </w:rPr>
        <w:t xml:space="preserve">Journal of psychosomatic research </w:t>
      </w:r>
      <w:r w:rsidRPr="00256539">
        <w:rPr>
          <w:rFonts w:ascii="Times New Roman" w:hAnsi="Times New Roman" w:cs="Times New Roman"/>
          <w:noProof/>
        </w:rPr>
        <w:t xml:space="preserve">2004, </w:t>
      </w:r>
      <w:r w:rsidRPr="00256539">
        <w:rPr>
          <w:rFonts w:ascii="Times New Roman" w:hAnsi="Times New Roman" w:cs="Times New Roman"/>
          <w:b/>
          <w:noProof/>
        </w:rPr>
        <w:t>57</w:t>
      </w:r>
      <w:r w:rsidRPr="00256539">
        <w:rPr>
          <w:rFonts w:ascii="Times New Roman" w:hAnsi="Times New Roman" w:cs="Times New Roman"/>
          <w:noProof/>
        </w:rPr>
        <w:t xml:space="preserve">(1):59-66 </w:t>
      </w:r>
      <w:hyperlink r:id="rId12" w:history="1">
        <w:r w:rsidRPr="00504CF8">
          <w:rPr>
            <w:rStyle w:val="Hyperlink"/>
            <w:rFonts w:ascii="Times New Roman" w:hAnsi="Times New Roman" w:cs="Times New Roman"/>
            <w:noProof/>
          </w:rPr>
          <w:t>https://doi.org/10.1002/(sici)1098-108x(199703)21:2</w:t>
        </w:r>
      </w:hyperlink>
      <w:r w:rsidRPr="00504CF8">
        <w:rPr>
          <w:rFonts w:ascii="Times New Roman" w:hAnsi="Times New Roman" w:cs="Times New Roman"/>
          <w:noProof/>
        </w:rPr>
        <w:t>&lt;187::aid-eat10&gt;3.0.co;2-#</w:t>
      </w:r>
    </w:p>
    <w:p w14:paraId="57F8C097" w14:textId="06677F95" w:rsidR="0051056C" w:rsidRPr="00256539" w:rsidRDefault="0051056C" w:rsidP="0051056C">
      <w:pPr>
        <w:pStyle w:val="EndNoteBibliography"/>
        <w:ind w:left="720" w:hanging="720"/>
        <w:rPr>
          <w:rFonts w:ascii="Times New Roman" w:hAnsi="Times New Roman" w:cs="Times New Roman"/>
          <w:noProof/>
        </w:rPr>
      </w:pPr>
      <w:r w:rsidRPr="00256539">
        <w:rPr>
          <w:rFonts w:ascii="Times New Roman" w:hAnsi="Times New Roman" w:cs="Times New Roman"/>
          <w:noProof/>
        </w:rPr>
        <w:t>7.</w:t>
      </w:r>
      <w:r w:rsidRPr="00256539">
        <w:rPr>
          <w:rFonts w:ascii="Times New Roman" w:hAnsi="Times New Roman" w:cs="Times New Roman"/>
          <w:noProof/>
        </w:rPr>
        <w:tab/>
        <w:t xml:space="preserve">He J, Sun S, Zickgraf HF, Ellis JM, Fan X: </w:t>
      </w:r>
      <w:r w:rsidRPr="00256539">
        <w:rPr>
          <w:rFonts w:ascii="Times New Roman" w:hAnsi="Times New Roman" w:cs="Times New Roman"/>
          <w:b/>
          <w:noProof/>
        </w:rPr>
        <w:t>Assessing appetitive traits among Chinese young adults using the adult eating behavior questionnaire: Factor structure, gender invariance and latent mean differences, and associations with BMI</w:t>
      </w:r>
      <w:r w:rsidRPr="00256539">
        <w:rPr>
          <w:rFonts w:ascii="Times New Roman" w:hAnsi="Times New Roman" w:cs="Times New Roman"/>
          <w:noProof/>
        </w:rPr>
        <w:t xml:space="preserve">. </w:t>
      </w:r>
      <w:r w:rsidRPr="00256539">
        <w:rPr>
          <w:rFonts w:ascii="Times New Roman" w:hAnsi="Times New Roman" w:cs="Times New Roman"/>
          <w:i/>
          <w:noProof/>
        </w:rPr>
        <w:t xml:space="preserve">Assessment </w:t>
      </w:r>
      <w:r w:rsidRPr="00256539">
        <w:rPr>
          <w:rFonts w:ascii="Times New Roman" w:hAnsi="Times New Roman" w:cs="Times New Roman"/>
          <w:noProof/>
        </w:rPr>
        <w:t>2019:1073191119864642  https://doi.org/10.1007/s40519-019-00840-3</w:t>
      </w:r>
    </w:p>
    <w:p w14:paraId="58F0210E" w14:textId="2CD73AD5" w:rsidR="00942E81" w:rsidRPr="00A22D3B" w:rsidRDefault="00FA0E4A" w:rsidP="009B60CE">
      <w:r w:rsidRPr="00504CF8">
        <w:rPr>
          <w:rFonts w:ascii="Times New Roman" w:hAnsi="Times New Roman" w:cs="Times New Roman"/>
        </w:rPr>
        <w:fldChar w:fldCharType="end"/>
      </w:r>
    </w:p>
    <w:sectPr w:rsidR="00942E81" w:rsidRPr="00A22D3B" w:rsidSect="00FE41EB">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BA97D" w14:textId="77777777" w:rsidR="003A5A99" w:rsidRDefault="003A5A99" w:rsidP="0051056C">
      <w:r>
        <w:separator/>
      </w:r>
    </w:p>
  </w:endnote>
  <w:endnote w:type="continuationSeparator" w:id="0">
    <w:p w14:paraId="3BF000D1" w14:textId="77777777" w:rsidR="003A5A99" w:rsidRDefault="003A5A99" w:rsidP="00510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正文 CS 字体)">
    <w:altName w:val="SimSun"/>
    <w:panose1 w:val="020B0604020202020204"/>
    <w:charset w:val="00"/>
    <w:family w:val="roman"/>
    <w:pitch w:val="variable"/>
    <w:sig w:usb0="E0002AE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83321909"/>
      <w:docPartObj>
        <w:docPartGallery w:val="Page Numbers (Bottom of Page)"/>
        <w:docPartUnique/>
      </w:docPartObj>
    </w:sdtPr>
    <w:sdtEndPr>
      <w:rPr>
        <w:rStyle w:val="PageNumber"/>
      </w:rPr>
    </w:sdtEndPr>
    <w:sdtContent>
      <w:p w14:paraId="1F3EB51F" w14:textId="650C7AAE" w:rsidR="0051056C" w:rsidRDefault="0051056C" w:rsidP="0051056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319C8F1" w14:textId="77777777" w:rsidR="0051056C" w:rsidRDefault="0051056C" w:rsidP="0051056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18951958"/>
      <w:docPartObj>
        <w:docPartGallery w:val="Page Numbers (Bottom of Page)"/>
        <w:docPartUnique/>
      </w:docPartObj>
    </w:sdtPr>
    <w:sdtEndPr>
      <w:rPr>
        <w:rStyle w:val="PageNumber"/>
      </w:rPr>
    </w:sdtEndPr>
    <w:sdtContent>
      <w:p w14:paraId="5CA2D298" w14:textId="277E2A71" w:rsidR="0051056C" w:rsidRDefault="0051056C" w:rsidP="0051056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38551DF" w14:textId="77777777" w:rsidR="0051056C" w:rsidRDefault="0051056C" w:rsidP="0051056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99789" w14:textId="77777777" w:rsidR="003A5A99" w:rsidRDefault="003A5A99" w:rsidP="0051056C">
      <w:r>
        <w:separator/>
      </w:r>
    </w:p>
  </w:footnote>
  <w:footnote w:type="continuationSeparator" w:id="0">
    <w:p w14:paraId="1B550079" w14:textId="77777777" w:rsidR="003A5A99" w:rsidRDefault="003A5A99" w:rsidP="005105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BMC Psychiatry DOI&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E846B1"/>
    <w:rsid w:val="00002FC3"/>
    <w:rsid w:val="00012A50"/>
    <w:rsid w:val="0003729E"/>
    <w:rsid w:val="000526C8"/>
    <w:rsid w:val="000550DC"/>
    <w:rsid w:val="00087E71"/>
    <w:rsid w:val="00092325"/>
    <w:rsid w:val="000D18C5"/>
    <w:rsid w:val="000D4889"/>
    <w:rsid w:val="000E2FC7"/>
    <w:rsid w:val="00105521"/>
    <w:rsid w:val="00107AE7"/>
    <w:rsid w:val="00171480"/>
    <w:rsid w:val="00195A43"/>
    <w:rsid w:val="001A620E"/>
    <w:rsid w:val="001B1354"/>
    <w:rsid w:val="00244782"/>
    <w:rsid w:val="00256539"/>
    <w:rsid w:val="00287751"/>
    <w:rsid w:val="002D62C6"/>
    <w:rsid w:val="00317E76"/>
    <w:rsid w:val="00322DBA"/>
    <w:rsid w:val="00330237"/>
    <w:rsid w:val="003778DD"/>
    <w:rsid w:val="00396EF7"/>
    <w:rsid w:val="003A5A99"/>
    <w:rsid w:val="003D46F8"/>
    <w:rsid w:val="003E6340"/>
    <w:rsid w:val="0041588A"/>
    <w:rsid w:val="00431E83"/>
    <w:rsid w:val="0048587D"/>
    <w:rsid w:val="004D3020"/>
    <w:rsid w:val="00504CF8"/>
    <w:rsid w:val="0051056C"/>
    <w:rsid w:val="00527B0C"/>
    <w:rsid w:val="00530D11"/>
    <w:rsid w:val="00553082"/>
    <w:rsid w:val="00565AD8"/>
    <w:rsid w:val="00567E0A"/>
    <w:rsid w:val="005D39D4"/>
    <w:rsid w:val="005F4A34"/>
    <w:rsid w:val="005F7C82"/>
    <w:rsid w:val="006006DE"/>
    <w:rsid w:val="0061555A"/>
    <w:rsid w:val="0063465D"/>
    <w:rsid w:val="0063594B"/>
    <w:rsid w:val="00635F4C"/>
    <w:rsid w:val="00675672"/>
    <w:rsid w:val="00695A3D"/>
    <w:rsid w:val="006C5F5E"/>
    <w:rsid w:val="006D0350"/>
    <w:rsid w:val="00734555"/>
    <w:rsid w:val="00740864"/>
    <w:rsid w:val="00777740"/>
    <w:rsid w:val="00796A93"/>
    <w:rsid w:val="007977BE"/>
    <w:rsid w:val="007E2460"/>
    <w:rsid w:val="00831CA5"/>
    <w:rsid w:val="00836AF9"/>
    <w:rsid w:val="00851B15"/>
    <w:rsid w:val="00887390"/>
    <w:rsid w:val="008B7BAD"/>
    <w:rsid w:val="00906FD0"/>
    <w:rsid w:val="00942E81"/>
    <w:rsid w:val="00947DEA"/>
    <w:rsid w:val="00961943"/>
    <w:rsid w:val="0097639F"/>
    <w:rsid w:val="0098029D"/>
    <w:rsid w:val="009A070A"/>
    <w:rsid w:val="009A3279"/>
    <w:rsid w:val="009A4C64"/>
    <w:rsid w:val="009B60CE"/>
    <w:rsid w:val="00A112D4"/>
    <w:rsid w:val="00A22D3B"/>
    <w:rsid w:val="00A35BC5"/>
    <w:rsid w:val="00A4486B"/>
    <w:rsid w:val="00A70EDE"/>
    <w:rsid w:val="00A76319"/>
    <w:rsid w:val="00A77ADD"/>
    <w:rsid w:val="00AB2858"/>
    <w:rsid w:val="00AC0251"/>
    <w:rsid w:val="00AF686D"/>
    <w:rsid w:val="00B02070"/>
    <w:rsid w:val="00B84C96"/>
    <w:rsid w:val="00B87864"/>
    <w:rsid w:val="00BA2E1B"/>
    <w:rsid w:val="00BB6108"/>
    <w:rsid w:val="00BF7393"/>
    <w:rsid w:val="00C069E2"/>
    <w:rsid w:val="00C2108E"/>
    <w:rsid w:val="00C66B8C"/>
    <w:rsid w:val="00C705B9"/>
    <w:rsid w:val="00C716F0"/>
    <w:rsid w:val="00CD70C0"/>
    <w:rsid w:val="00D54B4A"/>
    <w:rsid w:val="00D84304"/>
    <w:rsid w:val="00DC2EE5"/>
    <w:rsid w:val="00DD0BC5"/>
    <w:rsid w:val="00DE6914"/>
    <w:rsid w:val="00E846B1"/>
    <w:rsid w:val="00EA7C10"/>
    <w:rsid w:val="00EB0FA7"/>
    <w:rsid w:val="00F81205"/>
    <w:rsid w:val="00FA0E4A"/>
    <w:rsid w:val="00FB6C1C"/>
    <w:rsid w:val="00FE41EB"/>
    <w:rsid w:val="00FF67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C7FFC"/>
  <w15:chartTrackingRefBased/>
  <w15:docId w15:val="{709C59C9-CAF1-B245-B5C9-9AF25AAEA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FE41EB"/>
  </w:style>
  <w:style w:type="character" w:styleId="PlaceholderText">
    <w:name w:val="Placeholder Text"/>
    <w:basedOn w:val="DefaultParagraphFont"/>
    <w:uiPriority w:val="99"/>
    <w:semiHidden/>
    <w:rsid w:val="00A77ADD"/>
    <w:rPr>
      <w:color w:val="808080"/>
    </w:rPr>
  </w:style>
  <w:style w:type="paragraph" w:styleId="BalloonText">
    <w:name w:val="Balloon Text"/>
    <w:basedOn w:val="Normal"/>
    <w:link w:val="BalloonTextChar"/>
    <w:uiPriority w:val="99"/>
    <w:semiHidden/>
    <w:unhideWhenUsed/>
    <w:rsid w:val="0088739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87390"/>
    <w:rPr>
      <w:rFonts w:ascii="Times New Roman" w:hAnsi="Times New Roman" w:cs="Times New Roman"/>
      <w:sz w:val="18"/>
      <w:szCs w:val="18"/>
    </w:rPr>
  </w:style>
  <w:style w:type="paragraph" w:styleId="ListParagraph">
    <w:name w:val="List Paragraph"/>
    <w:basedOn w:val="Normal"/>
    <w:uiPriority w:val="34"/>
    <w:qFormat/>
    <w:rsid w:val="001A620E"/>
    <w:pPr>
      <w:widowControl w:val="0"/>
      <w:ind w:firstLineChars="200" w:firstLine="420"/>
      <w:jc w:val="both"/>
    </w:pPr>
    <w:rPr>
      <w:rFonts w:ascii="Times New Roman" w:eastAsia="SimSun" w:hAnsi="Times New Roman" w:cs="Times New Roman (正文 CS 字体)"/>
      <w:kern w:val="2"/>
    </w:rPr>
  </w:style>
  <w:style w:type="paragraph" w:customStyle="1" w:styleId="EndNoteBibliographyTitle">
    <w:name w:val="EndNote Bibliography Title"/>
    <w:basedOn w:val="Normal"/>
    <w:link w:val="EndNoteBibliographyTitle0"/>
    <w:rsid w:val="001A620E"/>
    <w:pPr>
      <w:jc w:val="center"/>
    </w:pPr>
    <w:rPr>
      <w:rFonts w:ascii="Calibri" w:hAnsi="Calibri" w:cs="Calibri"/>
    </w:rPr>
  </w:style>
  <w:style w:type="character" w:customStyle="1" w:styleId="EndNoteBibliographyTitle0">
    <w:name w:val="EndNote Bibliography Title 字符"/>
    <w:basedOn w:val="DefaultParagraphFont"/>
    <w:link w:val="EndNoteBibliographyTitle"/>
    <w:rsid w:val="001A620E"/>
    <w:rPr>
      <w:rFonts w:ascii="Calibri" w:hAnsi="Calibri" w:cs="Calibri"/>
    </w:rPr>
  </w:style>
  <w:style w:type="paragraph" w:customStyle="1" w:styleId="EndNoteBibliography">
    <w:name w:val="EndNote Bibliography"/>
    <w:basedOn w:val="Normal"/>
    <w:link w:val="EndNoteBibliography0"/>
    <w:rsid w:val="001A620E"/>
    <w:rPr>
      <w:rFonts w:ascii="Calibri" w:hAnsi="Calibri" w:cs="Calibri"/>
    </w:rPr>
  </w:style>
  <w:style w:type="character" w:customStyle="1" w:styleId="EndNoteBibliography0">
    <w:name w:val="EndNote Bibliography 字符"/>
    <w:basedOn w:val="DefaultParagraphFont"/>
    <w:link w:val="EndNoteBibliography"/>
    <w:rsid w:val="001A620E"/>
    <w:rPr>
      <w:rFonts w:ascii="Calibri" w:hAnsi="Calibri" w:cs="Calibri"/>
    </w:rPr>
  </w:style>
  <w:style w:type="character" w:styleId="Hyperlink">
    <w:name w:val="Hyperlink"/>
    <w:uiPriority w:val="99"/>
    <w:unhideWhenUsed/>
    <w:rsid w:val="00FA0E4A"/>
    <w:rPr>
      <w:color w:val="0000FF"/>
      <w:u w:val="single"/>
    </w:rPr>
  </w:style>
  <w:style w:type="character" w:styleId="UnresolvedMention">
    <w:name w:val="Unresolved Mention"/>
    <w:basedOn w:val="DefaultParagraphFont"/>
    <w:uiPriority w:val="99"/>
    <w:semiHidden/>
    <w:unhideWhenUsed/>
    <w:rsid w:val="00FA0E4A"/>
    <w:rPr>
      <w:color w:val="605E5C"/>
      <w:shd w:val="clear" w:color="auto" w:fill="E1DFDD"/>
    </w:rPr>
  </w:style>
  <w:style w:type="paragraph" w:styleId="Footer">
    <w:name w:val="footer"/>
    <w:basedOn w:val="Normal"/>
    <w:link w:val="FooterChar"/>
    <w:uiPriority w:val="99"/>
    <w:unhideWhenUsed/>
    <w:rsid w:val="0051056C"/>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51056C"/>
    <w:rPr>
      <w:sz w:val="18"/>
      <w:szCs w:val="18"/>
    </w:rPr>
  </w:style>
  <w:style w:type="character" w:styleId="PageNumber">
    <w:name w:val="page number"/>
    <w:basedOn w:val="DefaultParagraphFont"/>
    <w:uiPriority w:val="99"/>
    <w:semiHidden/>
    <w:unhideWhenUsed/>
    <w:rsid w:val="0051056C"/>
  </w:style>
  <w:style w:type="character" w:styleId="CommentReference">
    <w:name w:val="annotation reference"/>
    <w:basedOn w:val="DefaultParagraphFont"/>
    <w:uiPriority w:val="99"/>
    <w:semiHidden/>
    <w:unhideWhenUsed/>
    <w:rsid w:val="00504CF8"/>
    <w:rPr>
      <w:sz w:val="16"/>
      <w:szCs w:val="16"/>
    </w:rPr>
  </w:style>
  <w:style w:type="paragraph" w:styleId="CommentText">
    <w:name w:val="annotation text"/>
    <w:basedOn w:val="Normal"/>
    <w:link w:val="CommentTextChar"/>
    <w:uiPriority w:val="99"/>
    <w:semiHidden/>
    <w:unhideWhenUsed/>
    <w:rsid w:val="00504CF8"/>
    <w:rPr>
      <w:sz w:val="20"/>
      <w:szCs w:val="20"/>
    </w:rPr>
  </w:style>
  <w:style w:type="character" w:customStyle="1" w:styleId="CommentTextChar">
    <w:name w:val="Comment Text Char"/>
    <w:basedOn w:val="DefaultParagraphFont"/>
    <w:link w:val="CommentText"/>
    <w:uiPriority w:val="99"/>
    <w:semiHidden/>
    <w:rsid w:val="00504CF8"/>
    <w:rPr>
      <w:sz w:val="20"/>
      <w:szCs w:val="20"/>
    </w:rPr>
  </w:style>
  <w:style w:type="paragraph" w:styleId="CommentSubject">
    <w:name w:val="annotation subject"/>
    <w:basedOn w:val="CommentText"/>
    <w:next w:val="CommentText"/>
    <w:link w:val="CommentSubjectChar"/>
    <w:uiPriority w:val="99"/>
    <w:semiHidden/>
    <w:unhideWhenUsed/>
    <w:rsid w:val="00504CF8"/>
    <w:rPr>
      <w:b/>
      <w:bCs/>
    </w:rPr>
  </w:style>
  <w:style w:type="character" w:customStyle="1" w:styleId="CommentSubjectChar">
    <w:name w:val="Comment Subject Char"/>
    <w:basedOn w:val="CommentTextChar"/>
    <w:link w:val="CommentSubject"/>
    <w:uiPriority w:val="99"/>
    <w:semiHidden/>
    <w:rsid w:val="00504C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347660">
      <w:bodyDiv w:val="1"/>
      <w:marLeft w:val="0"/>
      <w:marRight w:val="0"/>
      <w:marTop w:val="0"/>
      <w:marBottom w:val="0"/>
      <w:divBdr>
        <w:top w:val="none" w:sz="0" w:space="0" w:color="auto"/>
        <w:left w:val="none" w:sz="0" w:space="0" w:color="auto"/>
        <w:bottom w:val="none" w:sz="0" w:space="0" w:color="auto"/>
        <w:right w:val="none" w:sz="0" w:space="0" w:color="auto"/>
      </w:divBdr>
    </w:div>
    <w:div w:id="1005211122">
      <w:bodyDiv w:val="1"/>
      <w:marLeft w:val="0"/>
      <w:marRight w:val="0"/>
      <w:marTop w:val="0"/>
      <w:marBottom w:val="0"/>
      <w:divBdr>
        <w:top w:val="none" w:sz="0" w:space="0" w:color="auto"/>
        <w:left w:val="none" w:sz="0" w:space="0" w:color="auto"/>
        <w:bottom w:val="none" w:sz="0" w:space="0" w:color="auto"/>
        <w:right w:val="none" w:sz="0" w:space="0" w:color="auto"/>
      </w:divBdr>
    </w:div>
    <w:div w:id="1020087836">
      <w:bodyDiv w:val="1"/>
      <w:marLeft w:val="0"/>
      <w:marRight w:val="0"/>
      <w:marTop w:val="0"/>
      <w:marBottom w:val="0"/>
      <w:divBdr>
        <w:top w:val="none" w:sz="0" w:space="0" w:color="auto"/>
        <w:left w:val="none" w:sz="0" w:space="0" w:color="auto"/>
        <w:bottom w:val="none" w:sz="0" w:space="0" w:color="auto"/>
        <w:right w:val="none" w:sz="0" w:space="0" w:color="auto"/>
      </w:divBdr>
    </w:div>
    <w:div w:id="1362046440">
      <w:bodyDiv w:val="1"/>
      <w:marLeft w:val="0"/>
      <w:marRight w:val="0"/>
      <w:marTop w:val="0"/>
      <w:marBottom w:val="0"/>
      <w:divBdr>
        <w:top w:val="none" w:sz="0" w:space="0" w:color="auto"/>
        <w:left w:val="none" w:sz="0" w:space="0" w:color="auto"/>
        <w:bottom w:val="none" w:sz="0" w:space="0" w:color="auto"/>
        <w:right w:val="none" w:sz="0" w:space="0" w:color="auto"/>
      </w:divBdr>
    </w:div>
    <w:div w:id="1498226645">
      <w:bodyDiv w:val="1"/>
      <w:marLeft w:val="0"/>
      <w:marRight w:val="0"/>
      <w:marTop w:val="0"/>
      <w:marBottom w:val="0"/>
      <w:divBdr>
        <w:top w:val="none" w:sz="0" w:space="0" w:color="auto"/>
        <w:left w:val="none" w:sz="0" w:space="0" w:color="auto"/>
        <w:bottom w:val="none" w:sz="0" w:space="0" w:color="auto"/>
        <w:right w:val="none" w:sz="0" w:space="0" w:color="auto"/>
      </w:divBdr>
    </w:div>
    <w:div w:id="1589265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doi.org/10.1002/(sici)1098-108x(199703)21: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016/j.brat.2005.06.006" TargetMode="External"/><Relationship Id="rId5" Type="http://schemas.openxmlformats.org/officeDocument/2006/relationships/footnotes" Target="footnotes.xml"/><Relationship Id="rId10" Type="http://schemas.openxmlformats.org/officeDocument/2006/relationships/hyperlink" Target="https://doi.org/10.1007/s40519-019-00840-3"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A9294-5D85-884B-B602-365E27FA3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2054</Words>
  <Characters>11709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c:creator>
  <cp:keywords/>
  <dc:description/>
  <cp:lastModifiedBy>He</cp:lastModifiedBy>
  <cp:revision>6</cp:revision>
  <dcterms:created xsi:type="dcterms:W3CDTF">2022-01-22T20:11:00Z</dcterms:created>
  <dcterms:modified xsi:type="dcterms:W3CDTF">2022-01-25T04:10:00Z</dcterms:modified>
</cp:coreProperties>
</file>