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B381F" w14:textId="22EE4BFA" w:rsidR="00603CEF" w:rsidRPr="00170554" w:rsidRDefault="00DA2D16" w:rsidP="003A0727">
      <w:pPr>
        <w:spacing w:after="6" w:line="26" w:lineRule="atLeas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Additional file 3</w:t>
      </w:r>
      <w:bookmarkStart w:id="0" w:name="_GoBack"/>
      <w:bookmarkEnd w:id="0"/>
      <w:r w:rsidR="00603CEF" w:rsidRPr="00170554">
        <w:rPr>
          <w:b/>
          <w:bCs/>
          <w:sz w:val="24"/>
          <w:szCs w:val="24"/>
          <w:lang w:val="en-US"/>
        </w:rPr>
        <w:t>: quality appraisal</w:t>
      </w:r>
    </w:p>
    <w:tbl>
      <w:tblPr>
        <w:tblpPr w:leftFromText="180" w:rightFromText="180" w:vertAnchor="text" w:horzAnchor="page" w:tblpX="1" w:tblpY="-719"/>
        <w:tblW w:w="5439" w:type="pct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9"/>
        <w:gridCol w:w="1236"/>
        <w:gridCol w:w="1280"/>
        <w:gridCol w:w="1169"/>
        <w:gridCol w:w="1270"/>
        <w:gridCol w:w="1558"/>
        <w:gridCol w:w="1136"/>
        <w:gridCol w:w="1407"/>
        <w:gridCol w:w="1276"/>
        <w:gridCol w:w="1407"/>
        <w:gridCol w:w="1437"/>
        <w:gridCol w:w="1159"/>
      </w:tblGrid>
      <w:tr w:rsidR="00603CEF" w:rsidRPr="00746DA2" w14:paraId="6C2D80B4" w14:textId="77777777" w:rsidTr="00B9750B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3332EBC3" w14:textId="77777777" w:rsidR="00603CEF" w:rsidRPr="00746DA2" w:rsidRDefault="00603CEF" w:rsidP="00B9750B">
            <w:pPr>
              <w:spacing w:after="0" w:line="240" w:lineRule="auto"/>
              <w:contextualSpacing/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  <w:lastRenderedPageBreak/>
              <w:t>Autho</w:t>
            </w:r>
            <w:r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  <w:t>r (Year)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438B732D" w14:textId="77777777" w:rsidR="00603CEF" w:rsidRPr="00746DA2" w:rsidRDefault="00603CEF" w:rsidP="00B9750B">
            <w:pPr>
              <w:spacing w:after="0" w:line="240" w:lineRule="auto"/>
              <w:contextualSpacing/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</w:pPr>
            <w:r w:rsidRPr="004216E6"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  <w:t>1. Is the review question clearly and explicitly stated?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CE6F4C" w14:textId="77777777" w:rsidR="00603CEF" w:rsidRPr="00746DA2" w:rsidRDefault="00603CEF" w:rsidP="00B9750B">
            <w:pPr>
              <w:spacing w:after="0" w:line="240" w:lineRule="auto"/>
              <w:contextualSpacing/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</w:pPr>
            <w:r w:rsidRPr="004216E6"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  <w:t>2. Were the inclusion criteria appropriate for the review question?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5908A4E" w14:textId="77777777" w:rsidR="00603CEF" w:rsidRPr="00746DA2" w:rsidRDefault="00603CEF" w:rsidP="00B9750B">
            <w:pPr>
              <w:spacing w:after="0" w:line="240" w:lineRule="auto"/>
              <w:contextualSpacing/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</w:pPr>
            <w:r w:rsidRPr="004216E6"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  <w:t>Was the search strategy appropriate?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516A80E" w14:textId="77777777" w:rsidR="00603CEF" w:rsidRPr="00746DA2" w:rsidRDefault="00603CEF" w:rsidP="00B9750B">
            <w:pPr>
              <w:spacing w:after="0" w:line="240" w:lineRule="auto"/>
              <w:contextualSpacing/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</w:pPr>
            <w:r w:rsidRPr="004216E6"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  <w:t>4. Were the sources and resources used to search for studies adequate?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4139F322" w14:textId="77777777" w:rsidR="00603CEF" w:rsidRPr="00746DA2" w:rsidRDefault="00603CEF" w:rsidP="00B9750B">
            <w:pPr>
              <w:spacing w:after="0" w:line="240" w:lineRule="auto"/>
              <w:contextualSpacing/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</w:pPr>
            <w:r w:rsidRPr="004216E6"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  <w:t>5. Were the criteria for appraising studies appropriate?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67313538" w14:textId="77777777" w:rsidR="00603CEF" w:rsidRPr="00746DA2" w:rsidRDefault="00603CEF" w:rsidP="00B9750B">
            <w:pPr>
              <w:spacing w:after="0" w:line="240" w:lineRule="auto"/>
              <w:contextualSpacing/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</w:pPr>
            <w:r w:rsidRPr="004216E6"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  <w:t>6. Was critical appraisal conducted by two or more reviewers independently?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5D38553" w14:textId="77777777" w:rsidR="00603CEF" w:rsidRPr="00746DA2" w:rsidRDefault="00603CEF" w:rsidP="00B9750B">
            <w:pPr>
              <w:spacing w:after="0" w:line="240" w:lineRule="auto"/>
              <w:contextualSpacing/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</w:pPr>
            <w:r w:rsidRPr="004216E6">
              <w:rPr>
                <w:rFonts w:ascii="Open Sans" w:eastAsia="Times New Roman" w:hAnsi="Open Sans" w:cs="Open Sans"/>
                <w:b/>
                <w:bCs/>
                <w:color w:val="312F31"/>
                <w:sz w:val="16"/>
                <w:szCs w:val="16"/>
                <w:lang w:eastAsia="en-AU"/>
              </w:rPr>
              <w:t>7. Were there methods to minimise errors in data extraction?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7EAEB523" w14:textId="77777777" w:rsidR="00603CEF" w:rsidRPr="00746DA2" w:rsidRDefault="00603CEF" w:rsidP="00B9750B">
            <w:pPr>
              <w:spacing w:after="0" w:line="240" w:lineRule="auto"/>
              <w:contextualSpacing/>
              <w:rPr>
                <w:rFonts w:ascii="Open Sans" w:eastAsia="Times New Roman" w:hAnsi="Open Sans" w:cs="Open Sans"/>
                <w:b/>
                <w:bCs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312F31"/>
                <w:sz w:val="18"/>
                <w:szCs w:val="18"/>
                <w:lang w:eastAsia="en-AU"/>
              </w:rPr>
              <w:t>8. Were the methods used to combine studies appropriate?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0F6806D0" w14:textId="77777777" w:rsidR="00603CEF" w:rsidRPr="00746DA2" w:rsidRDefault="00603CEF" w:rsidP="00B9750B">
            <w:pPr>
              <w:spacing w:after="0" w:line="240" w:lineRule="auto"/>
              <w:contextualSpacing/>
              <w:rPr>
                <w:rFonts w:ascii="Open Sans" w:eastAsia="Times New Roman" w:hAnsi="Open Sans" w:cs="Open Sans"/>
                <w:b/>
                <w:bCs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312F31"/>
                <w:sz w:val="18"/>
                <w:szCs w:val="18"/>
                <w:lang w:eastAsia="en-AU"/>
              </w:rPr>
              <w:t>9. Was the likelihood of publication bias assessed?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24DA2039" w14:textId="77777777" w:rsidR="00603CEF" w:rsidRPr="00746DA2" w:rsidRDefault="00603CEF" w:rsidP="00B9750B">
            <w:pPr>
              <w:spacing w:after="0" w:line="240" w:lineRule="auto"/>
              <w:contextualSpacing/>
              <w:rPr>
                <w:rFonts w:ascii="Open Sans" w:eastAsia="Times New Roman" w:hAnsi="Open Sans" w:cs="Open Sans"/>
                <w:b/>
                <w:bCs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312F31"/>
                <w:sz w:val="18"/>
                <w:szCs w:val="18"/>
                <w:lang w:eastAsia="en-AU"/>
              </w:rPr>
              <w:t>10. Were recommend-ations for policy and/or practice supported by the reported data?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5F12E932" w14:textId="77777777" w:rsidR="00603CEF" w:rsidRPr="00746DA2" w:rsidRDefault="00603CEF" w:rsidP="00B9750B">
            <w:pPr>
              <w:spacing w:after="0" w:line="240" w:lineRule="auto"/>
              <w:contextualSpacing/>
              <w:rPr>
                <w:rFonts w:ascii="Open Sans" w:eastAsia="Times New Roman" w:hAnsi="Open Sans" w:cs="Open Sans"/>
                <w:b/>
                <w:bCs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312F31"/>
                <w:sz w:val="18"/>
                <w:szCs w:val="18"/>
                <w:lang w:eastAsia="en-AU"/>
              </w:rPr>
              <w:t>11. Were there specific directives for new research appropriate?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73890FBB" w14:textId="77777777" w:rsidR="00603CEF" w:rsidRPr="00746DA2" w:rsidRDefault="00603CEF" w:rsidP="00B9750B">
            <w:pPr>
              <w:spacing w:after="0" w:line="240" w:lineRule="auto"/>
              <w:contextualSpacing/>
              <w:rPr>
                <w:rFonts w:ascii="Open Sans" w:eastAsia="Times New Roman" w:hAnsi="Open Sans" w:cs="Open Sans"/>
                <w:b/>
                <w:bCs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b/>
                <w:bCs/>
                <w:color w:val="312F31"/>
                <w:sz w:val="18"/>
                <w:szCs w:val="18"/>
                <w:lang w:eastAsia="en-AU"/>
              </w:rPr>
              <w:t>Inclusion/ Exclusion</w:t>
            </w:r>
          </w:p>
        </w:tc>
      </w:tr>
      <w:tr w:rsidR="00603CEF" w:rsidRPr="00746DA2" w14:paraId="1437D23C" w14:textId="77777777" w:rsidTr="00B9750B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28AF5854" w14:textId="7A02CBFE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Alcaraz-Ibáñez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012757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(2020)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69DC4762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AB75A2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6CCAB6E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4D98429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17AFF3A3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5422666A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6BFE52C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4AC79BB4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66AD369C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1E14DFEE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21DF7E76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160335E8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603CEF" w:rsidRPr="00746DA2" w14:paraId="7852377E" w14:textId="77777777" w:rsidTr="00753A08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3C89102E" w14:textId="62196D45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Alvarez-Jimenez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012757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(2008)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713E7A04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DBEC55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4063C8B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E4D54CB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77BAE7B4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5857DD40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DCFB9A4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51196CD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6ED32896" w14:textId="2C53E158" w:rsidR="00603CEF" w:rsidRPr="00746DA2" w:rsidRDefault="00FF500B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5C8F4D5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79657068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43964E9A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603CEF" w:rsidRPr="00746DA2" w14:paraId="36FBFBDD" w14:textId="77777777" w:rsidTr="00753A08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0527DCE8" w14:textId="04CF1C91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Barton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012757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(2020)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655254C5" w14:textId="2931CB23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8AF504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7E66010" w14:textId="764AB5E8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C0015D5" w14:textId="272DE889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5A528C48" w14:textId="497E97BB" w:rsidR="00603CEF" w:rsidRPr="00746DA2" w:rsidRDefault="00E55417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2BDC8265" w14:textId="495DFE93" w:rsidR="00603CEF" w:rsidRPr="00746DA2" w:rsidRDefault="00E55417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583272C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3828B97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5231FA11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25352B0" w14:textId="35D1A184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31981516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326DBD17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603CEF" w:rsidRPr="00746DA2" w14:paraId="706EC075" w14:textId="77777777" w:rsidTr="00753A08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7BFA2553" w14:textId="23B90CC9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Citrome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012757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(2011)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4676CB67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65F7C6" w14:textId="15B42445" w:rsidR="00603CEF" w:rsidRPr="00746DA2" w:rsidRDefault="00EA668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0DF3A1A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EC4C2C0" w14:textId="59302D64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4D700848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5DFA8566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EDC92B0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1EF454B6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1E629DD1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484D0A48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4E903E34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0EAF26C3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603CEF" w:rsidRPr="00746DA2" w14:paraId="64FFC11D" w14:textId="77777777" w:rsidTr="00753A08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63DA3C7E" w14:textId="7359ABCC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Cook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4D49CA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(2016)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464F8E81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1AD7CE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1D5FE16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9815C66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62C276B1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595042A2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71934FD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1D12BC95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72D95E8B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180CE01A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40FE049C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6C03B33B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603CEF" w:rsidRPr="00746DA2" w14:paraId="5A8A3B49" w14:textId="77777777" w:rsidTr="00B9750B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42A057EB" w14:textId="4948125E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Da Luz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4D49CA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(2015)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1C5998CE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47E6C9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56D7F97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4C4A424" w14:textId="3605E568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56D9BC36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A165A3A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6905184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299404E7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2E8CE47E" w14:textId="4A2C61E3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E266FB1" w14:textId="1B3E9023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5397C2CD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001902BA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603CEF" w:rsidRPr="00746DA2" w14:paraId="400F2669" w14:textId="77777777" w:rsidTr="00753A08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6F000F0D" w14:textId="1F1C5EAE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De Hert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4D49CA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(2012)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704E63C0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55AAAC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3814DF2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297FF00" w14:textId="2A847042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 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7C1E84C7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39D8C812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C802518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B1BD94A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266BE857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14BD2035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3689597C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4E3AC7C8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603CEF" w:rsidRPr="00746DA2" w14:paraId="3BEBC594" w14:textId="77777777" w:rsidTr="00753A08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2041736C" w14:textId="3E51FF50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Dugmore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4D49CA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(2020)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09F5B195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AA4F36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DAD994A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7DEA172" w14:textId="3B2850B3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72E46C1A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40140B8B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C0BB520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48308077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07BD2808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7EB5635D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0FB1EA4A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3775C3F8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603CEF" w:rsidRPr="00746DA2" w14:paraId="1F4A29E5" w14:textId="77777777" w:rsidTr="00753A08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5F07995A" w14:textId="58EB83A0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Elkington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4D49CA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(2017)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419302B0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DAF07B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D4870A8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F16ABEE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53CEAD90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3AE560ED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CC4485B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1187FE2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03EEDD1E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7DA57D78" w14:textId="4FB21719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50CB5FED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252BE057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603CEF" w:rsidRPr="00746DA2" w14:paraId="4E45194D" w14:textId="77777777" w:rsidTr="00753A08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7B360A2F" w14:textId="60F1E472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Gorrell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DF3336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(2021)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63319EAA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A0C7B0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0195BF2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7E8FE73" w14:textId="14EE25A3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00765537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56AFC917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0C25458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2A2A82DF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3BEB62C1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038535D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1BE2FB0B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6DC589D1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603CEF" w:rsidRPr="00746DA2" w14:paraId="2581478E" w14:textId="77777777" w:rsidTr="00753A08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4BE87AE9" w14:textId="3981BA51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Gow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DF3336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(2020)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30C0119D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708D20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FE2DD58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D522ED7" w14:textId="7EC508AE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34DBDEF3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204D8E1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F013051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2BA76194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4F572F8D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EC80452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3A5A9E4C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4177A1A6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603CEF" w:rsidRPr="00746DA2" w14:paraId="6D33B004" w14:textId="77777777" w:rsidTr="00B9750B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504230C7" w14:textId="41E3D50E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Kvam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DF3336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(2016)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16562833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50E135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3DC55F7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6DAC8E9" w14:textId="43105FDD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725A7DDD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49B84B8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D3F3D05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E14A8CD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299CC552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7E4AB693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134B12CD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421CFD71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603CEF" w:rsidRPr="00746DA2" w14:paraId="2F04E5A3" w14:textId="77777777" w:rsidTr="00A24FAC">
        <w:trPr>
          <w:trHeight w:val="46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57A4DFEE" w14:textId="0120CE9F" w:rsidR="00603CEF" w:rsidRPr="00746DA2" w:rsidRDefault="00603CEF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Lie et al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. </w:t>
            </w:r>
            <w:r w:rsidR="00DF3336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(2019)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6B2F875F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694685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6C30B4B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395382E" w14:textId="6B395BD0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7E9900F8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4EC71624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6A93A38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52B59B2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4B1CFC52" w14:textId="7064C115" w:rsidR="00603CEF" w:rsidRPr="00746DA2" w:rsidRDefault="007D1F7B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208BCE4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14434E46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751E85EE" w14:textId="77777777" w:rsidR="00603CEF" w:rsidRPr="00746DA2" w:rsidRDefault="00603CEF" w:rsidP="00B9750B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D30A98" w:rsidRPr="00746DA2" w14:paraId="321756C1" w14:textId="77777777" w:rsidTr="00753A08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</w:tcPr>
          <w:p w14:paraId="2DEB4BA7" w14:textId="4B0A20BA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Mercado</w:t>
            </w: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DF3336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(2021)</w:t>
            </w:r>
          </w:p>
        </w:tc>
        <w:tc>
          <w:tcPr>
            <w:tcW w:w="340" w:type="pct"/>
            <w:shd w:val="clear" w:color="auto" w:fill="auto"/>
            <w:noWrap/>
            <w:vAlign w:val="bottom"/>
          </w:tcPr>
          <w:p w14:paraId="36C22354" w14:textId="0CD1063B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50D2294D" w14:textId="49E8C100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</w:tcPr>
          <w:p w14:paraId="29875C5F" w14:textId="0141065A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14:paraId="48EF637B" w14:textId="369D6D02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22C83DA7" w14:textId="506BB60D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shd w:val="clear" w:color="auto" w:fill="auto"/>
            <w:noWrap/>
            <w:vAlign w:val="bottom"/>
          </w:tcPr>
          <w:p w14:paraId="76F1EC95" w14:textId="4F33EB3C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39" w:type="pct"/>
            <w:shd w:val="clear" w:color="auto" w:fill="auto"/>
            <w:noWrap/>
            <w:vAlign w:val="bottom"/>
          </w:tcPr>
          <w:p w14:paraId="3A0E03D2" w14:textId="15D446D3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46B55426" w14:textId="0BADC0F5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</w:tcPr>
          <w:p w14:paraId="356A0CDF" w14:textId="23D0223D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407CA366" w14:textId="02BE5096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14:paraId="08955879" w14:textId="5A263679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14:paraId="646FDA52" w14:textId="0704B1B4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D30A98" w:rsidRPr="00746DA2" w14:paraId="47AB8796" w14:textId="77777777" w:rsidTr="00753A08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69EA6086" w14:textId="4C1B7E59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Moustafa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DF3336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(2021)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5F85EB5D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A34433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57C2435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685CA44" w14:textId="645041A2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75AD5157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516711E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8FE3EC7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CBB1894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60AAE01F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1664F6EE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3A61D0FE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559B7385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D30A98" w:rsidRPr="00746DA2" w14:paraId="7F83F02D" w14:textId="77777777" w:rsidTr="00170554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1A7D7045" w14:textId="64925BD4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Paganini et al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. </w:t>
            </w:r>
            <w:r w:rsidR="00DF3336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(2018)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5948B452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A2E7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5884E16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928777D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407CB38D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0B010A75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1FAE300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0E34F31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3B61DCA0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459A717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6E6BE356" w14:textId="77777777" w:rsidR="00D30A98" w:rsidRPr="00992E7F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992E7F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3BFD4D1C" w14:textId="77777777" w:rsidR="00D30A98" w:rsidRPr="00992E7F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992E7F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Exclude</w:t>
            </w:r>
          </w:p>
        </w:tc>
      </w:tr>
      <w:tr w:rsidR="00D30A98" w:rsidRPr="00746DA2" w14:paraId="2AA2D635" w14:textId="77777777" w:rsidTr="00170554">
        <w:trPr>
          <w:trHeight w:val="285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F9B8" w14:textId="458FBF0E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Palavras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DF3336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(2017)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B59F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944B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BAB8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E488" w14:textId="3EF6709C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1E62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5B70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9641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08CB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0AAA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216E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5499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510A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D30A98" w:rsidRPr="00746DA2" w14:paraId="20537B1A" w14:textId="77777777" w:rsidTr="00170554">
        <w:trPr>
          <w:trHeight w:val="285"/>
        </w:trPr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8678" w14:textId="68DFBA72" w:rsidR="00D30A98" w:rsidRPr="00992E7F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992E7F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Parker &amp; Brennan </w:t>
            </w:r>
            <w:r w:rsidR="00DF3336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(2014)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93EA" w14:textId="0AC7125B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6E8B" w14:textId="68994ED4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B1F9" w14:textId="0DEEF845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7160" w14:textId="26EB699B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5A80" w14:textId="1632291D" w:rsidR="00D30A98" w:rsidRPr="00746DA2" w:rsidRDefault="00EF5E67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A62F" w14:textId="00424655" w:rsidR="00D30A98" w:rsidRPr="00746DA2" w:rsidRDefault="00EF5E67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Unclear 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3011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D198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90C1" w14:textId="50ECA166" w:rsidR="00D30A98" w:rsidRPr="00746DA2" w:rsidRDefault="008075B5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2276" w14:textId="2926C3C5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0DB8" w14:textId="2D0130F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0144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D30A98" w:rsidRPr="00746DA2" w14:paraId="06A93ED1" w14:textId="77777777" w:rsidTr="00170554">
        <w:trPr>
          <w:trHeight w:val="285"/>
        </w:trPr>
        <w:tc>
          <w:tcPr>
            <w:tcW w:w="38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4F6A" w14:textId="3314ADA3" w:rsidR="00D30A98" w:rsidRPr="00992E7F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992E7F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Parker et al.</w:t>
            </w:r>
            <w:r w:rsidR="005A5ED6" w:rsidRPr="00992E7F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DF3336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(2015)</w:t>
            </w:r>
          </w:p>
        </w:tc>
        <w:tc>
          <w:tcPr>
            <w:tcW w:w="34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6D7A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9E3C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577D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1B46" w14:textId="65446856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FD23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6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DDBD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7413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E3A2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7274" w14:textId="271CF5DD" w:rsidR="00D30A98" w:rsidRPr="00746DA2" w:rsidRDefault="008075B5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9340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C030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C549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D30A98" w:rsidRPr="00746DA2" w14:paraId="0599B3C6" w14:textId="77777777" w:rsidTr="00753A08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25DB7B5E" w14:textId="286AEF25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lastRenderedPageBreak/>
              <w:t>Peckmezian &amp; Hay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DF3336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(2017)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70189BC3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1C8724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079614C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B9665C5" w14:textId="0C6386B9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73CB0324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4E446E58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249FFF5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BED399C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36C80D2F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3AE930D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4B4C1E6E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42385174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D30A98" w:rsidRPr="00746DA2" w14:paraId="2F608383" w14:textId="77777777" w:rsidTr="00753A08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7492643B" w14:textId="40994B02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Ruotsalainen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DF3336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(2015)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2F1C1934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FFBDC6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520459F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21BC5CC" w14:textId="66818F25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1E7FDF34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2AA29B4B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B2C5813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2F3BA3D9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1E099898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712FD41C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52E92EA8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56AFBFDE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D30A98" w:rsidRPr="00746DA2" w14:paraId="29D0FDCC" w14:textId="77777777" w:rsidTr="00753A08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24A20698" w14:textId="3AE0ED84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Shaw et al.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DF3336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(2006)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14:paraId="76E3AC10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4CE085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B4E07C8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B8D9012" w14:textId="4BC1D7D3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00DCEBAB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3649AC9A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36F739A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25B2B037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14:paraId="531EFC94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6CCA85C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5463AF28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14:paraId="0F43744A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D30A98" w:rsidRPr="00746DA2" w14:paraId="5E3B809E" w14:textId="77777777" w:rsidTr="00170554">
        <w:trPr>
          <w:trHeight w:val="285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3674" w14:textId="51AA67F4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Tam &amp; Yeung</w:t>
            </w:r>
            <w:r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 </w:t>
            </w:r>
            <w:r w:rsidR="00DF3336">
              <w:rPr>
                <w:rFonts w:ascii="Open Sans" w:eastAsia="Times New Roman" w:hAnsi="Open Sans" w:cs="Open Sans"/>
                <w:noProof/>
                <w:color w:val="312F31"/>
                <w:sz w:val="18"/>
                <w:szCs w:val="18"/>
                <w:lang w:eastAsia="en-AU"/>
              </w:rPr>
              <w:t>(2018)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D496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4D2B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39D2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06E8" w14:textId="4B7F614D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AF0D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451D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36A3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E189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01D6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4A02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F6D7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A2EF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  <w:tr w:rsidR="00D30A98" w:rsidRPr="00746DA2" w14:paraId="029D37B9" w14:textId="77777777" w:rsidTr="00170554">
        <w:trPr>
          <w:trHeight w:val="285"/>
        </w:trPr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066A" w14:textId="165CF01A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sz w:val="18"/>
                <w:szCs w:val="18"/>
                <w:lang w:eastAsia="en-AU"/>
              </w:rPr>
              <w:t>Ulian et al.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en-AU"/>
              </w:rPr>
              <w:t xml:space="preserve"> </w:t>
            </w:r>
            <w:r w:rsidR="00DF3336">
              <w:rPr>
                <w:rFonts w:ascii="Open Sans" w:eastAsia="Times New Roman" w:hAnsi="Open Sans" w:cs="Open Sans"/>
                <w:noProof/>
                <w:sz w:val="18"/>
                <w:szCs w:val="18"/>
                <w:lang w:eastAsia="en-AU"/>
              </w:rPr>
              <w:t>(2018)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E241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B7F9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958F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8170" w14:textId="1DCB12E2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 xml:space="preserve">Y 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9482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0B81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2A41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EA04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4C3C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Unclear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56CA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57AD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Y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6EF2" w14:textId="77777777" w:rsidR="00D30A98" w:rsidRPr="00746DA2" w:rsidRDefault="00D30A98" w:rsidP="00D30A98">
            <w:pPr>
              <w:spacing w:after="6" w:line="26" w:lineRule="atLeast"/>
              <w:contextualSpacing/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</w:pPr>
            <w:r w:rsidRPr="00746DA2">
              <w:rPr>
                <w:rFonts w:ascii="Open Sans" w:eastAsia="Times New Roman" w:hAnsi="Open Sans" w:cs="Open Sans"/>
                <w:color w:val="312F31"/>
                <w:sz w:val="18"/>
                <w:szCs w:val="18"/>
                <w:lang w:eastAsia="en-AU"/>
              </w:rPr>
              <w:t>Include</w:t>
            </w:r>
          </w:p>
        </w:tc>
      </w:tr>
    </w:tbl>
    <w:p w14:paraId="646F66B5" w14:textId="77777777" w:rsidR="00603CEF" w:rsidRDefault="00603CEF" w:rsidP="00603CEF">
      <w:pPr>
        <w:spacing w:after="6" w:line="26" w:lineRule="atLeast"/>
        <w:rPr>
          <w:lang w:val="en-US"/>
        </w:rPr>
      </w:pPr>
    </w:p>
    <w:p w14:paraId="53E2F961" w14:textId="2F0B1AEC" w:rsidR="00012757" w:rsidRDefault="00170554" w:rsidP="00746DA2">
      <w:pPr>
        <w:rPr>
          <w:rFonts w:cs="Arial"/>
          <w:color w:val="auto"/>
        </w:rPr>
      </w:pPr>
      <w:r w:rsidRPr="008619CE">
        <w:rPr>
          <w:rFonts w:cs="Arial"/>
          <w:b/>
          <w:i/>
          <w:iCs/>
          <w:color w:val="auto"/>
        </w:rPr>
        <w:t>Note.</w:t>
      </w:r>
      <w:r w:rsidRPr="008619CE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Y = Yes</w:t>
      </w:r>
      <w:r w:rsidR="007F412F">
        <w:rPr>
          <w:rFonts w:cs="Arial"/>
          <w:color w:val="auto"/>
        </w:rPr>
        <w:t>; N = No</w:t>
      </w:r>
    </w:p>
    <w:p w14:paraId="412A64E1" w14:textId="126CD2A0" w:rsidR="009B6747" w:rsidRPr="009B6747" w:rsidRDefault="009B6747" w:rsidP="00746DA2">
      <w:pPr>
        <w:rPr>
          <w:rFonts w:cs="Arial"/>
          <w:color w:val="auto"/>
          <w:szCs w:val="20"/>
        </w:rPr>
      </w:pPr>
    </w:p>
    <w:p w14:paraId="64A86BBD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Alcaraz-Ibáñez, M., et al. (2020). Morbid exercise behaviour and eating disorders: A meta-analysis. </w:t>
      </w:r>
      <w:r w:rsidRPr="009B6747">
        <w:rPr>
          <w:i/>
          <w:szCs w:val="20"/>
        </w:rPr>
        <w:t>Journal of Behavioral Addictions, 9</w:t>
      </w:r>
      <w:r w:rsidRPr="009B6747">
        <w:rPr>
          <w:szCs w:val="20"/>
        </w:rPr>
        <w:t xml:space="preserve">(2), 206-224. https://doi.org/10.1556.2006.2020.00027 </w:t>
      </w:r>
    </w:p>
    <w:p w14:paraId="2C3A1431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Alvarez-Jimenez, M., et al. (2008). Antipsychotic-induced weight gain in chronic and first-episode psychotic disorders. </w:t>
      </w:r>
      <w:r w:rsidRPr="009B6747">
        <w:rPr>
          <w:i/>
          <w:szCs w:val="20"/>
        </w:rPr>
        <w:t>CNS Drugs, 22</w:t>
      </w:r>
      <w:r w:rsidRPr="009B6747">
        <w:rPr>
          <w:szCs w:val="20"/>
        </w:rPr>
        <w:t xml:space="preserve">(7), 547-562. https://doi.org/10.2165/00023210-200822070-00002 </w:t>
      </w:r>
    </w:p>
    <w:p w14:paraId="4B25702B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Barton, B. B., et al. (2020). Update on weight-gain caused by antipsychotics: A systematic review and meta-analysis. </w:t>
      </w:r>
      <w:r w:rsidRPr="009B6747">
        <w:rPr>
          <w:i/>
          <w:szCs w:val="20"/>
        </w:rPr>
        <w:t>Expert Opinion on Drug Safety, 19</w:t>
      </w:r>
      <w:r w:rsidRPr="009B6747">
        <w:rPr>
          <w:szCs w:val="20"/>
        </w:rPr>
        <w:t xml:space="preserve">(3), 295-314. https://doi.org/10.1080/14740338.2020.1713091 </w:t>
      </w:r>
    </w:p>
    <w:p w14:paraId="764D0FB0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Citrome, L., et al. (2011). Weight gain and changes in metabolic variables following olanzapine treatment in schizophrenia and bipolar disorder. </w:t>
      </w:r>
      <w:r w:rsidRPr="009B6747">
        <w:rPr>
          <w:i/>
          <w:szCs w:val="20"/>
        </w:rPr>
        <w:t>Clinical Drug Investigation, 31</w:t>
      </w:r>
      <w:r w:rsidRPr="009B6747">
        <w:rPr>
          <w:szCs w:val="20"/>
        </w:rPr>
        <w:t xml:space="preserve">(7), 455-482. https://doi.org/10.2165/11589060-000000000-00000 </w:t>
      </w:r>
    </w:p>
    <w:p w14:paraId="055FCCA0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Cook, B., et al. (2016, 2016-7). Exercise in eating disorders treatment: Systematic review and proposal of guidelines. </w:t>
      </w:r>
      <w:r w:rsidRPr="009B6747">
        <w:rPr>
          <w:i/>
          <w:szCs w:val="20"/>
        </w:rPr>
        <w:t>Medicine and Science in Sports and Exercise, 48</w:t>
      </w:r>
      <w:r w:rsidRPr="009B6747">
        <w:rPr>
          <w:szCs w:val="20"/>
        </w:rPr>
        <w:t xml:space="preserve">(7), 1408-1414. https://doi.org/10.1249/MSS.0000000000000912 </w:t>
      </w:r>
    </w:p>
    <w:p w14:paraId="4739C900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Da Luz, F., et al. (2015). Does severe dietary energy restriction increase binge eating in overweight or obese individuals? A systematic review. </w:t>
      </w:r>
      <w:r w:rsidRPr="009B6747">
        <w:rPr>
          <w:i/>
          <w:szCs w:val="20"/>
        </w:rPr>
        <w:t>Obesity Reviews, 16</w:t>
      </w:r>
      <w:r w:rsidRPr="009B6747">
        <w:rPr>
          <w:szCs w:val="20"/>
        </w:rPr>
        <w:t xml:space="preserve">(8), 652-665. </w:t>
      </w:r>
    </w:p>
    <w:p w14:paraId="0EE0EBA8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De Hert, M., et al. (2012). Body weight and metabolic adverse effects of asenapine, iloperidone, lurasidone and paliperidone in the treatment of schizophrenia and bipolar disorder. </w:t>
      </w:r>
      <w:r w:rsidRPr="009B6747">
        <w:rPr>
          <w:i/>
          <w:szCs w:val="20"/>
        </w:rPr>
        <w:t>CNS Drugs, 26</w:t>
      </w:r>
      <w:r w:rsidRPr="009B6747">
        <w:rPr>
          <w:szCs w:val="20"/>
        </w:rPr>
        <w:t xml:space="preserve">(9), 733-759. https://doi.org/10.2165/11634500-000000000-00000 </w:t>
      </w:r>
    </w:p>
    <w:p w14:paraId="65BD39A9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Dugmore, J. A., et al. (2020). Effects of weight-neutral approaches compared with traditional weight-loss approaches on behavioral, physical, and psychological health outcomes: A systematic review and meta-analysis. </w:t>
      </w:r>
      <w:r w:rsidRPr="009B6747">
        <w:rPr>
          <w:i/>
          <w:szCs w:val="20"/>
        </w:rPr>
        <w:t>Nutrition Reviews, 78</w:t>
      </w:r>
      <w:r w:rsidRPr="009B6747">
        <w:rPr>
          <w:szCs w:val="20"/>
        </w:rPr>
        <w:t xml:space="preserve">(1), 39-55. https://doi.org/10.1093/nutrit/nuz/020 </w:t>
      </w:r>
    </w:p>
    <w:p w14:paraId="2759F9FD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Elkington, T. J., et al. (2017). Psychological responses to acute aerobic, resistance, or combined exercise in healthy and overweight individuals: A systematic review. </w:t>
      </w:r>
      <w:r w:rsidRPr="009B6747">
        <w:rPr>
          <w:i/>
          <w:szCs w:val="20"/>
        </w:rPr>
        <w:t>Clinical Medicine Insights: Cardiology, 11</w:t>
      </w:r>
      <w:r w:rsidRPr="009B6747">
        <w:rPr>
          <w:szCs w:val="20"/>
        </w:rPr>
        <w:t xml:space="preserve">, 1-23. https://doi.org/10.1177/1179546817701725 </w:t>
      </w:r>
    </w:p>
    <w:p w14:paraId="41D82079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Gorrell, S., et al. (2021). Psychosocial etiology of maladaptive exercise and its role in eating disorders: A systematic review. </w:t>
      </w:r>
      <w:r w:rsidRPr="009B6747">
        <w:rPr>
          <w:i/>
          <w:szCs w:val="20"/>
        </w:rPr>
        <w:t>International Journal of Eating Disorders, 54</w:t>
      </w:r>
      <w:r w:rsidRPr="009B6747">
        <w:rPr>
          <w:szCs w:val="20"/>
        </w:rPr>
        <w:t xml:space="preserve">(8), 1358-1376. https://doi.org/10.1002/eat.23524 </w:t>
      </w:r>
    </w:p>
    <w:p w14:paraId="1B629953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>Gow, M. L., et al. (2020). Pediatric obesity treatment, self</w:t>
      </w:r>
      <w:r w:rsidRPr="009B6747">
        <w:rPr>
          <w:rFonts w:ascii="Cambria Math" w:hAnsi="Cambria Math" w:cs="Cambria Math"/>
          <w:szCs w:val="20"/>
        </w:rPr>
        <w:t>‐</w:t>
      </w:r>
      <w:r w:rsidRPr="009B6747">
        <w:rPr>
          <w:szCs w:val="20"/>
        </w:rPr>
        <w:t>esteem, and body image: A systematic review with meta</w:t>
      </w:r>
      <w:r w:rsidRPr="009B6747">
        <w:rPr>
          <w:rFonts w:ascii="Cambria Math" w:hAnsi="Cambria Math" w:cs="Cambria Math"/>
          <w:szCs w:val="20"/>
        </w:rPr>
        <w:t>‐</w:t>
      </w:r>
      <w:r w:rsidRPr="009B6747">
        <w:rPr>
          <w:szCs w:val="20"/>
        </w:rPr>
        <w:t xml:space="preserve">analysis. </w:t>
      </w:r>
      <w:r w:rsidRPr="009B6747">
        <w:rPr>
          <w:i/>
          <w:szCs w:val="20"/>
        </w:rPr>
        <w:t>Pediatric Obesity, 15</w:t>
      </w:r>
      <w:r w:rsidRPr="009B6747">
        <w:rPr>
          <w:szCs w:val="20"/>
        </w:rPr>
        <w:t xml:space="preserve">(3), e12600. </w:t>
      </w:r>
    </w:p>
    <w:p w14:paraId="30A0D70D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Kvam, S., et al. (2016). Exercise as a treatment for depression: a meta-analysis. </w:t>
      </w:r>
      <w:r w:rsidRPr="009B6747">
        <w:rPr>
          <w:i/>
          <w:szCs w:val="20"/>
        </w:rPr>
        <w:t>Journal of Affective Disorders, 202</w:t>
      </w:r>
      <w:r w:rsidRPr="009B6747">
        <w:rPr>
          <w:szCs w:val="20"/>
        </w:rPr>
        <w:t xml:space="preserve">, 67-86. https://doi.org/https://doi.org/10.1016/j.jad.2016.03.063 </w:t>
      </w:r>
    </w:p>
    <w:p w14:paraId="2566D5A8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>Lie, S. Ø., et al. (2019). Is bullying and teasing associated with eating disorders? A systematic review and meta</w:t>
      </w:r>
      <w:r w:rsidRPr="009B6747">
        <w:rPr>
          <w:rFonts w:ascii="Cambria Math" w:hAnsi="Cambria Math" w:cs="Cambria Math"/>
          <w:szCs w:val="20"/>
        </w:rPr>
        <w:t>‐</w:t>
      </w:r>
      <w:r w:rsidRPr="009B6747">
        <w:rPr>
          <w:szCs w:val="20"/>
        </w:rPr>
        <w:t xml:space="preserve">analysis. </w:t>
      </w:r>
      <w:r w:rsidRPr="009B6747">
        <w:rPr>
          <w:i/>
          <w:szCs w:val="20"/>
        </w:rPr>
        <w:t>International Journal of Eating Disorders, 52</w:t>
      </w:r>
      <w:r w:rsidRPr="009B6747">
        <w:rPr>
          <w:szCs w:val="20"/>
        </w:rPr>
        <w:t xml:space="preserve">(5), 497-514. https://doi.org/10.1002/eat.23035 </w:t>
      </w:r>
    </w:p>
    <w:p w14:paraId="751F4FE4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Mercado, D., et al. (2021, Nov 1). The outcomes of mindfulness-based interventions for Obesity and Binge Eating Disorder: A meta-analysis of randomised controlled trials. </w:t>
      </w:r>
      <w:r w:rsidRPr="009B6747">
        <w:rPr>
          <w:i/>
          <w:szCs w:val="20"/>
        </w:rPr>
        <w:t>Appetite, 166</w:t>
      </w:r>
      <w:r w:rsidRPr="009B6747">
        <w:rPr>
          <w:szCs w:val="20"/>
        </w:rPr>
        <w:t xml:space="preserve">, 105464. https://doi.org/10.1016/j.appet.2021.105464 </w:t>
      </w:r>
    </w:p>
    <w:p w14:paraId="4D48D111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Moustafa, A. F., et al. (2021). A systematic review of binge eating, loss of control eating, and weight loss in children and adolescents. </w:t>
      </w:r>
      <w:r w:rsidRPr="009B6747">
        <w:rPr>
          <w:i/>
          <w:szCs w:val="20"/>
        </w:rPr>
        <w:t>Obesity, 29</w:t>
      </w:r>
      <w:r w:rsidRPr="009B6747">
        <w:rPr>
          <w:szCs w:val="20"/>
        </w:rPr>
        <w:t xml:space="preserve">(8), 1259-1271. </w:t>
      </w:r>
    </w:p>
    <w:p w14:paraId="7D896119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lastRenderedPageBreak/>
        <w:t xml:space="preserve">Paganini, C., et al. (2018). The overlap between binge eating behaviors and polycystic ovarian syndrome: An etiological integrative model. </w:t>
      </w:r>
      <w:r w:rsidRPr="009B6747">
        <w:rPr>
          <w:i/>
          <w:szCs w:val="20"/>
        </w:rPr>
        <w:t>Current Pharmaceutical Design, 24</w:t>
      </w:r>
      <w:r w:rsidRPr="009B6747">
        <w:rPr>
          <w:szCs w:val="20"/>
        </w:rPr>
        <w:t xml:space="preserve">(9), 999-1006. https://doi.org/10.2174/1381612824666171204151209 </w:t>
      </w:r>
    </w:p>
    <w:p w14:paraId="1A5EF9D0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Palavras, M. A., et al. (2017, Mar 17). The Efficacy of Psychological Therapies in Reducing Weight and Binge Eating in People with Bulimia Nervosa and Binge Eating Disorder Who Are Overweight or Obese-A Critical Synthesis and Meta-Analyses. </w:t>
      </w:r>
      <w:r w:rsidRPr="009B6747">
        <w:rPr>
          <w:i/>
          <w:szCs w:val="20"/>
        </w:rPr>
        <w:t>Nutrients, 9</w:t>
      </w:r>
      <w:r w:rsidRPr="009B6747">
        <w:rPr>
          <w:szCs w:val="20"/>
        </w:rPr>
        <w:t xml:space="preserve">(3). https://doi.org/10.3390/nu9030299 </w:t>
      </w:r>
    </w:p>
    <w:p w14:paraId="48A2729C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Parker, K., et al. (2015). Measurement of disordered eating in bariatric surgery candidates: A systematic review of the literature. </w:t>
      </w:r>
      <w:r w:rsidRPr="009B6747">
        <w:rPr>
          <w:i/>
          <w:szCs w:val="20"/>
        </w:rPr>
        <w:t>Obesity Research &amp; Clinical Practice, 9</w:t>
      </w:r>
      <w:r w:rsidRPr="009B6747">
        <w:rPr>
          <w:szCs w:val="20"/>
        </w:rPr>
        <w:t xml:space="preserve">(1), 12-25. https://doi.org/10.1016/j.orcp.2014.01.005 </w:t>
      </w:r>
    </w:p>
    <w:p w14:paraId="1B13A08B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Parker, K., et al. (2014). Measurement of disordered eating following bariatric surgery: A systematic review of the literature. </w:t>
      </w:r>
      <w:r w:rsidRPr="009B6747">
        <w:rPr>
          <w:i/>
          <w:szCs w:val="20"/>
        </w:rPr>
        <w:t>Obesity Surgery, 24</w:t>
      </w:r>
      <w:r w:rsidRPr="009B6747">
        <w:rPr>
          <w:szCs w:val="20"/>
        </w:rPr>
        <w:t xml:space="preserve">(6), 945-953. https://doi.org/10.1007/s11695-014-1248-4 </w:t>
      </w:r>
    </w:p>
    <w:p w14:paraId="5B02AE1D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Peckmezian, T., et al. (2017). A systematic review and narrative synthesis of interventions for uncomplicated obesity: weight loss, well-being and impact on eating disorders. </w:t>
      </w:r>
      <w:r w:rsidRPr="009B6747">
        <w:rPr>
          <w:i/>
          <w:szCs w:val="20"/>
        </w:rPr>
        <w:t>Journal of eating disorders, 5</w:t>
      </w:r>
      <w:r w:rsidRPr="009B6747">
        <w:rPr>
          <w:szCs w:val="20"/>
        </w:rPr>
        <w:t xml:space="preserve">(1), 1-15. </w:t>
      </w:r>
    </w:p>
    <w:p w14:paraId="10DE8287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Ruotsalainen, H., et al. (2015). Systematic review of physical activity and exercise interventions on body mass indices, subsequent physical activity and psychological symptoms in overweight and obese adolescents. </w:t>
      </w:r>
      <w:r w:rsidRPr="009B6747">
        <w:rPr>
          <w:i/>
          <w:szCs w:val="20"/>
        </w:rPr>
        <w:t>Journal of Advanced Nursing, 71</w:t>
      </w:r>
      <w:r w:rsidRPr="009B6747">
        <w:rPr>
          <w:szCs w:val="20"/>
        </w:rPr>
        <w:t xml:space="preserve">(11), 2461-2477. https://doi.org/10.1111/jan.12696 </w:t>
      </w:r>
    </w:p>
    <w:p w14:paraId="43422F6A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Shaw, K. A., et al. (2006). Exercise for overweight or obesity. </w:t>
      </w:r>
      <w:r w:rsidRPr="009B6747">
        <w:rPr>
          <w:i/>
          <w:szCs w:val="20"/>
        </w:rPr>
        <w:t>Cochrane Database of Systematic Reviews</w:t>
      </w:r>
      <w:r w:rsidRPr="009B6747">
        <w:rPr>
          <w:szCs w:val="20"/>
        </w:rPr>
        <w:t xml:space="preserve">(4). https://doi.org/10.1002/14651858.CD003817.pub3 </w:t>
      </w:r>
    </w:p>
    <w:p w14:paraId="5D21BC17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spacing w:after="0"/>
        <w:ind w:left="720" w:hanging="720"/>
        <w:rPr>
          <w:szCs w:val="20"/>
        </w:rPr>
      </w:pPr>
      <w:r w:rsidRPr="009B6747">
        <w:rPr>
          <w:szCs w:val="20"/>
        </w:rPr>
        <w:t xml:space="preserve">Tam, G., et al. (2018). A systematic review of the long-term effectiveness of work-based lifestyle interventions to tackle overweight and obesity. </w:t>
      </w:r>
      <w:r w:rsidRPr="009B6747">
        <w:rPr>
          <w:i/>
          <w:szCs w:val="20"/>
        </w:rPr>
        <w:t>Preventive Medicine, 107</w:t>
      </w:r>
      <w:r w:rsidRPr="009B6747">
        <w:rPr>
          <w:szCs w:val="20"/>
        </w:rPr>
        <w:t xml:space="preserve">, 54-60. https://doi.org/10.1016/j.ypmed.2017.11.011 </w:t>
      </w:r>
    </w:p>
    <w:p w14:paraId="72399C3D" w14:textId="77777777" w:rsidR="009B6747" w:rsidRPr="009B6747" w:rsidRDefault="009B6747" w:rsidP="009B6747">
      <w:pPr>
        <w:pStyle w:val="EndNoteBibliography"/>
        <w:framePr w:hSpace="0" w:wrap="auto" w:vAnchor="margin" w:hAnchor="text" w:xAlign="left" w:yAlign="inline"/>
        <w:ind w:left="720" w:hanging="720"/>
        <w:rPr>
          <w:szCs w:val="20"/>
        </w:rPr>
      </w:pPr>
      <w:r w:rsidRPr="009B6747">
        <w:rPr>
          <w:szCs w:val="20"/>
        </w:rPr>
        <w:t xml:space="preserve">Ulian, M. D., et al. (2018). Effects of health at every size® interventions on health-related outcomes of people with overweight and obesity: A systematic review. </w:t>
      </w:r>
      <w:r w:rsidRPr="009B6747">
        <w:rPr>
          <w:i/>
          <w:szCs w:val="20"/>
        </w:rPr>
        <w:t>Obesity Reviews, 19</w:t>
      </w:r>
      <w:r w:rsidRPr="009B6747">
        <w:rPr>
          <w:szCs w:val="20"/>
        </w:rPr>
        <w:t xml:space="preserve">(12), 1659-1666. https://doi.org/10.1111/obr.12749 </w:t>
      </w:r>
    </w:p>
    <w:p w14:paraId="73D8F127" w14:textId="77777777" w:rsidR="009B6747" w:rsidRPr="009B6747" w:rsidRDefault="009B6747" w:rsidP="00746DA2">
      <w:pPr>
        <w:rPr>
          <w:szCs w:val="20"/>
          <w:lang w:val="en-US"/>
        </w:rPr>
      </w:pPr>
    </w:p>
    <w:p w14:paraId="2FEA62C3" w14:textId="6BE1A56E" w:rsidR="00746DA2" w:rsidRPr="00746DA2" w:rsidRDefault="00746DA2" w:rsidP="00746DA2">
      <w:pPr>
        <w:rPr>
          <w:lang w:val="en-US"/>
        </w:rPr>
      </w:pPr>
    </w:p>
    <w:sectPr w:rsidR="00746DA2" w:rsidRPr="00746DA2" w:rsidSect="004216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1752C" w14:textId="77777777" w:rsidR="003B00EE" w:rsidRDefault="003B00EE" w:rsidP="00746DA2">
      <w:pPr>
        <w:spacing w:after="0" w:line="240" w:lineRule="auto"/>
      </w:pPr>
      <w:r>
        <w:separator/>
      </w:r>
    </w:p>
  </w:endnote>
  <w:endnote w:type="continuationSeparator" w:id="0">
    <w:p w14:paraId="00A70026" w14:textId="77777777" w:rsidR="003B00EE" w:rsidRDefault="003B00EE" w:rsidP="0074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18F88" w14:textId="77777777" w:rsidR="003B00EE" w:rsidRDefault="003B00EE" w:rsidP="00746DA2">
      <w:pPr>
        <w:spacing w:after="0" w:line="240" w:lineRule="auto"/>
      </w:pPr>
      <w:r>
        <w:separator/>
      </w:r>
    </w:p>
  </w:footnote>
  <w:footnote w:type="continuationSeparator" w:id="0">
    <w:p w14:paraId="777EA4B9" w14:textId="77777777" w:rsidR="003B00EE" w:rsidRDefault="003B00EE" w:rsidP="00746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for NEDC GUidelines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d9ws92t02rz2e999axzwenzzxz9vtfp0p5&quot;&gt;Guidelines_endnote_library_201222&lt;record-ids&gt;&lt;item&gt;2&lt;/item&gt;&lt;item&gt;5&lt;/item&gt;&lt;item&gt;13&lt;/item&gt;&lt;item&gt;14&lt;/item&gt;&lt;item&gt;90&lt;/item&gt;&lt;item&gt;114&lt;/item&gt;&lt;item&gt;116&lt;/item&gt;&lt;item&gt;204&lt;/item&gt;&lt;item&gt;228&lt;/item&gt;&lt;item&gt;233&lt;/item&gt;&lt;item&gt;263&lt;/item&gt;&lt;item&gt;264&lt;/item&gt;&lt;item&gt;286&lt;/item&gt;&lt;item&gt;320&lt;/item&gt;&lt;item&gt;324&lt;/item&gt;&lt;item&gt;325&lt;/item&gt;&lt;item&gt;601&lt;/item&gt;&lt;item&gt;647&lt;/item&gt;&lt;item&gt;650&lt;/item&gt;&lt;item&gt;651&lt;/item&gt;&lt;item&gt;652&lt;/item&gt;&lt;item&gt;653&lt;/item&gt;&lt;item&gt;662&lt;/item&gt;&lt;item&gt;663&lt;/item&gt;&lt;item&gt;665&lt;/item&gt;&lt;item&gt;668&lt;/item&gt;&lt;/record-ids&gt;&lt;/item&gt;&lt;/Libraries&gt;"/>
  </w:docVars>
  <w:rsids>
    <w:rsidRoot w:val="00746DA2"/>
    <w:rsid w:val="00012757"/>
    <w:rsid w:val="00017A5C"/>
    <w:rsid w:val="00057F88"/>
    <w:rsid w:val="00111368"/>
    <w:rsid w:val="00144686"/>
    <w:rsid w:val="0015108A"/>
    <w:rsid w:val="00170554"/>
    <w:rsid w:val="0018288F"/>
    <w:rsid w:val="001F797E"/>
    <w:rsid w:val="00286A14"/>
    <w:rsid w:val="00292492"/>
    <w:rsid w:val="003A0727"/>
    <w:rsid w:val="003B00EE"/>
    <w:rsid w:val="004216E6"/>
    <w:rsid w:val="004D49CA"/>
    <w:rsid w:val="005035EC"/>
    <w:rsid w:val="005606CF"/>
    <w:rsid w:val="005A5ED6"/>
    <w:rsid w:val="005F74E1"/>
    <w:rsid w:val="00603CEF"/>
    <w:rsid w:val="00666703"/>
    <w:rsid w:val="007252BB"/>
    <w:rsid w:val="00746DA2"/>
    <w:rsid w:val="00753A08"/>
    <w:rsid w:val="007D1F7B"/>
    <w:rsid w:val="007F412F"/>
    <w:rsid w:val="008075B5"/>
    <w:rsid w:val="008B12EF"/>
    <w:rsid w:val="008D5CB5"/>
    <w:rsid w:val="008F4675"/>
    <w:rsid w:val="00992E7F"/>
    <w:rsid w:val="009B6747"/>
    <w:rsid w:val="00A24FAC"/>
    <w:rsid w:val="00A41ECE"/>
    <w:rsid w:val="00A477ED"/>
    <w:rsid w:val="00A53452"/>
    <w:rsid w:val="00AA749B"/>
    <w:rsid w:val="00B32E85"/>
    <w:rsid w:val="00B5033B"/>
    <w:rsid w:val="00B75990"/>
    <w:rsid w:val="00C5456F"/>
    <w:rsid w:val="00CD3E54"/>
    <w:rsid w:val="00CF3764"/>
    <w:rsid w:val="00D138A1"/>
    <w:rsid w:val="00D30A98"/>
    <w:rsid w:val="00DA2D16"/>
    <w:rsid w:val="00DF3336"/>
    <w:rsid w:val="00E332CF"/>
    <w:rsid w:val="00E55417"/>
    <w:rsid w:val="00E7250A"/>
    <w:rsid w:val="00E80DCB"/>
    <w:rsid w:val="00EA668F"/>
    <w:rsid w:val="00EF5E67"/>
    <w:rsid w:val="00FF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A3445"/>
  <w15:chartTrackingRefBased/>
  <w15:docId w15:val="{1B32AF56-AA99-465E-B150-67FDC84E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color w:val="282727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D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DA2"/>
  </w:style>
  <w:style w:type="paragraph" w:styleId="Footer">
    <w:name w:val="footer"/>
    <w:basedOn w:val="Normal"/>
    <w:link w:val="FooterChar"/>
    <w:uiPriority w:val="99"/>
    <w:unhideWhenUsed/>
    <w:rsid w:val="00746D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DA2"/>
  </w:style>
  <w:style w:type="character" w:styleId="CommentReference">
    <w:name w:val="annotation reference"/>
    <w:basedOn w:val="DefaultParagraphFont"/>
    <w:uiPriority w:val="99"/>
    <w:semiHidden/>
    <w:unhideWhenUsed/>
    <w:rsid w:val="00111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36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36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3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368"/>
    <w:rPr>
      <w:b/>
      <w:bCs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012757"/>
    <w:pPr>
      <w:framePr w:hSpace="180" w:wrap="around" w:vAnchor="text" w:hAnchor="page" w:x="1" w:y="-719"/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2757"/>
    <w:rPr>
      <w:rFonts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12757"/>
    <w:pPr>
      <w:framePr w:hSpace="180" w:wrap="around" w:vAnchor="text" w:hAnchor="page" w:x="1" w:y="-719"/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12757"/>
    <w:rPr>
      <w:rFonts w:cs="Arial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01275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2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A0278923FF2140AFE8D03A459FBAC6" ma:contentTypeVersion="12" ma:contentTypeDescription="Create a new document." ma:contentTypeScope="" ma:versionID="b6f275a7acacaf3cec3f9adfbdfe92c5">
  <xsd:schema xmlns:xsd="http://www.w3.org/2001/XMLSchema" xmlns:xs="http://www.w3.org/2001/XMLSchema" xmlns:p="http://schemas.microsoft.com/office/2006/metadata/properties" xmlns:ns3="b2668855-572c-4bf7-99d7-40de9b10b3a1" xmlns:ns4="808d0600-a302-470a-a395-30c8dacd9769" targetNamespace="http://schemas.microsoft.com/office/2006/metadata/properties" ma:root="true" ma:fieldsID="8dffebb2440b7a69e0ae1d2c7382e006" ns3:_="" ns4:_="">
    <xsd:import namespace="b2668855-572c-4bf7-99d7-40de9b10b3a1"/>
    <xsd:import namespace="808d0600-a302-470a-a395-30c8dacd97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68855-572c-4bf7-99d7-40de9b10b3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d0600-a302-470a-a395-30c8dacd97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104279-9005-4B52-97C6-F54C672519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1BF68-F686-4752-9174-41A6D5F62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668855-572c-4bf7-99d7-40de9b10b3a1"/>
    <ds:schemaRef ds:uri="808d0600-a302-470a-a395-30c8dacd9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316791-28EA-4435-B963-6D9FF7E2E4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Ralph</dc:creator>
  <cp:keywords/>
  <dc:description/>
  <cp:lastModifiedBy>Nagarajan A G.</cp:lastModifiedBy>
  <cp:revision>8</cp:revision>
  <dcterms:created xsi:type="dcterms:W3CDTF">2022-02-16T08:13:00Z</dcterms:created>
  <dcterms:modified xsi:type="dcterms:W3CDTF">2022-08-12T09:49:00Z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0x01010053A0278923FF2140AFE8D03A459FBAC6</vt:lpwstr>
  </property>
</Properties>
</file>