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9A28B" w14:textId="6C66AD0C" w:rsidR="00415090" w:rsidRPr="00864FED" w:rsidRDefault="00415090">
      <w:pPr>
        <w:rPr>
          <w:rFonts w:ascii="Times New Roman" w:hAnsi="Times New Roman" w:cs="Times New Roman"/>
          <w:sz w:val="21"/>
          <w:szCs w:val="21"/>
        </w:rPr>
      </w:pPr>
      <w:r w:rsidRPr="00864FED">
        <w:rPr>
          <w:rFonts w:ascii="Times New Roman" w:hAnsi="Times New Roman" w:cs="Times New Roman"/>
          <w:b/>
          <w:bCs/>
          <w:sz w:val="21"/>
          <w:szCs w:val="21"/>
        </w:rPr>
        <w:t>Table 1</w:t>
      </w:r>
      <w:r w:rsidR="006272AD" w:rsidRPr="00864FED">
        <w:rPr>
          <w:rFonts w:ascii="Times New Roman" w:hAnsi="Times New Roman" w:cs="Times New Roman"/>
          <w:b/>
          <w:bCs/>
          <w:sz w:val="21"/>
          <w:szCs w:val="21"/>
        </w:rPr>
        <w:t>.</w:t>
      </w:r>
      <w:r w:rsidR="006272AD" w:rsidRPr="00864FED">
        <w:rPr>
          <w:rFonts w:ascii="Times New Roman" w:hAnsi="Times New Roman" w:cs="Times New Roman"/>
          <w:sz w:val="21"/>
          <w:szCs w:val="21"/>
        </w:rPr>
        <w:t xml:space="preserve"> </w:t>
      </w:r>
      <w:r w:rsidRPr="00864FED">
        <w:rPr>
          <w:rFonts w:ascii="Times New Roman" w:hAnsi="Times New Roman" w:cs="Times New Roman"/>
          <w:sz w:val="21"/>
          <w:szCs w:val="21"/>
        </w:rPr>
        <w:t>Studies included in the Rapid Review</w:t>
      </w:r>
      <w:r w:rsidR="00844D32">
        <w:rPr>
          <w:rFonts w:ascii="Times New Roman" w:hAnsi="Times New Roman" w:cs="Times New Roman"/>
          <w:sz w:val="21"/>
          <w:szCs w:val="21"/>
        </w:rPr>
        <w:t xml:space="preserve"> (Outcomes)</w:t>
      </w:r>
    </w:p>
    <w:tbl>
      <w:tblPr>
        <w:tblStyle w:val="TableGrid"/>
        <w:tblW w:w="15163" w:type="dxa"/>
        <w:tblLayout w:type="fixed"/>
        <w:tblLook w:val="04A0" w:firstRow="1" w:lastRow="0" w:firstColumn="1" w:lastColumn="0" w:noHBand="0" w:noVBand="1"/>
      </w:tblPr>
      <w:tblGrid>
        <w:gridCol w:w="1268"/>
        <w:gridCol w:w="1279"/>
        <w:gridCol w:w="1700"/>
        <w:gridCol w:w="710"/>
        <w:gridCol w:w="850"/>
        <w:gridCol w:w="4820"/>
        <w:gridCol w:w="1559"/>
        <w:gridCol w:w="2268"/>
        <w:gridCol w:w="709"/>
      </w:tblGrid>
      <w:tr w:rsidR="00553D21" w:rsidRPr="005016A5" w14:paraId="2CB69602" w14:textId="4BF6A538" w:rsidTr="0002675A">
        <w:trPr>
          <w:cantSplit/>
          <w:trHeight w:val="1178"/>
        </w:trPr>
        <w:tc>
          <w:tcPr>
            <w:tcW w:w="1268" w:type="dxa"/>
          </w:tcPr>
          <w:p w14:paraId="5C254845" w14:textId="1F551685"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Author, Year</w:t>
            </w:r>
          </w:p>
        </w:tc>
        <w:tc>
          <w:tcPr>
            <w:tcW w:w="1279" w:type="dxa"/>
          </w:tcPr>
          <w:p w14:paraId="1D52601A" w14:textId="2E02186E"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Country</w:t>
            </w:r>
          </w:p>
        </w:tc>
        <w:tc>
          <w:tcPr>
            <w:tcW w:w="1700" w:type="dxa"/>
          </w:tcPr>
          <w:p w14:paraId="7C3D8189" w14:textId="055E46BC"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Population</w:t>
            </w:r>
          </w:p>
        </w:tc>
        <w:tc>
          <w:tcPr>
            <w:tcW w:w="710" w:type="dxa"/>
            <w:textDirection w:val="btLr"/>
          </w:tcPr>
          <w:p w14:paraId="1D9DCC4A" w14:textId="77777777" w:rsidR="009A6641" w:rsidRDefault="00553D21" w:rsidP="009A6641">
            <w:pPr>
              <w:ind w:left="113" w:right="113"/>
              <w:jc w:val="right"/>
              <w:rPr>
                <w:rFonts w:ascii="Times New Roman" w:hAnsi="Times New Roman" w:cs="Times New Roman"/>
                <w:b/>
                <w:bCs/>
                <w:sz w:val="18"/>
                <w:szCs w:val="18"/>
              </w:rPr>
            </w:pPr>
            <w:r w:rsidRPr="005016A5">
              <w:rPr>
                <w:rFonts w:ascii="Times New Roman" w:hAnsi="Times New Roman" w:cs="Times New Roman"/>
                <w:b/>
                <w:bCs/>
                <w:sz w:val="18"/>
                <w:szCs w:val="18"/>
              </w:rPr>
              <w:t xml:space="preserve">N </w:t>
            </w:r>
          </w:p>
          <w:p w14:paraId="7D6DAC94" w14:textId="1EF44F95" w:rsidR="00553D21" w:rsidRPr="005016A5" w:rsidRDefault="00553D21" w:rsidP="009A6641">
            <w:pPr>
              <w:ind w:left="113" w:right="113"/>
              <w:jc w:val="right"/>
              <w:rPr>
                <w:rFonts w:ascii="Times New Roman" w:hAnsi="Times New Roman" w:cs="Times New Roman"/>
                <w:b/>
                <w:bCs/>
                <w:sz w:val="18"/>
                <w:szCs w:val="18"/>
              </w:rPr>
            </w:pPr>
            <w:r w:rsidRPr="005016A5">
              <w:rPr>
                <w:rFonts w:ascii="Times New Roman" w:hAnsi="Times New Roman" w:cs="Times New Roman"/>
                <w:b/>
                <w:bCs/>
                <w:sz w:val="18"/>
                <w:szCs w:val="18"/>
              </w:rPr>
              <w:t>studies</w:t>
            </w:r>
          </w:p>
        </w:tc>
        <w:tc>
          <w:tcPr>
            <w:tcW w:w="850" w:type="dxa"/>
            <w:textDirection w:val="btLr"/>
            <w:vAlign w:val="center"/>
          </w:tcPr>
          <w:p w14:paraId="18376B5C" w14:textId="23D65E6E" w:rsidR="00553D21" w:rsidRPr="005016A5" w:rsidRDefault="00553D21" w:rsidP="009A6641">
            <w:pPr>
              <w:ind w:left="113" w:right="113"/>
              <w:jc w:val="right"/>
              <w:rPr>
                <w:rFonts w:ascii="Times New Roman" w:hAnsi="Times New Roman" w:cs="Times New Roman"/>
                <w:b/>
                <w:bCs/>
                <w:sz w:val="18"/>
                <w:szCs w:val="18"/>
              </w:rPr>
            </w:pPr>
            <w:r w:rsidRPr="005016A5">
              <w:rPr>
                <w:rFonts w:ascii="Times New Roman" w:hAnsi="Times New Roman" w:cs="Times New Roman"/>
                <w:b/>
                <w:bCs/>
                <w:sz w:val="18"/>
                <w:szCs w:val="18"/>
              </w:rPr>
              <w:t xml:space="preserve">N </w:t>
            </w:r>
            <w:r w:rsidR="0009036C" w:rsidRPr="005016A5">
              <w:rPr>
                <w:rFonts w:ascii="Times New Roman" w:hAnsi="Times New Roman" w:cs="Times New Roman"/>
                <w:b/>
                <w:bCs/>
                <w:sz w:val="18"/>
                <w:szCs w:val="18"/>
              </w:rPr>
              <w:t>participan</w:t>
            </w:r>
            <w:r w:rsidR="0009036C">
              <w:rPr>
                <w:rFonts w:ascii="Times New Roman" w:hAnsi="Times New Roman" w:cs="Times New Roman"/>
                <w:b/>
                <w:bCs/>
                <w:sz w:val="18"/>
                <w:szCs w:val="18"/>
              </w:rPr>
              <w:t>ts</w:t>
            </w:r>
          </w:p>
        </w:tc>
        <w:tc>
          <w:tcPr>
            <w:tcW w:w="4820" w:type="dxa"/>
            <w:tcBorders>
              <w:bottom w:val="single" w:sz="4" w:space="0" w:color="auto"/>
            </w:tcBorders>
          </w:tcPr>
          <w:p w14:paraId="166415AC" w14:textId="54F3635B"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Aim</w:t>
            </w:r>
          </w:p>
        </w:tc>
        <w:tc>
          <w:tcPr>
            <w:tcW w:w="1559" w:type="dxa"/>
          </w:tcPr>
          <w:p w14:paraId="5E9F5888" w14:textId="129FC280"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Design</w:t>
            </w:r>
          </w:p>
        </w:tc>
        <w:tc>
          <w:tcPr>
            <w:tcW w:w="2268" w:type="dxa"/>
            <w:tcBorders>
              <w:bottom w:val="single" w:sz="4" w:space="0" w:color="auto"/>
            </w:tcBorders>
          </w:tcPr>
          <w:p w14:paraId="4F0958DE" w14:textId="46F9B602"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Outcome Measure</w:t>
            </w:r>
          </w:p>
        </w:tc>
        <w:tc>
          <w:tcPr>
            <w:tcW w:w="709" w:type="dxa"/>
            <w:tcBorders>
              <w:bottom w:val="single" w:sz="4" w:space="0" w:color="auto"/>
            </w:tcBorders>
          </w:tcPr>
          <w:p w14:paraId="502D35B3" w14:textId="0E69590F" w:rsidR="00553D21" w:rsidRPr="005016A5" w:rsidRDefault="00553D21">
            <w:pPr>
              <w:rPr>
                <w:rFonts w:ascii="Times New Roman" w:hAnsi="Times New Roman" w:cs="Times New Roman"/>
                <w:b/>
                <w:bCs/>
                <w:sz w:val="21"/>
                <w:szCs w:val="21"/>
              </w:rPr>
            </w:pPr>
            <w:r w:rsidRPr="005016A5">
              <w:rPr>
                <w:rFonts w:ascii="Times New Roman" w:hAnsi="Times New Roman" w:cs="Times New Roman"/>
                <w:b/>
                <w:bCs/>
                <w:sz w:val="21"/>
                <w:szCs w:val="21"/>
              </w:rPr>
              <w:t>Ref. No.</w:t>
            </w:r>
          </w:p>
        </w:tc>
      </w:tr>
      <w:tr w:rsidR="00553D21" w:rsidRPr="005016A5" w14:paraId="3B850688" w14:textId="77777777" w:rsidTr="0002675A">
        <w:trPr>
          <w:trHeight w:val="298"/>
        </w:trPr>
        <w:tc>
          <w:tcPr>
            <w:tcW w:w="15163" w:type="dxa"/>
            <w:gridSpan w:val="9"/>
            <w:tcBorders>
              <w:right w:val="single" w:sz="4" w:space="0" w:color="auto"/>
            </w:tcBorders>
            <w:shd w:val="clear" w:color="auto" w:fill="BFBFBF" w:themeFill="background1" w:themeFillShade="BF"/>
          </w:tcPr>
          <w:p w14:paraId="6F80CEA8" w14:textId="7E2B5751" w:rsidR="00553D21" w:rsidRPr="005016A5" w:rsidRDefault="00553D21" w:rsidP="0066033B">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recovery, and relapse, including outcome predictors, mediators, and moderators</w:t>
            </w:r>
          </w:p>
        </w:tc>
      </w:tr>
      <w:tr w:rsidR="00553D21" w:rsidRPr="005016A5" w14:paraId="0D4F6206" w14:textId="00085193" w:rsidTr="0002675A">
        <w:trPr>
          <w:trHeight w:val="601"/>
        </w:trPr>
        <w:tc>
          <w:tcPr>
            <w:tcW w:w="1268" w:type="dxa"/>
            <w:noWrap/>
          </w:tcPr>
          <w:p w14:paraId="2BCCC8CC" w14:textId="32CFA6AA" w:rsidR="00553D21" w:rsidRPr="005016A5" w:rsidRDefault="00553D21" w:rsidP="001B1C92">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Accurso</w:t>
            </w:r>
            <w:proofErr w:type="spellEnd"/>
            <w:r w:rsidRPr="005016A5">
              <w:rPr>
                <w:rFonts w:ascii="Times New Roman" w:hAnsi="Times New Roman" w:cs="Times New Roman"/>
                <w:color w:val="000000"/>
                <w:sz w:val="21"/>
                <w:szCs w:val="21"/>
              </w:rPr>
              <w:t xml:space="preserve"> et al., 2016 </w:t>
            </w:r>
          </w:p>
        </w:tc>
        <w:tc>
          <w:tcPr>
            <w:tcW w:w="1279" w:type="dxa"/>
          </w:tcPr>
          <w:p w14:paraId="6A3FF646" w14:textId="63399768"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32D7D62A" w14:textId="3B405D8E"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612A3FAE" w14:textId="77777777" w:rsidR="00553D21" w:rsidRPr="005016A5" w:rsidRDefault="00553D21" w:rsidP="001B1C92">
            <w:pPr>
              <w:rPr>
                <w:rFonts w:ascii="Times New Roman" w:hAnsi="Times New Roman" w:cs="Times New Roman"/>
                <w:color w:val="000000"/>
                <w:sz w:val="21"/>
                <w:szCs w:val="21"/>
              </w:rPr>
            </w:pPr>
          </w:p>
        </w:tc>
        <w:tc>
          <w:tcPr>
            <w:tcW w:w="850" w:type="dxa"/>
          </w:tcPr>
          <w:p w14:paraId="4198B353" w14:textId="09E35755" w:rsidR="00553D21" w:rsidRPr="005016A5" w:rsidRDefault="00F57F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80</w:t>
            </w:r>
          </w:p>
        </w:tc>
        <w:tc>
          <w:tcPr>
            <w:tcW w:w="4820" w:type="dxa"/>
            <w:tcBorders>
              <w:top w:val="single" w:sz="4" w:space="0" w:color="auto"/>
              <w:left w:val="nil"/>
              <w:bottom w:val="single" w:sz="4" w:space="0" w:color="auto"/>
              <w:right w:val="nil"/>
            </w:tcBorders>
          </w:tcPr>
          <w:p w14:paraId="1D3FD0F7" w14:textId="3D8C11EE"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predictors and moderators (incl. depression, anxiety, emotion dysregulation, affective lability, stimulus seeking, intimacy problems, actual-ideal self-discrepancy, actual-ought self-discrepancy, self-blame, and self-control) of outcome in two treatments (ICAT-BN or CBT-E) for bulimia nervosa (BN).</w:t>
            </w:r>
          </w:p>
        </w:tc>
        <w:tc>
          <w:tcPr>
            <w:tcW w:w="1559" w:type="dxa"/>
          </w:tcPr>
          <w:p w14:paraId="3440670D" w14:textId="691D5003" w:rsidR="00553D21" w:rsidRPr="005016A5" w:rsidRDefault="00553D21" w:rsidP="001B1C92">
            <w:pPr>
              <w:rPr>
                <w:rFonts w:ascii="Times New Roman" w:hAnsi="Times New Roman" w:cs="Times New Roman"/>
                <w:sz w:val="21"/>
                <w:szCs w:val="21"/>
              </w:rPr>
            </w:pPr>
            <w:r w:rsidRPr="005016A5">
              <w:rPr>
                <w:rFonts w:ascii="Times New Roman" w:hAnsi="Times New Roman" w:cs="Times New Roman"/>
                <w:sz w:val="21"/>
                <w:szCs w:val="21"/>
              </w:rPr>
              <w:t>RCT</w:t>
            </w:r>
          </w:p>
        </w:tc>
        <w:tc>
          <w:tcPr>
            <w:tcW w:w="2268" w:type="dxa"/>
            <w:tcBorders>
              <w:top w:val="single" w:sz="4" w:space="0" w:color="auto"/>
              <w:left w:val="nil"/>
              <w:bottom w:val="single" w:sz="4" w:space="0" w:color="auto"/>
              <w:right w:val="single" w:sz="4" w:space="0" w:color="auto"/>
            </w:tcBorders>
          </w:tcPr>
          <w:p w14:paraId="25BE36F7" w14:textId="2493616D"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Eating disorder psychopathology at end of treatment and four-month follow-up</w:t>
            </w:r>
          </w:p>
        </w:tc>
        <w:tc>
          <w:tcPr>
            <w:tcW w:w="709" w:type="dxa"/>
            <w:tcBorders>
              <w:top w:val="single" w:sz="4" w:space="0" w:color="auto"/>
              <w:left w:val="nil"/>
              <w:bottom w:val="single" w:sz="4" w:space="0" w:color="auto"/>
              <w:right w:val="single" w:sz="4" w:space="0" w:color="auto"/>
            </w:tcBorders>
          </w:tcPr>
          <w:p w14:paraId="5A2E3165" w14:textId="2800E767" w:rsidR="00553D21" w:rsidRPr="005016A5" w:rsidRDefault="001748D3"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75</w:t>
            </w:r>
          </w:p>
        </w:tc>
      </w:tr>
      <w:tr w:rsidR="00553D21" w:rsidRPr="005016A5" w14:paraId="4C3B1F40" w14:textId="6BB2309F" w:rsidTr="0002675A">
        <w:trPr>
          <w:trHeight w:val="601"/>
        </w:trPr>
        <w:tc>
          <w:tcPr>
            <w:tcW w:w="1268" w:type="dxa"/>
            <w:noWrap/>
          </w:tcPr>
          <w:p w14:paraId="09B24361" w14:textId="2866E1F7" w:rsidR="00553D21" w:rsidRPr="005016A5" w:rsidRDefault="00553D21" w:rsidP="001B1C92">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Agras</w:t>
            </w:r>
            <w:proofErr w:type="spellEnd"/>
            <w:r w:rsidRPr="005016A5">
              <w:rPr>
                <w:rFonts w:ascii="Times New Roman" w:hAnsi="Times New Roman" w:cs="Times New Roman"/>
                <w:color w:val="000000"/>
                <w:sz w:val="21"/>
                <w:szCs w:val="21"/>
              </w:rPr>
              <w:t xml:space="preserve"> et al., 2009</w:t>
            </w:r>
          </w:p>
        </w:tc>
        <w:tc>
          <w:tcPr>
            <w:tcW w:w="1279" w:type="dxa"/>
          </w:tcPr>
          <w:p w14:paraId="16CF8FBF" w14:textId="43B874D1"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33CA4C02" w14:textId="305CD678"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Mixed: community and specialty clinics (Adult, Both Sexes)</w:t>
            </w:r>
          </w:p>
        </w:tc>
        <w:tc>
          <w:tcPr>
            <w:tcW w:w="710" w:type="dxa"/>
          </w:tcPr>
          <w:p w14:paraId="5CF680E7" w14:textId="77777777" w:rsidR="00553D21" w:rsidRPr="005016A5" w:rsidRDefault="00553D21" w:rsidP="001B1C92">
            <w:pPr>
              <w:rPr>
                <w:rFonts w:ascii="Times New Roman" w:hAnsi="Times New Roman" w:cs="Times New Roman"/>
                <w:color w:val="000000"/>
                <w:sz w:val="21"/>
                <w:szCs w:val="21"/>
              </w:rPr>
            </w:pPr>
          </w:p>
        </w:tc>
        <w:tc>
          <w:tcPr>
            <w:tcW w:w="850" w:type="dxa"/>
          </w:tcPr>
          <w:p w14:paraId="5869C099" w14:textId="406D5CE6" w:rsidR="00553D21" w:rsidRPr="005016A5" w:rsidRDefault="00F57F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385</w:t>
            </w:r>
          </w:p>
        </w:tc>
        <w:tc>
          <w:tcPr>
            <w:tcW w:w="4820" w:type="dxa"/>
            <w:tcBorders>
              <w:top w:val="single" w:sz="4" w:space="0" w:color="auto"/>
              <w:left w:val="nil"/>
              <w:bottom w:val="single" w:sz="4" w:space="0" w:color="auto"/>
              <w:right w:val="nil"/>
            </w:tcBorders>
          </w:tcPr>
          <w:p w14:paraId="72D2B659" w14:textId="00304F95"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the course of Eating Disorder NOS (EDNOS) compared with anorexia nervosa (AN), bulimia nervosa (BN), and binge eating disorder (BED).</w:t>
            </w:r>
          </w:p>
        </w:tc>
        <w:tc>
          <w:tcPr>
            <w:tcW w:w="1559" w:type="dxa"/>
          </w:tcPr>
          <w:p w14:paraId="18AA7B6E" w14:textId="5877CA00" w:rsidR="00553D21" w:rsidRPr="005016A5" w:rsidRDefault="00553D21" w:rsidP="001B1C92">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5F4DF19E" w14:textId="068D45BC"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Relapse and remission; time to remission in AN, BN, BED and EDNOS.</w:t>
            </w:r>
          </w:p>
        </w:tc>
        <w:tc>
          <w:tcPr>
            <w:tcW w:w="709" w:type="dxa"/>
            <w:tcBorders>
              <w:top w:val="single" w:sz="4" w:space="0" w:color="auto"/>
              <w:left w:val="nil"/>
              <w:bottom w:val="single" w:sz="4" w:space="0" w:color="auto"/>
              <w:right w:val="single" w:sz="4" w:space="0" w:color="auto"/>
            </w:tcBorders>
          </w:tcPr>
          <w:p w14:paraId="2E002731" w14:textId="5DB2AB78" w:rsidR="00553D21" w:rsidRPr="005016A5" w:rsidRDefault="000E4AC6"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21</w:t>
            </w:r>
          </w:p>
        </w:tc>
      </w:tr>
      <w:tr w:rsidR="00553D21" w:rsidRPr="005016A5" w14:paraId="76F76768" w14:textId="05AAA375" w:rsidTr="0002675A">
        <w:trPr>
          <w:trHeight w:val="601"/>
        </w:trPr>
        <w:tc>
          <w:tcPr>
            <w:tcW w:w="1268" w:type="dxa"/>
            <w:noWrap/>
          </w:tcPr>
          <w:p w14:paraId="5E40DB69" w14:textId="2B769342"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Allen et al., 2013</w:t>
            </w:r>
          </w:p>
        </w:tc>
        <w:tc>
          <w:tcPr>
            <w:tcW w:w="1279" w:type="dxa"/>
          </w:tcPr>
          <w:p w14:paraId="792E3697" w14:textId="7EFC1D2B"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Australia</w:t>
            </w:r>
          </w:p>
        </w:tc>
        <w:tc>
          <w:tcPr>
            <w:tcW w:w="1700" w:type="dxa"/>
          </w:tcPr>
          <w:p w14:paraId="7CF12AD3" w14:textId="4783AED3"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(Young people aged &lt;20, Both Sexes)</w:t>
            </w:r>
          </w:p>
        </w:tc>
        <w:tc>
          <w:tcPr>
            <w:tcW w:w="710" w:type="dxa"/>
          </w:tcPr>
          <w:p w14:paraId="45CCAFFE" w14:textId="77777777" w:rsidR="00553D21" w:rsidRPr="005016A5" w:rsidRDefault="00553D21" w:rsidP="001B1C92">
            <w:pPr>
              <w:rPr>
                <w:rFonts w:ascii="Times New Roman" w:hAnsi="Times New Roman" w:cs="Times New Roman"/>
                <w:color w:val="000000"/>
                <w:sz w:val="21"/>
                <w:szCs w:val="21"/>
              </w:rPr>
            </w:pPr>
          </w:p>
        </w:tc>
        <w:tc>
          <w:tcPr>
            <w:tcW w:w="850" w:type="dxa"/>
          </w:tcPr>
          <w:p w14:paraId="48AF9CA3" w14:textId="6D5B5329" w:rsidR="00553D21" w:rsidRPr="005016A5" w:rsidRDefault="009A75ED"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1383</w:t>
            </w:r>
          </w:p>
        </w:tc>
        <w:tc>
          <w:tcPr>
            <w:tcW w:w="4820" w:type="dxa"/>
            <w:tcBorders>
              <w:top w:val="single" w:sz="4" w:space="0" w:color="auto"/>
              <w:left w:val="nil"/>
              <w:bottom w:val="single" w:sz="4" w:space="0" w:color="auto"/>
              <w:right w:val="nil"/>
            </w:tcBorders>
          </w:tcPr>
          <w:p w14:paraId="4B04D71D" w14:textId="45C8F018"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describe the course of early onset eating disorders in a population-based sample followed from 14 to 20 years; identify variables that could account for the persistence of eating disorders from 14 to 20 years; and describe outcome of early onset eating disorders with reference to general and psychological functioning at age 20. </w:t>
            </w:r>
          </w:p>
        </w:tc>
        <w:tc>
          <w:tcPr>
            <w:tcW w:w="1559" w:type="dxa"/>
          </w:tcPr>
          <w:p w14:paraId="13BD541F" w14:textId="21B84701" w:rsidR="00553D21" w:rsidRPr="005016A5" w:rsidRDefault="00553D21" w:rsidP="001B1C92">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6150E1E8" w14:textId="3588A4B1"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psychopathology, anxiety and depressive disorders, behavioural problems.</w:t>
            </w:r>
          </w:p>
        </w:tc>
        <w:tc>
          <w:tcPr>
            <w:tcW w:w="709" w:type="dxa"/>
            <w:tcBorders>
              <w:top w:val="single" w:sz="4" w:space="0" w:color="auto"/>
              <w:left w:val="nil"/>
              <w:bottom w:val="single" w:sz="4" w:space="0" w:color="auto"/>
              <w:right w:val="single" w:sz="4" w:space="0" w:color="auto"/>
            </w:tcBorders>
          </w:tcPr>
          <w:p w14:paraId="7E4D6EDB" w14:textId="0AA931DE" w:rsidR="00553D21" w:rsidRPr="005016A5" w:rsidRDefault="005F7E6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92</w:t>
            </w:r>
          </w:p>
        </w:tc>
      </w:tr>
      <w:tr w:rsidR="00553D21" w:rsidRPr="005016A5" w14:paraId="1EB08527" w14:textId="2303374C" w:rsidTr="0002675A">
        <w:trPr>
          <w:trHeight w:val="601"/>
        </w:trPr>
        <w:tc>
          <w:tcPr>
            <w:tcW w:w="1268" w:type="dxa"/>
            <w:noWrap/>
          </w:tcPr>
          <w:p w14:paraId="0C46F0BA" w14:textId="1B441E73" w:rsidR="00553D21" w:rsidRPr="005016A5" w:rsidRDefault="00553D21" w:rsidP="001B1C92">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Amianto</w:t>
            </w:r>
            <w:proofErr w:type="spellEnd"/>
            <w:r w:rsidRPr="005016A5">
              <w:rPr>
                <w:rFonts w:ascii="Times New Roman" w:hAnsi="Times New Roman" w:cs="Times New Roman"/>
                <w:color w:val="000000"/>
                <w:sz w:val="21"/>
                <w:szCs w:val="21"/>
              </w:rPr>
              <w:t xml:space="preserve"> et al. 2017</w:t>
            </w:r>
          </w:p>
        </w:tc>
        <w:tc>
          <w:tcPr>
            <w:tcW w:w="1279" w:type="dxa"/>
          </w:tcPr>
          <w:p w14:paraId="188DD16F" w14:textId="1F50CFA3"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13A85C34" w14:textId="662BFFA0"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Females)</w:t>
            </w:r>
          </w:p>
        </w:tc>
        <w:tc>
          <w:tcPr>
            <w:tcW w:w="710" w:type="dxa"/>
          </w:tcPr>
          <w:p w14:paraId="4920469B" w14:textId="77777777" w:rsidR="00553D21" w:rsidRPr="005016A5" w:rsidRDefault="00553D21" w:rsidP="001B1C92">
            <w:pPr>
              <w:rPr>
                <w:rFonts w:ascii="Times New Roman" w:hAnsi="Times New Roman" w:cs="Times New Roman"/>
                <w:color w:val="000000"/>
                <w:sz w:val="21"/>
                <w:szCs w:val="21"/>
              </w:rPr>
            </w:pPr>
          </w:p>
        </w:tc>
        <w:tc>
          <w:tcPr>
            <w:tcW w:w="850" w:type="dxa"/>
          </w:tcPr>
          <w:p w14:paraId="17DD184C" w14:textId="4CA6F23E" w:rsidR="00553D21" w:rsidRPr="005016A5" w:rsidRDefault="00124D16"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59</w:t>
            </w:r>
          </w:p>
        </w:tc>
        <w:tc>
          <w:tcPr>
            <w:tcW w:w="4820" w:type="dxa"/>
            <w:tcBorders>
              <w:top w:val="single" w:sz="4" w:space="0" w:color="auto"/>
              <w:left w:val="nil"/>
              <w:bottom w:val="single" w:sz="4" w:space="0" w:color="auto"/>
              <w:right w:val="nil"/>
            </w:tcBorders>
          </w:tcPr>
          <w:p w14:paraId="3CE5F84E" w14:textId="23EB6060"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report on the 8 </w:t>
            </w:r>
            <w:proofErr w:type="gramStart"/>
            <w:r w:rsidRPr="005016A5">
              <w:rPr>
                <w:rFonts w:ascii="Times New Roman" w:hAnsi="Times New Roman" w:cs="Times New Roman"/>
                <w:color w:val="000000"/>
                <w:sz w:val="21"/>
                <w:szCs w:val="21"/>
              </w:rPr>
              <w:t>year</w:t>
            </w:r>
            <w:proofErr w:type="gramEnd"/>
            <w:r w:rsidRPr="005016A5">
              <w:rPr>
                <w:rFonts w:ascii="Times New Roman" w:hAnsi="Times New Roman" w:cs="Times New Roman"/>
                <w:color w:val="000000"/>
                <w:sz w:val="21"/>
                <w:szCs w:val="21"/>
              </w:rPr>
              <w:t xml:space="preserve"> follow up of a sample of AN patients treated with an integrated treatment model.</w:t>
            </w:r>
          </w:p>
        </w:tc>
        <w:tc>
          <w:tcPr>
            <w:tcW w:w="1559" w:type="dxa"/>
          </w:tcPr>
          <w:p w14:paraId="5D7391C4" w14:textId="7293AECF" w:rsidR="00553D21" w:rsidRPr="005016A5" w:rsidRDefault="00553D21" w:rsidP="001B1C92">
            <w:pPr>
              <w:rPr>
                <w:rFonts w:ascii="Times New Roman" w:hAnsi="Times New Roman" w:cs="Times New Roman"/>
                <w:sz w:val="21"/>
                <w:szCs w:val="21"/>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35ABE658" w14:textId="26A636D5" w:rsidR="00553D21" w:rsidRPr="005016A5" w:rsidRDefault="00553D21"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BMI, ED psychopathology, personality features and comorbid psychopathology at follow-up.</w:t>
            </w:r>
          </w:p>
        </w:tc>
        <w:tc>
          <w:tcPr>
            <w:tcW w:w="709" w:type="dxa"/>
            <w:tcBorders>
              <w:top w:val="single" w:sz="4" w:space="0" w:color="auto"/>
              <w:left w:val="nil"/>
              <w:bottom w:val="single" w:sz="4" w:space="0" w:color="auto"/>
              <w:right w:val="single" w:sz="4" w:space="0" w:color="auto"/>
            </w:tcBorders>
          </w:tcPr>
          <w:p w14:paraId="4D6D2F15" w14:textId="42140737" w:rsidR="00553D21" w:rsidRPr="005016A5" w:rsidRDefault="00F34138" w:rsidP="001B1C9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68</w:t>
            </w:r>
          </w:p>
        </w:tc>
      </w:tr>
      <w:tr w:rsidR="00553D21" w:rsidRPr="005016A5" w14:paraId="53807917" w14:textId="7BEF047F" w:rsidTr="0002675A">
        <w:trPr>
          <w:trHeight w:val="601"/>
        </w:trPr>
        <w:tc>
          <w:tcPr>
            <w:tcW w:w="1268" w:type="dxa"/>
            <w:noWrap/>
          </w:tcPr>
          <w:p w14:paraId="40C3D796" w14:textId="4C700862"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Ando et al., 2010</w:t>
            </w:r>
          </w:p>
        </w:tc>
        <w:tc>
          <w:tcPr>
            <w:tcW w:w="1279" w:type="dxa"/>
          </w:tcPr>
          <w:p w14:paraId="34325EFF" w14:textId="00FE6FB9"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Japan</w:t>
            </w:r>
          </w:p>
        </w:tc>
        <w:tc>
          <w:tcPr>
            <w:tcW w:w="1700" w:type="dxa"/>
          </w:tcPr>
          <w:p w14:paraId="0B733DBF" w14:textId="0D3E2676"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Females)</w:t>
            </w:r>
          </w:p>
        </w:tc>
        <w:tc>
          <w:tcPr>
            <w:tcW w:w="710" w:type="dxa"/>
          </w:tcPr>
          <w:p w14:paraId="26827B2C" w14:textId="77777777" w:rsidR="00553D21" w:rsidRPr="005016A5" w:rsidRDefault="00553D21" w:rsidP="004A5911">
            <w:pPr>
              <w:rPr>
                <w:rFonts w:ascii="Times New Roman" w:hAnsi="Times New Roman" w:cs="Times New Roman"/>
                <w:color w:val="000000"/>
                <w:sz w:val="21"/>
                <w:szCs w:val="21"/>
              </w:rPr>
            </w:pPr>
          </w:p>
        </w:tc>
        <w:tc>
          <w:tcPr>
            <w:tcW w:w="850" w:type="dxa"/>
          </w:tcPr>
          <w:p w14:paraId="25B4BE55" w14:textId="04E58242" w:rsidR="00553D21" w:rsidRPr="005016A5" w:rsidRDefault="007430B0"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165</w:t>
            </w:r>
          </w:p>
        </w:tc>
        <w:tc>
          <w:tcPr>
            <w:tcW w:w="4820" w:type="dxa"/>
            <w:tcBorders>
              <w:top w:val="single" w:sz="4" w:space="0" w:color="auto"/>
              <w:left w:val="nil"/>
              <w:bottom w:val="single" w:sz="4" w:space="0" w:color="auto"/>
              <w:right w:val="nil"/>
            </w:tcBorders>
          </w:tcPr>
          <w:p w14:paraId="5F148B72" w14:textId="082C4737"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examine whether the ghrelin gene 3056 T→C SNP was related to changes from AN-R to other subtypes of eating disorders. </w:t>
            </w:r>
          </w:p>
        </w:tc>
        <w:tc>
          <w:tcPr>
            <w:tcW w:w="1559" w:type="dxa"/>
          </w:tcPr>
          <w:p w14:paraId="3236840F" w14:textId="240D919C" w:rsidR="00553D21" w:rsidRPr="005016A5" w:rsidRDefault="00553D21" w:rsidP="004A5911">
            <w:pPr>
              <w:rPr>
                <w:rFonts w:ascii="Times New Roman" w:hAnsi="Times New Roman" w:cs="Times New Roman"/>
                <w:sz w:val="21"/>
                <w:szCs w:val="21"/>
              </w:rPr>
            </w:pPr>
            <w:r w:rsidRPr="005016A5">
              <w:rPr>
                <w:rFonts w:ascii="Times New Roman" w:hAnsi="Times New Roman" w:cs="Times New Roman"/>
                <w:sz w:val="21"/>
                <w:szCs w:val="21"/>
              </w:rPr>
              <w:t>Cross-sectional (Correlational)</w:t>
            </w:r>
          </w:p>
        </w:tc>
        <w:tc>
          <w:tcPr>
            <w:tcW w:w="2268" w:type="dxa"/>
            <w:tcBorders>
              <w:top w:val="single" w:sz="4" w:space="0" w:color="auto"/>
              <w:left w:val="nil"/>
              <w:bottom w:val="single" w:sz="4" w:space="0" w:color="auto"/>
              <w:right w:val="single" w:sz="4" w:space="0" w:color="auto"/>
            </w:tcBorders>
          </w:tcPr>
          <w:p w14:paraId="7074FFA6" w14:textId="3797D5AE"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The 3056 T-C SNP of the ghrelin gene</w:t>
            </w:r>
          </w:p>
        </w:tc>
        <w:tc>
          <w:tcPr>
            <w:tcW w:w="709" w:type="dxa"/>
            <w:tcBorders>
              <w:top w:val="single" w:sz="4" w:space="0" w:color="auto"/>
              <w:left w:val="nil"/>
              <w:bottom w:val="single" w:sz="4" w:space="0" w:color="auto"/>
              <w:right w:val="single" w:sz="4" w:space="0" w:color="auto"/>
            </w:tcBorders>
          </w:tcPr>
          <w:p w14:paraId="1B8C8076" w14:textId="30EB6754" w:rsidR="00553D21" w:rsidRPr="005016A5" w:rsidRDefault="008A413D"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71</w:t>
            </w:r>
          </w:p>
        </w:tc>
      </w:tr>
      <w:tr w:rsidR="00553D21" w:rsidRPr="005016A5" w14:paraId="41C09BA7" w14:textId="42B6B062" w:rsidTr="0002675A">
        <w:trPr>
          <w:trHeight w:val="601"/>
        </w:trPr>
        <w:tc>
          <w:tcPr>
            <w:tcW w:w="1268" w:type="dxa"/>
            <w:noWrap/>
          </w:tcPr>
          <w:p w14:paraId="56B65426" w14:textId="59929C7B"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Austin et al., 202</w:t>
            </w:r>
            <w:r w:rsidR="00E0229C" w:rsidRPr="005016A5">
              <w:rPr>
                <w:rFonts w:ascii="Times New Roman" w:hAnsi="Times New Roman" w:cs="Times New Roman"/>
                <w:color w:val="000000"/>
                <w:sz w:val="21"/>
                <w:szCs w:val="21"/>
              </w:rPr>
              <w:t>1</w:t>
            </w:r>
          </w:p>
        </w:tc>
        <w:tc>
          <w:tcPr>
            <w:tcW w:w="1279" w:type="dxa"/>
          </w:tcPr>
          <w:p w14:paraId="2BC70DD9" w14:textId="6481A70D"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0E6B01B8" w14:textId="190D3A1A"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Both Sexes)</w:t>
            </w:r>
          </w:p>
        </w:tc>
        <w:tc>
          <w:tcPr>
            <w:tcW w:w="710" w:type="dxa"/>
          </w:tcPr>
          <w:p w14:paraId="234510D4" w14:textId="377D2690" w:rsidR="00553D21" w:rsidRPr="005016A5" w:rsidRDefault="0012781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14</w:t>
            </w:r>
          </w:p>
        </w:tc>
        <w:tc>
          <w:tcPr>
            <w:tcW w:w="850" w:type="dxa"/>
          </w:tcPr>
          <w:p w14:paraId="078A4572" w14:textId="77777777" w:rsidR="00553D21" w:rsidRPr="005016A5" w:rsidRDefault="00553D21" w:rsidP="004A5911">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3A2DB90D" w14:textId="68D326F4"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evaluate the average duration of untreated ED (DUED) in help-seeking populations at the time of first ED treatment and investigate the association between DUED and symptom severity/clinical outcomes</w:t>
            </w:r>
          </w:p>
        </w:tc>
        <w:tc>
          <w:tcPr>
            <w:tcW w:w="1559" w:type="dxa"/>
          </w:tcPr>
          <w:p w14:paraId="0720ECF6" w14:textId="108F67FD" w:rsidR="00553D21" w:rsidRPr="005016A5" w:rsidRDefault="00553D21" w:rsidP="004A5911">
            <w:pPr>
              <w:rPr>
                <w:rFonts w:ascii="Times New Roman" w:hAnsi="Times New Roman" w:cs="Times New Roman"/>
                <w:sz w:val="21"/>
                <w:szCs w:val="21"/>
              </w:rPr>
            </w:pPr>
            <w:r w:rsidRPr="005016A5">
              <w:rPr>
                <w:rFonts w:ascii="Times New Roman" w:hAnsi="Times New Roman" w:cs="Times New Roman"/>
                <w:sz w:val="21"/>
                <w:szCs w:val="21"/>
              </w:rPr>
              <w:t>Review (systematic)</w:t>
            </w:r>
          </w:p>
        </w:tc>
        <w:tc>
          <w:tcPr>
            <w:tcW w:w="2268" w:type="dxa"/>
            <w:tcBorders>
              <w:top w:val="single" w:sz="4" w:space="0" w:color="auto"/>
              <w:left w:val="nil"/>
              <w:bottom w:val="single" w:sz="4" w:space="0" w:color="auto"/>
              <w:right w:val="single" w:sz="4" w:space="0" w:color="auto"/>
            </w:tcBorders>
          </w:tcPr>
          <w:p w14:paraId="152F468D" w14:textId="7D968F0C"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Clinical outcomes of ED, length and progression </w:t>
            </w:r>
            <w:proofErr w:type="gramStart"/>
            <w:r w:rsidRPr="005016A5">
              <w:rPr>
                <w:rFonts w:ascii="Times New Roman" w:hAnsi="Times New Roman" w:cs="Times New Roman"/>
                <w:color w:val="000000"/>
                <w:sz w:val="21"/>
                <w:szCs w:val="21"/>
              </w:rPr>
              <w:t>of  ED</w:t>
            </w:r>
            <w:proofErr w:type="gramEnd"/>
            <w:r w:rsidRPr="005016A5">
              <w:rPr>
                <w:rFonts w:ascii="Times New Roman" w:hAnsi="Times New Roman" w:cs="Times New Roman"/>
                <w:color w:val="000000"/>
                <w:sz w:val="21"/>
                <w:szCs w:val="21"/>
              </w:rPr>
              <w:t xml:space="preserve"> or DUED</w:t>
            </w:r>
          </w:p>
        </w:tc>
        <w:tc>
          <w:tcPr>
            <w:tcW w:w="709" w:type="dxa"/>
            <w:tcBorders>
              <w:top w:val="single" w:sz="4" w:space="0" w:color="auto"/>
              <w:left w:val="nil"/>
              <w:bottom w:val="single" w:sz="4" w:space="0" w:color="auto"/>
              <w:right w:val="single" w:sz="4" w:space="0" w:color="auto"/>
            </w:tcBorders>
          </w:tcPr>
          <w:p w14:paraId="7599782A" w14:textId="688A0993" w:rsidR="00553D21" w:rsidRPr="005016A5" w:rsidRDefault="00E0229C"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70</w:t>
            </w:r>
          </w:p>
        </w:tc>
      </w:tr>
      <w:tr w:rsidR="00553D21" w:rsidRPr="005016A5" w14:paraId="00F02D49" w14:textId="35216F3B" w:rsidTr="0002675A">
        <w:trPr>
          <w:trHeight w:val="601"/>
        </w:trPr>
        <w:tc>
          <w:tcPr>
            <w:tcW w:w="1268" w:type="dxa"/>
            <w:noWrap/>
          </w:tcPr>
          <w:p w14:paraId="26CEE496" w14:textId="5CF0B35C"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Austin et al., 202</w:t>
            </w:r>
            <w:r w:rsidR="00A10502" w:rsidRPr="005016A5">
              <w:rPr>
                <w:rFonts w:ascii="Times New Roman" w:hAnsi="Times New Roman" w:cs="Times New Roman"/>
                <w:color w:val="000000"/>
                <w:sz w:val="21"/>
                <w:szCs w:val="21"/>
              </w:rPr>
              <w:t>2</w:t>
            </w:r>
          </w:p>
        </w:tc>
        <w:tc>
          <w:tcPr>
            <w:tcW w:w="1279" w:type="dxa"/>
          </w:tcPr>
          <w:p w14:paraId="6A241B11" w14:textId="78675DC2"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UK</w:t>
            </w:r>
          </w:p>
        </w:tc>
        <w:tc>
          <w:tcPr>
            <w:tcW w:w="1700" w:type="dxa"/>
          </w:tcPr>
          <w:p w14:paraId="062F4D72" w14:textId="2AA65EBD"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Both Sexes)</w:t>
            </w:r>
          </w:p>
        </w:tc>
        <w:tc>
          <w:tcPr>
            <w:tcW w:w="710" w:type="dxa"/>
          </w:tcPr>
          <w:p w14:paraId="6883A4BB" w14:textId="77777777" w:rsidR="00553D21" w:rsidRPr="005016A5" w:rsidRDefault="00553D21" w:rsidP="004A5911">
            <w:pPr>
              <w:rPr>
                <w:rFonts w:ascii="Times New Roman" w:hAnsi="Times New Roman" w:cs="Times New Roman"/>
                <w:color w:val="000000"/>
                <w:sz w:val="21"/>
                <w:szCs w:val="21"/>
              </w:rPr>
            </w:pPr>
          </w:p>
        </w:tc>
        <w:tc>
          <w:tcPr>
            <w:tcW w:w="850" w:type="dxa"/>
          </w:tcPr>
          <w:p w14:paraId="347772F4" w14:textId="186CCA1D" w:rsidR="00553D21" w:rsidRPr="005016A5" w:rsidRDefault="00BD78D5"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278</w:t>
            </w:r>
          </w:p>
        </w:tc>
        <w:tc>
          <w:tcPr>
            <w:tcW w:w="4820" w:type="dxa"/>
            <w:tcBorders>
              <w:top w:val="single" w:sz="4" w:space="0" w:color="auto"/>
              <w:left w:val="nil"/>
              <w:bottom w:val="single" w:sz="4" w:space="0" w:color="auto"/>
              <w:right w:val="nil"/>
            </w:tcBorders>
          </w:tcPr>
          <w:p w14:paraId="5FBAC1F7" w14:textId="03F3A116"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ED and other clinical outcomes over time within the FREED group and within clinical subgroups, to compare change in BMI for FREED (First Episode Rapid Early Intervention for ED) and TAU (Treatment as usual) participants with AN, and to compare service use between FREED and TAU patients.</w:t>
            </w:r>
          </w:p>
        </w:tc>
        <w:tc>
          <w:tcPr>
            <w:tcW w:w="1559" w:type="dxa"/>
          </w:tcPr>
          <w:p w14:paraId="1AAFF960" w14:textId="61E3A74E" w:rsidR="00553D21" w:rsidRPr="005016A5" w:rsidRDefault="00553D21" w:rsidP="004A5911">
            <w:pPr>
              <w:rPr>
                <w:rFonts w:ascii="Times New Roman" w:hAnsi="Times New Roman" w:cs="Times New Roman"/>
                <w:sz w:val="21"/>
                <w:szCs w:val="21"/>
              </w:rPr>
            </w:pPr>
            <w:r w:rsidRPr="005016A5">
              <w:rPr>
                <w:rFonts w:ascii="Times New Roman" w:hAnsi="Times New Roman" w:cs="Times New Roman"/>
                <w:sz w:val="21"/>
                <w:szCs w:val="21"/>
              </w:rPr>
              <w:t>Quasi-experimental</w:t>
            </w:r>
          </w:p>
        </w:tc>
        <w:tc>
          <w:tcPr>
            <w:tcW w:w="2268" w:type="dxa"/>
            <w:tcBorders>
              <w:top w:val="single" w:sz="4" w:space="0" w:color="auto"/>
              <w:left w:val="nil"/>
              <w:bottom w:val="single" w:sz="4" w:space="0" w:color="auto"/>
              <w:right w:val="single" w:sz="4" w:space="0" w:color="auto"/>
            </w:tcBorders>
          </w:tcPr>
          <w:p w14:paraId="6BFE86C7" w14:textId="23ECED83"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Recovery rate, EDE-Q, CORE-10, psychosocial impairment due to ED, depression, </w:t>
            </w:r>
            <w:proofErr w:type="gramStart"/>
            <w:r w:rsidRPr="005016A5">
              <w:rPr>
                <w:rFonts w:ascii="Times New Roman" w:hAnsi="Times New Roman" w:cs="Times New Roman"/>
                <w:color w:val="000000"/>
                <w:sz w:val="21"/>
                <w:szCs w:val="21"/>
              </w:rPr>
              <w:t>anxiety</w:t>
            </w:r>
            <w:proofErr w:type="gramEnd"/>
            <w:r w:rsidRPr="005016A5">
              <w:rPr>
                <w:rFonts w:ascii="Times New Roman" w:hAnsi="Times New Roman" w:cs="Times New Roman"/>
                <w:color w:val="000000"/>
                <w:sz w:val="21"/>
                <w:szCs w:val="21"/>
              </w:rPr>
              <w:t xml:space="preserve"> and stress (DASS-21), BMI</w:t>
            </w:r>
          </w:p>
        </w:tc>
        <w:tc>
          <w:tcPr>
            <w:tcW w:w="709" w:type="dxa"/>
            <w:tcBorders>
              <w:top w:val="single" w:sz="4" w:space="0" w:color="auto"/>
              <w:left w:val="nil"/>
              <w:bottom w:val="single" w:sz="4" w:space="0" w:color="auto"/>
              <w:right w:val="single" w:sz="4" w:space="0" w:color="auto"/>
            </w:tcBorders>
          </w:tcPr>
          <w:p w14:paraId="5EB50791" w14:textId="191DBB33"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EE4AF3" w:rsidRPr="005016A5">
              <w:rPr>
                <w:rFonts w:ascii="Times New Roman" w:hAnsi="Times New Roman" w:cs="Times New Roman"/>
                <w:color w:val="000000"/>
                <w:sz w:val="21"/>
                <w:szCs w:val="21"/>
              </w:rPr>
              <w:t>11</w:t>
            </w:r>
          </w:p>
        </w:tc>
      </w:tr>
      <w:tr w:rsidR="00553D21" w:rsidRPr="005016A5" w14:paraId="69865088" w14:textId="79DCC9E3" w:rsidTr="0002675A">
        <w:trPr>
          <w:trHeight w:val="601"/>
        </w:trPr>
        <w:tc>
          <w:tcPr>
            <w:tcW w:w="1268" w:type="dxa"/>
            <w:noWrap/>
          </w:tcPr>
          <w:p w14:paraId="74F0F212" w14:textId="60C3CAC6" w:rsidR="00553D21" w:rsidRPr="005016A5" w:rsidRDefault="00553D21" w:rsidP="004A5911">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Bardone</w:t>
            </w:r>
            <w:proofErr w:type="spellEnd"/>
            <w:r w:rsidRPr="005016A5">
              <w:rPr>
                <w:rFonts w:ascii="Times New Roman" w:hAnsi="Times New Roman" w:cs="Times New Roman"/>
                <w:color w:val="000000"/>
                <w:sz w:val="21"/>
                <w:szCs w:val="21"/>
              </w:rPr>
              <w:t>-Cone et al., 2010</w:t>
            </w:r>
          </w:p>
        </w:tc>
        <w:tc>
          <w:tcPr>
            <w:tcW w:w="1279" w:type="dxa"/>
          </w:tcPr>
          <w:p w14:paraId="5A8392A0" w14:textId="32DE818B"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049CE829" w14:textId="42E09748"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Mixed: clinical and community (Aged &gt;16, Females)</w:t>
            </w:r>
          </w:p>
        </w:tc>
        <w:tc>
          <w:tcPr>
            <w:tcW w:w="710" w:type="dxa"/>
          </w:tcPr>
          <w:p w14:paraId="027617E9" w14:textId="77777777" w:rsidR="00553D21" w:rsidRPr="005016A5" w:rsidRDefault="00553D21" w:rsidP="004A5911">
            <w:pPr>
              <w:rPr>
                <w:rFonts w:ascii="Times New Roman" w:hAnsi="Times New Roman" w:cs="Times New Roman"/>
                <w:color w:val="000000"/>
                <w:sz w:val="21"/>
                <w:szCs w:val="21"/>
              </w:rPr>
            </w:pPr>
          </w:p>
        </w:tc>
        <w:tc>
          <w:tcPr>
            <w:tcW w:w="850" w:type="dxa"/>
          </w:tcPr>
          <w:p w14:paraId="4A2A5CCE" w14:textId="19A548E7" w:rsidR="00553D21" w:rsidRPr="005016A5" w:rsidRDefault="007430B0"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155</w:t>
            </w:r>
          </w:p>
        </w:tc>
        <w:tc>
          <w:tcPr>
            <w:tcW w:w="4820" w:type="dxa"/>
            <w:tcBorders>
              <w:top w:val="single" w:sz="4" w:space="0" w:color="auto"/>
              <w:left w:val="nil"/>
              <w:bottom w:val="single" w:sz="4" w:space="0" w:color="auto"/>
              <w:right w:val="nil"/>
            </w:tcBorders>
          </w:tcPr>
          <w:p w14:paraId="12830CD1" w14:textId="49CCA031"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operationalise a way of defining eating disorder recovery based on theory and prior research; and to test the validity of this definition by examining how a fully recovered group compare to healthy controls, a partially recovered eating disorder group, and an active eating disorder group using eating disorder assessments not used in defining recovery.</w:t>
            </w:r>
          </w:p>
        </w:tc>
        <w:tc>
          <w:tcPr>
            <w:tcW w:w="1559" w:type="dxa"/>
          </w:tcPr>
          <w:p w14:paraId="488F6FF0" w14:textId="4BC32412" w:rsidR="00553D21" w:rsidRPr="005016A5" w:rsidRDefault="00553D21" w:rsidP="004A5911">
            <w:pPr>
              <w:rPr>
                <w:rFonts w:ascii="Times New Roman" w:hAnsi="Times New Roman" w:cs="Times New Roman"/>
                <w:sz w:val="21"/>
                <w:szCs w:val="21"/>
              </w:rPr>
            </w:pPr>
            <w:r w:rsidRPr="005016A5">
              <w:rPr>
                <w:rFonts w:ascii="Times New Roman" w:hAnsi="Times New Roman" w:cs="Times New Roman"/>
                <w:sz w:val="21"/>
                <w:szCs w:val="21"/>
              </w:rPr>
              <w:t>Cross-sectional (Correlational)</w:t>
            </w:r>
          </w:p>
        </w:tc>
        <w:tc>
          <w:tcPr>
            <w:tcW w:w="2268" w:type="dxa"/>
            <w:tcBorders>
              <w:top w:val="single" w:sz="4" w:space="0" w:color="auto"/>
              <w:left w:val="nil"/>
              <w:bottom w:val="single" w:sz="4" w:space="0" w:color="auto"/>
              <w:right w:val="single" w:sz="4" w:space="0" w:color="auto"/>
            </w:tcBorders>
          </w:tcPr>
          <w:p w14:paraId="41C62500" w14:textId="184BA2C7"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Psychosocial functioning and psychiatric comorbidity</w:t>
            </w:r>
          </w:p>
        </w:tc>
        <w:tc>
          <w:tcPr>
            <w:tcW w:w="709" w:type="dxa"/>
            <w:tcBorders>
              <w:top w:val="single" w:sz="4" w:space="0" w:color="auto"/>
              <w:left w:val="nil"/>
              <w:bottom w:val="single" w:sz="4" w:space="0" w:color="auto"/>
              <w:right w:val="single" w:sz="4" w:space="0" w:color="auto"/>
            </w:tcBorders>
          </w:tcPr>
          <w:p w14:paraId="2639FA15" w14:textId="1E5CEDB3" w:rsidR="00553D21" w:rsidRPr="005016A5" w:rsidRDefault="00E37632"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29</w:t>
            </w:r>
          </w:p>
        </w:tc>
      </w:tr>
      <w:tr w:rsidR="00553D21" w:rsidRPr="005016A5" w14:paraId="092E4D41" w14:textId="291343A8" w:rsidTr="0002675A">
        <w:trPr>
          <w:trHeight w:val="601"/>
        </w:trPr>
        <w:tc>
          <w:tcPr>
            <w:tcW w:w="1268" w:type="dxa"/>
            <w:noWrap/>
          </w:tcPr>
          <w:p w14:paraId="425FBDD7" w14:textId="76A94874" w:rsidR="00553D21" w:rsidRPr="005016A5" w:rsidRDefault="00553D21" w:rsidP="004A5911">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Baudinet</w:t>
            </w:r>
            <w:proofErr w:type="spellEnd"/>
            <w:r w:rsidRPr="005016A5">
              <w:rPr>
                <w:rFonts w:ascii="Times New Roman" w:hAnsi="Times New Roman" w:cs="Times New Roman"/>
                <w:color w:val="000000"/>
                <w:sz w:val="21"/>
                <w:szCs w:val="21"/>
              </w:rPr>
              <w:t xml:space="preserve"> et al., 2021</w:t>
            </w:r>
          </w:p>
        </w:tc>
        <w:tc>
          <w:tcPr>
            <w:tcW w:w="1279" w:type="dxa"/>
          </w:tcPr>
          <w:p w14:paraId="6E02C20F" w14:textId="574D8459"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7ADBBB4C" w14:textId="53DB2E10"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16CC22F3" w14:textId="0C702CA8" w:rsidR="00553D21" w:rsidRPr="005016A5" w:rsidRDefault="00EB682B"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49</w:t>
            </w:r>
          </w:p>
        </w:tc>
        <w:tc>
          <w:tcPr>
            <w:tcW w:w="850" w:type="dxa"/>
          </w:tcPr>
          <w:p w14:paraId="75D74B91" w14:textId="77777777" w:rsidR="00553D21" w:rsidRPr="005016A5" w:rsidRDefault="00553D21" w:rsidP="004A5911">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5AAD4A91" w14:textId="3E5FA204"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review existing literature on adolescent eating disorder DP treatment models and outcomes.</w:t>
            </w:r>
          </w:p>
        </w:tc>
        <w:tc>
          <w:tcPr>
            <w:tcW w:w="1559" w:type="dxa"/>
          </w:tcPr>
          <w:p w14:paraId="45129589" w14:textId="2BBB08FD" w:rsidR="00553D21" w:rsidRPr="005016A5" w:rsidRDefault="00553D21" w:rsidP="004A5911">
            <w:pPr>
              <w:rPr>
                <w:rFonts w:ascii="Times New Roman" w:hAnsi="Times New Roman" w:cs="Times New Roman"/>
                <w:sz w:val="21"/>
                <w:szCs w:val="21"/>
              </w:rPr>
            </w:pPr>
            <w:r w:rsidRPr="005016A5">
              <w:rPr>
                <w:rFonts w:ascii="Times New Roman" w:hAnsi="Times New Roman" w:cs="Times New Roman"/>
                <w:sz w:val="21"/>
                <w:szCs w:val="21"/>
              </w:rPr>
              <w:t>Review (Systematic)</w:t>
            </w:r>
          </w:p>
        </w:tc>
        <w:tc>
          <w:tcPr>
            <w:tcW w:w="2268" w:type="dxa"/>
            <w:tcBorders>
              <w:top w:val="single" w:sz="4" w:space="0" w:color="auto"/>
              <w:left w:val="nil"/>
              <w:bottom w:val="single" w:sz="4" w:space="0" w:color="auto"/>
              <w:right w:val="single" w:sz="4" w:space="0" w:color="auto"/>
            </w:tcBorders>
          </w:tcPr>
          <w:p w14:paraId="74FF8215" w14:textId="4154AB3A"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Physical Health, Eating Disorder and Comorbid Psychopathology, Psycho-Social Functioning, Quality of Life and Motivation, Family Factors and Outcome</w:t>
            </w:r>
          </w:p>
        </w:tc>
        <w:tc>
          <w:tcPr>
            <w:tcW w:w="709" w:type="dxa"/>
            <w:tcBorders>
              <w:top w:val="single" w:sz="4" w:space="0" w:color="auto"/>
              <w:left w:val="nil"/>
              <w:bottom w:val="single" w:sz="4" w:space="0" w:color="auto"/>
              <w:right w:val="single" w:sz="4" w:space="0" w:color="auto"/>
            </w:tcBorders>
          </w:tcPr>
          <w:p w14:paraId="631753C1" w14:textId="7E2733A1" w:rsidR="00553D21" w:rsidRPr="005016A5" w:rsidRDefault="00DA2048"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w:t>
            </w:r>
            <w:r w:rsidR="00A62C27" w:rsidRPr="005016A5">
              <w:rPr>
                <w:rFonts w:ascii="Times New Roman" w:hAnsi="Times New Roman" w:cs="Times New Roman"/>
                <w:color w:val="000000"/>
                <w:sz w:val="21"/>
                <w:szCs w:val="21"/>
              </w:rPr>
              <w:t>6</w:t>
            </w:r>
          </w:p>
        </w:tc>
      </w:tr>
      <w:tr w:rsidR="00553D21" w:rsidRPr="005016A5" w14:paraId="35B6001B" w14:textId="1C86FD96" w:rsidTr="0002675A">
        <w:trPr>
          <w:trHeight w:val="601"/>
        </w:trPr>
        <w:tc>
          <w:tcPr>
            <w:tcW w:w="1268" w:type="dxa"/>
            <w:noWrap/>
          </w:tcPr>
          <w:p w14:paraId="50566033" w14:textId="5D07CFF8"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Berends et al., 2018</w:t>
            </w:r>
          </w:p>
        </w:tc>
        <w:tc>
          <w:tcPr>
            <w:tcW w:w="1279" w:type="dxa"/>
          </w:tcPr>
          <w:p w14:paraId="1CB5571A" w14:textId="0FC24D1D"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The Netherlands</w:t>
            </w:r>
          </w:p>
        </w:tc>
        <w:tc>
          <w:tcPr>
            <w:tcW w:w="1700" w:type="dxa"/>
          </w:tcPr>
          <w:p w14:paraId="73DB3A5D" w14:textId="45226D63"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Females)</w:t>
            </w:r>
          </w:p>
        </w:tc>
        <w:tc>
          <w:tcPr>
            <w:tcW w:w="710" w:type="dxa"/>
          </w:tcPr>
          <w:p w14:paraId="43BA3119" w14:textId="7A238FBE" w:rsidR="00553D21" w:rsidRPr="005016A5" w:rsidRDefault="00B44586"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16</w:t>
            </w:r>
          </w:p>
        </w:tc>
        <w:tc>
          <w:tcPr>
            <w:tcW w:w="850" w:type="dxa"/>
          </w:tcPr>
          <w:p w14:paraId="21E6A656" w14:textId="77777777" w:rsidR="00553D21" w:rsidRPr="005016A5" w:rsidRDefault="00553D21" w:rsidP="004A5911">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3C5AEB49" w14:textId="44BD0146"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systematically review the existing literature on relapse in anorexia nervosa.</w:t>
            </w:r>
          </w:p>
        </w:tc>
        <w:tc>
          <w:tcPr>
            <w:tcW w:w="1559" w:type="dxa"/>
          </w:tcPr>
          <w:p w14:paraId="07011FC6" w14:textId="2B1CC24A" w:rsidR="00553D21" w:rsidRPr="005016A5" w:rsidRDefault="00553D21" w:rsidP="004A5911">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512C90A6" w14:textId="0956560C" w:rsidR="00553D21" w:rsidRPr="005016A5" w:rsidRDefault="00553D21"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Rate of relapse, timing of relapse, factors associated with relapse</w:t>
            </w:r>
          </w:p>
        </w:tc>
        <w:tc>
          <w:tcPr>
            <w:tcW w:w="709" w:type="dxa"/>
            <w:tcBorders>
              <w:top w:val="single" w:sz="4" w:space="0" w:color="auto"/>
              <w:left w:val="nil"/>
              <w:bottom w:val="single" w:sz="4" w:space="0" w:color="auto"/>
              <w:right w:val="single" w:sz="4" w:space="0" w:color="auto"/>
            </w:tcBorders>
          </w:tcPr>
          <w:p w14:paraId="01BB17F2" w14:textId="1F46B5ED" w:rsidR="00553D21" w:rsidRPr="005016A5" w:rsidRDefault="009552A3" w:rsidP="004A5911">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36</w:t>
            </w:r>
          </w:p>
        </w:tc>
      </w:tr>
      <w:tr w:rsidR="00553D21" w:rsidRPr="005016A5" w14:paraId="1B2FB31F" w14:textId="420E9814" w:rsidTr="0002675A">
        <w:trPr>
          <w:trHeight w:val="601"/>
        </w:trPr>
        <w:tc>
          <w:tcPr>
            <w:tcW w:w="1268" w:type="dxa"/>
            <w:noWrap/>
          </w:tcPr>
          <w:p w14:paraId="687E9AC0" w14:textId="52610B3F" w:rsidR="00553D21" w:rsidRPr="005016A5" w:rsidRDefault="00553D21" w:rsidP="00E157B2">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Bluett</w:t>
            </w:r>
            <w:proofErr w:type="spellEnd"/>
            <w:r w:rsidRPr="005016A5">
              <w:rPr>
                <w:rFonts w:ascii="Times New Roman" w:hAnsi="Times New Roman" w:cs="Times New Roman"/>
                <w:color w:val="000000"/>
                <w:sz w:val="21"/>
                <w:szCs w:val="21"/>
              </w:rPr>
              <w:t xml:space="preserve"> et al., 2016</w:t>
            </w:r>
          </w:p>
        </w:tc>
        <w:tc>
          <w:tcPr>
            <w:tcW w:w="1279" w:type="dxa"/>
          </w:tcPr>
          <w:p w14:paraId="5C039556" w14:textId="2C57798B" w:rsidR="00553D21" w:rsidRPr="005016A5" w:rsidRDefault="00553D21" w:rsidP="00E157B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1084D910" w14:textId="31B4485C" w:rsidR="00553D21" w:rsidRPr="005016A5" w:rsidRDefault="00553D21" w:rsidP="00E157B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6C69938C" w14:textId="77777777" w:rsidR="00553D21" w:rsidRPr="005016A5" w:rsidRDefault="00553D21" w:rsidP="00E157B2">
            <w:pPr>
              <w:rPr>
                <w:rFonts w:ascii="Times New Roman" w:hAnsi="Times New Roman" w:cs="Times New Roman"/>
                <w:color w:val="000000"/>
                <w:sz w:val="21"/>
                <w:szCs w:val="21"/>
              </w:rPr>
            </w:pPr>
          </w:p>
        </w:tc>
        <w:tc>
          <w:tcPr>
            <w:tcW w:w="850" w:type="dxa"/>
          </w:tcPr>
          <w:p w14:paraId="7278C365" w14:textId="2630140B" w:rsidR="00553D21" w:rsidRPr="005016A5" w:rsidRDefault="00B2242A" w:rsidP="00E157B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113</w:t>
            </w:r>
          </w:p>
        </w:tc>
        <w:tc>
          <w:tcPr>
            <w:tcW w:w="4820" w:type="dxa"/>
            <w:tcBorders>
              <w:top w:val="single" w:sz="4" w:space="0" w:color="auto"/>
              <w:left w:val="nil"/>
              <w:bottom w:val="single" w:sz="4" w:space="0" w:color="auto"/>
              <w:right w:val="nil"/>
            </w:tcBorders>
          </w:tcPr>
          <w:p w14:paraId="538805F7" w14:textId="27F1633C" w:rsidR="00553D21" w:rsidRPr="005016A5" w:rsidRDefault="00553D21" w:rsidP="00E157B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test whether pre-treatment levels of psychological flexibility would longitudinally predict quality of life and eating disorder risk in patients at a residential treatment facility for eating disorders.</w:t>
            </w:r>
          </w:p>
        </w:tc>
        <w:tc>
          <w:tcPr>
            <w:tcW w:w="1559" w:type="dxa"/>
          </w:tcPr>
          <w:p w14:paraId="2459B5B1" w14:textId="53D05557" w:rsidR="00553D21" w:rsidRPr="005016A5" w:rsidRDefault="00553D21" w:rsidP="00E157B2">
            <w:pPr>
              <w:rPr>
                <w:rFonts w:ascii="Times New Roman" w:hAnsi="Times New Roman" w:cs="Times New Roman"/>
                <w:sz w:val="21"/>
                <w:szCs w:val="21"/>
              </w:rPr>
            </w:pPr>
            <w:r w:rsidRPr="005016A5">
              <w:rPr>
                <w:rFonts w:ascii="Times New Roman" w:hAnsi="Times New Roman" w:cs="Times New Roman"/>
                <w:sz w:val="21"/>
                <w:szCs w:val="21"/>
              </w:rPr>
              <w:t>Repeated Measure (without follow-up)</w:t>
            </w:r>
          </w:p>
        </w:tc>
        <w:tc>
          <w:tcPr>
            <w:tcW w:w="2268" w:type="dxa"/>
            <w:tcBorders>
              <w:top w:val="single" w:sz="4" w:space="0" w:color="auto"/>
              <w:left w:val="nil"/>
              <w:bottom w:val="single" w:sz="4" w:space="0" w:color="auto"/>
              <w:right w:val="single" w:sz="4" w:space="0" w:color="auto"/>
            </w:tcBorders>
          </w:tcPr>
          <w:p w14:paraId="209BFC6D" w14:textId="7A66BB00" w:rsidR="00553D21" w:rsidRPr="005016A5" w:rsidRDefault="00553D21" w:rsidP="00E157B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Body image acceptance and action; ED psychopathology using EDI-</w:t>
            </w:r>
            <w:proofErr w:type="gramStart"/>
            <w:r w:rsidRPr="005016A5">
              <w:rPr>
                <w:rFonts w:ascii="Times New Roman" w:hAnsi="Times New Roman" w:cs="Times New Roman"/>
                <w:color w:val="000000"/>
                <w:sz w:val="21"/>
                <w:szCs w:val="21"/>
              </w:rPr>
              <w:t>3;and</w:t>
            </w:r>
            <w:proofErr w:type="gramEnd"/>
            <w:r w:rsidRPr="005016A5">
              <w:rPr>
                <w:rFonts w:ascii="Times New Roman" w:hAnsi="Times New Roman" w:cs="Times New Roman"/>
                <w:color w:val="000000"/>
                <w:sz w:val="21"/>
                <w:szCs w:val="21"/>
              </w:rPr>
              <w:t xml:space="preserve"> </w:t>
            </w:r>
            <w:proofErr w:type="spellStart"/>
            <w:r w:rsidRPr="005016A5">
              <w:rPr>
                <w:rFonts w:ascii="Times New Roman" w:hAnsi="Times New Roman" w:cs="Times New Roman"/>
                <w:color w:val="000000"/>
                <w:sz w:val="21"/>
                <w:szCs w:val="21"/>
              </w:rPr>
              <w:t>EDQoL</w:t>
            </w:r>
            <w:proofErr w:type="spellEnd"/>
            <w:r w:rsidRPr="005016A5">
              <w:rPr>
                <w:rFonts w:ascii="Times New Roman" w:hAnsi="Times New Roman" w:cs="Times New Roman"/>
                <w:color w:val="000000"/>
                <w:sz w:val="21"/>
                <w:szCs w:val="21"/>
              </w:rPr>
              <w:t xml:space="preserve"> at baseline and EOT.</w:t>
            </w:r>
          </w:p>
        </w:tc>
        <w:tc>
          <w:tcPr>
            <w:tcW w:w="709" w:type="dxa"/>
            <w:tcBorders>
              <w:top w:val="single" w:sz="4" w:space="0" w:color="auto"/>
              <w:left w:val="nil"/>
              <w:bottom w:val="single" w:sz="4" w:space="0" w:color="auto"/>
              <w:right w:val="single" w:sz="4" w:space="0" w:color="auto"/>
            </w:tcBorders>
          </w:tcPr>
          <w:p w14:paraId="44ED05CA" w14:textId="087FC98B" w:rsidR="00553D21" w:rsidRPr="005016A5" w:rsidRDefault="00A26EA8" w:rsidP="00E157B2">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96</w:t>
            </w:r>
          </w:p>
        </w:tc>
      </w:tr>
      <w:tr w:rsidR="00553D21" w:rsidRPr="005016A5" w14:paraId="54E0D0B8" w14:textId="4F695A82" w:rsidTr="0002675A">
        <w:trPr>
          <w:trHeight w:val="601"/>
        </w:trPr>
        <w:tc>
          <w:tcPr>
            <w:tcW w:w="1268" w:type="dxa"/>
            <w:noWrap/>
          </w:tcPr>
          <w:p w14:paraId="7477B378" w14:textId="41F74A2D"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Brown et al., 2020</w:t>
            </w:r>
          </w:p>
        </w:tc>
        <w:tc>
          <w:tcPr>
            <w:tcW w:w="1279" w:type="dxa"/>
          </w:tcPr>
          <w:p w14:paraId="2F2CF130" w14:textId="37755C02"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6A2D9C2C" w14:textId="385104CF"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(Young People, Both Sexes)</w:t>
            </w:r>
          </w:p>
        </w:tc>
        <w:tc>
          <w:tcPr>
            <w:tcW w:w="710" w:type="dxa"/>
          </w:tcPr>
          <w:p w14:paraId="7E9AA49F" w14:textId="77777777" w:rsidR="00553D21" w:rsidRPr="005016A5" w:rsidRDefault="00553D21" w:rsidP="00722A29">
            <w:pPr>
              <w:rPr>
                <w:rFonts w:ascii="Times New Roman" w:hAnsi="Times New Roman" w:cs="Times New Roman"/>
                <w:color w:val="000000"/>
                <w:sz w:val="21"/>
                <w:szCs w:val="21"/>
              </w:rPr>
            </w:pPr>
          </w:p>
        </w:tc>
        <w:tc>
          <w:tcPr>
            <w:tcW w:w="850" w:type="dxa"/>
          </w:tcPr>
          <w:p w14:paraId="34F68C5B" w14:textId="4101FE09" w:rsidR="00553D21" w:rsidRPr="005016A5" w:rsidRDefault="00FC3584"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99</w:t>
            </w:r>
          </w:p>
        </w:tc>
        <w:tc>
          <w:tcPr>
            <w:tcW w:w="4820" w:type="dxa"/>
            <w:tcBorders>
              <w:top w:val="single" w:sz="4" w:space="0" w:color="auto"/>
              <w:left w:val="nil"/>
              <w:bottom w:val="single" w:sz="4" w:space="0" w:color="auto"/>
              <w:right w:val="nil"/>
            </w:tcBorders>
          </w:tcPr>
          <w:p w14:paraId="72CD26BD" w14:textId="2E6A0961"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whether early change in weight and ED psychopathology predicts outcome for adolescents with anorexia nervosa (AN) in a partial hospitalization program.</w:t>
            </w:r>
          </w:p>
        </w:tc>
        <w:tc>
          <w:tcPr>
            <w:tcW w:w="1559" w:type="dxa"/>
          </w:tcPr>
          <w:p w14:paraId="435409EF" w14:textId="70F625DA" w:rsidR="00553D21" w:rsidRPr="005016A5" w:rsidRDefault="00553D21" w:rsidP="00722A29">
            <w:pPr>
              <w:rPr>
                <w:rFonts w:ascii="Times New Roman" w:hAnsi="Times New Roman" w:cs="Times New Roman"/>
                <w:sz w:val="21"/>
                <w:szCs w:val="21"/>
              </w:rPr>
            </w:pPr>
            <w:r w:rsidRPr="005016A5">
              <w:rPr>
                <w:rFonts w:ascii="Times New Roman" w:hAnsi="Times New Roman" w:cs="Times New Roman"/>
                <w:sz w:val="21"/>
                <w:szCs w:val="21"/>
              </w:rPr>
              <w:t>Repeated Measure (with follow-up)</w:t>
            </w:r>
          </w:p>
        </w:tc>
        <w:tc>
          <w:tcPr>
            <w:tcW w:w="2268" w:type="dxa"/>
            <w:tcBorders>
              <w:top w:val="single" w:sz="4" w:space="0" w:color="auto"/>
              <w:left w:val="nil"/>
              <w:bottom w:val="single" w:sz="4" w:space="0" w:color="auto"/>
              <w:right w:val="single" w:sz="4" w:space="0" w:color="auto"/>
            </w:tcBorders>
          </w:tcPr>
          <w:p w14:paraId="0A0DF79C" w14:textId="2E171F52"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BMI percentile, ED psychopathology using EDE-Q</w:t>
            </w:r>
          </w:p>
        </w:tc>
        <w:tc>
          <w:tcPr>
            <w:tcW w:w="709" w:type="dxa"/>
            <w:tcBorders>
              <w:top w:val="single" w:sz="4" w:space="0" w:color="auto"/>
              <w:left w:val="nil"/>
              <w:bottom w:val="single" w:sz="4" w:space="0" w:color="auto"/>
              <w:right w:val="single" w:sz="4" w:space="0" w:color="auto"/>
            </w:tcBorders>
          </w:tcPr>
          <w:p w14:paraId="17C21A06" w14:textId="1CA5FC1C" w:rsidR="00553D21" w:rsidRPr="005016A5" w:rsidRDefault="00CF1BF0"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1F485C" w:rsidRPr="005016A5">
              <w:rPr>
                <w:rFonts w:ascii="Times New Roman" w:hAnsi="Times New Roman" w:cs="Times New Roman"/>
                <w:color w:val="000000"/>
                <w:sz w:val="21"/>
                <w:szCs w:val="21"/>
              </w:rPr>
              <w:t>8</w:t>
            </w:r>
          </w:p>
        </w:tc>
      </w:tr>
      <w:tr w:rsidR="00553D21" w:rsidRPr="005016A5" w14:paraId="192AF40B" w14:textId="43EAEA3B" w:rsidTr="0002675A">
        <w:trPr>
          <w:trHeight w:val="601"/>
        </w:trPr>
        <w:tc>
          <w:tcPr>
            <w:tcW w:w="1268" w:type="dxa"/>
            <w:noWrap/>
          </w:tcPr>
          <w:p w14:paraId="222ED072" w14:textId="17BA91A8"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Bryson et al., 2018</w:t>
            </w:r>
          </w:p>
        </w:tc>
        <w:tc>
          <w:tcPr>
            <w:tcW w:w="1279" w:type="dxa"/>
          </w:tcPr>
          <w:p w14:paraId="78FF6793" w14:textId="5951F01D"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79355B26" w14:textId="69E530B3"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(Young People, Both Sexes)</w:t>
            </w:r>
          </w:p>
        </w:tc>
        <w:tc>
          <w:tcPr>
            <w:tcW w:w="710" w:type="dxa"/>
          </w:tcPr>
          <w:p w14:paraId="2742C5F4" w14:textId="77777777" w:rsidR="00553D21" w:rsidRPr="005016A5" w:rsidRDefault="00553D21" w:rsidP="00722A29">
            <w:pPr>
              <w:rPr>
                <w:rFonts w:ascii="Times New Roman" w:hAnsi="Times New Roman" w:cs="Times New Roman"/>
                <w:color w:val="000000"/>
                <w:sz w:val="21"/>
                <w:szCs w:val="21"/>
              </w:rPr>
            </w:pPr>
          </w:p>
        </w:tc>
        <w:tc>
          <w:tcPr>
            <w:tcW w:w="850" w:type="dxa"/>
          </w:tcPr>
          <w:p w14:paraId="735F2C71" w14:textId="21D180A8" w:rsidR="00553D21" w:rsidRPr="005016A5" w:rsidRDefault="0089745F"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137</w:t>
            </w:r>
          </w:p>
        </w:tc>
        <w:tc>
          <w:tcPr>
            <w:tcW w:w="4820" w:type="dxa"/>
            <w:tcBorders>
              <w:top w:val="single" w:sz="4" w:space="0" w:color="auto"/>
              <w:left w:val="nil"/>
              <w:bottom w:val="single" w:sz="4" w:space="0" w:color="auto"/>
              <w:right w:val="nil"/>
            </w:tcBorders>
          </w:tcPr>
          <w:p w14:paraId="0EF6BE9D" w14:textId="467E390B"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assess long-term outcomes of patients with avoidant/restrictive food intake disorder (ARFID) treated in a partial hospitalization program (PHP) for eating disorders (ED).</w:t>
            </w:r>
          </w:p>
        </w:tc>
        <w:tc>
          <w:tcPr>
            <w:tcW w:w="1559" w:type="dxa"/>
          </w:tcPr>
          <w:p w14:paraId="2AFB3F9D" w14:textId="1777A556" w:rsidR="00553D21" w:rsidRPr="005016A5" w:rsidRDefault="00553D21" w:rsidP="00722A29">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03C434D1" w14:textId="640E8E76"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BMI, ED psychopathology using </w:t>
            </w:r>
            <w:proofErr w:type="spellStart"/>
            <w:r w:rsidRPr="005016A5">
              <w:rPr>
                <w:rFonts w:ascii="Times New Roman" w:hAnsi="Times New Roman" w:cs="Times New Roman"/>
                <w:color w:val="000000"/>
                <w:sz w:val="21"/>
                <w:szCs w:val="21"/>
              </w:rPr>
              <w:t>ChEAT</w:t>
            </w:r>
            <w:proofErr w:type="spellEnd"/>
            <w:r w:rsidRPr="005016A5">
              <w:rPr>
                <w:rFonts w:ascii="Times New Roman" w:hAnsi="Times New Roman" w:cs="Times New Roman"/>
                <w:color w:val="000000"/>
                <w:sz w:val="21"/>
                <w:szCs w:val="21"/>
              </w:rPr>
              <w:t xml:space="preserve"> at follow-up.</w:t>
            </w:r>
          </w:p>
        </w:tc>
        <w:tc>
          <w:tcPr>
            <w:tcW w:w="709" w:type="dxa"/>
            <w:tcBorders>
              <w:top w:val="single" w:sz="4" w:space="0" w:color="auto"/>
              <w:left w:val="nil"/>
              <w:bottom w:val="single" w:sz="4" w:space="0" w:color="auto"/>
              <w:right w:val="single" w:sz="4" w:space="0" w:color="auto"/>
            </w:tcBorders>
          </w:tcPr>
          <w:p w14:paraId="2628C2EF" w14:textId="1FE9A59B" w:rsidR="00553D21" w:rsidRPr="005016A5" w:rsidRDefault="000324DD"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23</w:t>
            </w:r>
          </w:p>
        </w:tc>
      </w:tr>
      <w:tr w:rsidR="00553D21" w:rsidRPr="005016A5" w14:paraId="2C405120" w14:textId="1D06E659" w:rsidTr="0002675A">
        <w:trPr>
          <w:trHeight w:val="601"/>
        </w:trPr>
        <w:tc>
          <w:tcPr>
            <w:tcW w:w="1268" w:type="dxa"/>
            <w:noWrap/>
          </w:tcPr>
          <w:p w14:paraId="34441AED" w14:textId="3FFD5C61"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Bye et al., 2021</w:t>
            </w:r>
          </w:p>
        </w:tc>
        <w:tc>
          <w:tcPr>
            <w:tcW w:w="1279" w:type="dxa"/>
          </w:tcPr>
          <w:p w14:paraId="33C9CD3E" w14:textId="0374789E"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5FD38083" w14:textId="120FC487"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2ED8B0BF" w14:textId="289F6EB2" w:rsidR="00553D21" w:rsidRPr="005016A5" w:rsidRDefault="00850E02"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15</w:t>
            </w:r>
          </w:p>
        </w:tc>
        <w:tc>
          <w:tcPr>
            <w:tcW w:w="850" w:type="dxa"/>
          </w:tcPr>
          <w:p w14:paraId="2B3F25DD" w14:textId="77777777" w:rsidR="00553D21" w:rsidRPr="005016A5" w:rsidRDefault="00553D21" w:rsidP="00722A29">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4FF61C3F" w14:textId="1B551CD0"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provide an up-to-date overview of the impact of maternal ED on pregnancy and the postnatal period, and discuss clinical implications for identification and management of maternal ED.</w:t>
            </w:r>
          </w:p>
        </w:tc>
        <w:tc>
          <w:tcPr>
            <w:tcW w:w="1559" w:type="dxa"/>
          </w:tcPr>
          <w:p w14:paraId="2FA683FD" w14:textId="706F507A" w:rsidR="00553D21" w:rsidRPr="005016A5" w:rsidRDefault="00553D21" w:rsidP="00722A29">
            <w:pPr>
              <w:rPr>
                <w:rFonts w:ascii="Times New Roman" w:hAnsi="Times New Roman" w:cs="Times New Roman"/>
                <w:sz w:val="21"/>
                <w:szCs w:val="21"/>
              </w:rPr>
            </w:pPr>
            <w:r w:rsidRPr="005016A5">
              <w:rPr>
                <w:rFonts w:ascii="Times New Roman" w:hAnsi="Times New Roman" w:cs="Times New Roman"/>
                <w:sz w:val="21"/>
                <w:szCs w:val="21"/>
              </w:rPr>
              <w:t>Review</w:t>
            </w:r>
          </w:p>
        </w:tc>
        <w:tc>
          <w:tcPr>
            <w:tcW w:w="2268" w:type="dxa"/>
            <w:tcBorders>
              <w:top w:val="single" w:sz="4" w:space="0" w:color="auto"/>
              <w:left w:val="nil"/>
              <w:bottom w:val="single" w:sz="4" w:space="0" w:color="auto"/>
              <w:right w:val="single" w:sz="4" w:space="0" w:color="auto"/>
            </w:tcBorders>
          </w:tcPr>
          <w:p w14:paraId="2222585B" w14:textId="2D4A39A5"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Impact of maternal ED in pregnancy and postpartum; remission; psychiatric comorbidities during perinatal period</w:t>
            </w:r>
          </w:p>
        </w:tc>
        <w:tc>
          <w:tcPr>
            <w:tcW w:w="709" w:type="dxa"/>
            <w:tcBorders>
              <w:top w:val="single" w:sz="4" w:space="0" w:color="auto"/>
              <w:left w:val="nil"/>
              <w:bottom w:val="single" w:sz="4" w:space="0" w:color="auto"/>
              <w:right w:val="single" w:sz="4" w:space="0" w:color="auto"/>
            </w:tcBorders>
          </w:tcPr>
          <w:p w14:paraId="2CBFA90B" w14:textId="24A340C9"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0200EA" w:rsidRPr="005016A5">
              <w:rPr>
                <w:rFonts w:ascii="Times New Roman" w:hAnsi="Times New Roman" w:cs="Times New Roman"/>
                <w:color w:val="000000"/>
                <w:sz w:val="21"/>
                <w:szCs w:val="21"/>
              </w:rPr>
              <w:t>05</w:t>
            </w:r>
          </w:p>
        </w:tc>
      </w:tr>
      <w:tr w:rsidR="00553D21" w:rsidRPr="005016A5" w14:paraId="1C6D2C58" w14:textId="2EB1F948" w:rsidTr="0002675A">
        <w:trPr>
          <w:trHeight w:val="601"/>
        </w:trPr>
        <w:tc>
          <w:tcPr>
            <w:tcW w:w="1268" w:type="dxa"/>
            <w:noWrap/>
          </w:tcPr>
          <w:p w14:paraId="0D251D67" w14:textId="713682AE" w:rsidR="00553D21" w:rsidRPr="005016A5" w:rsidRDefault="00553D21" w:rsidP="00722A29">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Calugi</w:t>
            </w:r>
            <w:proofErr w:type="spellEnd"/>
            <w:r w:rsidRPr="005016A5">
              <w:rPr>
                <w:rFonts w:ascii="Times New Roman" w:hAnsi="Times New Roman" w:cs="Times New Roman"/>
                <w:color w:val="000000"/>
                <w:sz w:val="21"/>
                <w:szCs w:val="21"/>
              </w:rPr>
              <w:t xml:space="preserve"> et al., 2016</w:t>
            </w:r>
          </w:p>
        </w:tc>
        <w:tc>
          <w:tcPr>
            <w:tcW w:w="1279" w:type="dxa"/>
          </w:tcPr>
          <w:p w14:paraId="63E5AAC5" w14:textId="534041A6"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7CD523CD" w14:textId="4CE1DF29"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60B36B7B" w14:textId="77777777" w:rsidR="00553D21" w:rsidRPr="005016A5" w:rsidRDefault="00553D21" w:rsidP="00722A29">
            <w:pPr>
              <w:rPr>
                <w:rFonts w:ascii="Times New Roman" w:hAnsi="Times New Roman" w:cs="Times New Roman"/>
                <w:color w:val="000000"/>
                <w:sz w:val="21"/>
                <w:szCs w:val="21"/>
              </w:rPr>
            </w:pPr>
          </w:p>
        </w:tc>
        <w:tc>
          <w:tcPr>
            <w:tcW w:w="850" w:type="dxa"/>
          </w:tcPr>
          <w:p w14:paraId="676A861C" w14:textId="61100347" w:rsidR="00553D21" w:rsidRPr="005016A5" w:rsidRDefault="00D32C9D"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108</w:t>
            </w:r>
          </w:p>
        </w:tc>
        <w:tc>
          <w:tcPr>
            <w:tcW w:w="4820" w:type="dxa"/>
            <w:tcBorders>
              <w:top w:val="single" w:sz="4" w:space="0" w:color="auto"/>
              <w:left w:val="nil"/>
              <w:bottom w:val="single" w:sz="4" w:space="0" w:color="auto"/>
              <w:right w:val="nil"/>
            </w:tcBorders>
          </w:tcPr>
          <w:p w14:paraId="17CB6051" w14:textId="4B41FB08"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compare the long-term effects of a residential cognitive-</w:t>
            </w:r>
            <w:r w:rsidR="00BA2C9D" w:rsidRPr="005016A5">
              <w:rPr>
                <w:rFonts w:ascii="Times New Roman" w:hAnsi="Times New Roman" w:cs="Times New Roman"/>
                <w:color w:val="000000"/>
                <w:sz w:val="21"/>
                <w:szCs w:val="21"/>
              </w:rPr>
              <w:t>behavioural</w:t>
            </w:r>
            <w:r w:rsidRPr="005016A5">
              <w:rPr>
                <w:rFonts w:ascii="Times New Roman" w:hAnsi="Times New Roman" w:cs="Times New Roman"/>
                <w:color w:val="000000"/>
                <w:sz w:val="21"/>
                <w:szCs w:val="21"/>
              </w:rPr>
              <w:t xml:space="preserve"> treatment (CBT) for weight loss in severely obese patients with and without binge-eating disorder (BED).</w:t>
            </w:r>
          </w:p>
        </w:tc>
        <w:tc>
          <w:tcPr>
            <w:tcW w:w="1559" w:type="dxa"/>
          </w:tcPr>
          <w:p w14:paraId="703ACC2E" w14:textId="5007329E" w:rsidR="00553D21" w:rsidRPr="005016A5" w:rsidRDefault="00553D21" w:rsidP="00722A29">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1AB7E8DD" w14:textId="3F2DB3B6"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Weight loss, ED psychopathology, general psychopathology, and quality of life at follow-up.</w:t>
            </w:r>
          </w:p>
        </w:tc>
        <w:tc>
          <w:tcPr>
            <w:tcW w:w="709" w:type="dxa"/>
            <w:tcBorders>
              <w:top w:val="single" w:sz="4" w:space="0" w:color="auto"/>
              <w:left w:val="nil"/>
              <w:bottom w:val="single" w:sz="4" w:space="0" w:color="auto"/>
              <w:right w:val="single" w:sz="4" w:space="0" w:color="auto"/>
            </w:tcBorders>
          </w:tcPr>
          <w:p w14:paraId="7CB5068F" w14:textId="2C5EE2B4" w:rsidR="00553D21" w:rsidRPr="005016A5" w:rsidRDefault="00F017AD"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88</w:t>
            </w:r>
          </w:p>
        </w:tc>
      </w:tr>
      <w:tr w:rsidR="00553D21" w:rsidRPr="005016A5" w14:paraId="2D85FC68" w14:textId="2415DEB4" w:rsidTr="0002675A">
        <w:trPr>
          <w:trHeight w:val="601"/>
        </w:trPr>
        <w:tc>
          <w:tcPr>
            <w:tcW w:w="1268" w:type="dxa"/>
            <w:noWrap/>
          </w:tcPr>
          <w:p w14:paraId="234AFF71" w14:textId="495092E8"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Carter et al., 2012</w:t>
            </w:r>
          </w:p>
        </w:tc>
        <w:tc>
          <w:tcPr>
            <w:tcW w:w="1279" w:type="dxa"/>
          </w:tcPr>
          <w:p w14:paraId="0F3652DE" w14:textId="33209C22"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Canada</w:t>
            </w:r>
          </w:p>
        </w:tc>
        <w:tc>
          <w:tcPr>
            <w:tcW w:w="1700" w:type="dxa"/>
          </w:tcPr>
          <w:p w14:paraId="3215C6B2" w14:textId="46AB93E1"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Both Sexes)</w:t>
            </w:r>
          </w:p>
        </w:tc>
        <w:tc>
          <w:tcPr>
            <w:tcW w:w="710" w:type="dxa"/>
          </w:tcPr>
          <w:p w14:paraId="3EBA55C5" w14:textId="77777777" w:rsidR="00553D21" w:rsidRPr="005016A5" w:rsidRDefault="00553D21" w:rsidP="00722A29">
            <w:pPr>
              <w:rPr>
                <w:rFonts w:ascii="Times New Roman" w:hAnsi="Times New Roman" w:cs="Times New Roman"/>
                <w:color w:val="000000"/>
                <w:sz w:val="21"/>
                <w:szCs w:val="21"/>
              </w:rPr>
            </w:pPr>
          </w:p>
        </w:tc>
        <w:tc>
          <w:tcPr>
            <w:tcW w:w="850" w:type="dxa"/>
          </w:tcPr>
          <w:p w14:paraId="7DA90FF1" w14:textId="587FB187" w:rsidR="00553D21" w:rsidRPr="005016A5" w:rsidRDefault="007D7A46"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100</w:t>
            </w:r>
          </w:p>
        </w:tc>
        <w:tc>
          <w:tcPr>
            <w:tcW w:w="4820" w:type="dxa"/>
            <w:tcBorders>
              <w:top w:val="single" w:sz="4" w:space="0" w:color="auto"/>
              <w:left w:val="nil"/>
              <w:bottom w:val="single" w:sz="4" w:space="0" w:color="auto"/>
              <w:right w:val="nil"/>
            </w:tcBorders>
          </w:tcPr>
          <w:p w14:paraId="08746F69" w14:textId="78089E2D"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identify predictors of relapse in adult AN using a prospective, longitudinal design.</w:t>
            </w:r>
          </w:p>
        </w:tc>
        <w:tc>
          <w:tcPr>
            <w:tcW w:w="1559" w:type="dxa"/>
          </w:tcPr>
          <w:p w14:paraId="75E2D354" w14:textId="4F039BC3" w:rsidR="00553D21" w:rsidRPr="005016A5" w:rsidRDefault="00553D21" w:rsidP="00722A29">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19D22299" w14:textId="587B6DF7"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Incidence of relapse at follow-up and predictor variables (demographic and clinical features, </w:t>
            </w:r>
            <w:proofErr w:type="spellStart"/>
            <w:r w:rsidRPr="005016A5">
              <w:rPr>
                <w:rFonts w:ascii="Times New Roman" w:hAnsi="Times New Roman" w:cs="Times New Roman"/>
                <w:color w:val="000000"/>
                <w:sz w:val="21"/>
                <w:szCs w:val="21"/>
              </w:rPr>
              <w:t>behavioral</w:t>
            </w:r>
            <w:proofErr w:type="spellEnd"/>
            <w:r w:rsidRPr="005016A5">
              <w:rPr>
                <w:rFonts w:ascii="Times New Roman" w:hAnsi="Times New Roman" w:cs="Times New Roman"/>
                <w:color w:val="000000"/>
                <w:sz w:val="21"/>
                <w:szCs w:val="21"/>
              </w:rPr>
              <w:t xml:space="preserve"> and psychological changes during treatment, residual psychopathology at post-treatment, and motivation to recover) </w:t>
            </w:r>
          </w:p>
        </w:tc>
        <w:tc>
          <w:tcPr>
            <w:tcW w:w="709" w:type="dxa"/>
            <w:tcBorders>
              <w:top w:val="single" w:sz="4" w:space="0" w:color="auto"/>
              <w:left w:val="nil"/>
              <w:bottom w:val="single" w:sz="4" w:space="0" w:color="auto"/>
              <w:right w:val="single" w:sz="4" w:space="0" w:color="auto"/>
            </w:tcBorders>
          </w:tcPr>
          <w:p w14:paraId="760D5B1B" w14:textId="314D49DE" w:rsidR="00553D21" w:rsidRPr="005016A5" w:rsidRDefault="008941DC"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35</w:t>
            </w:r>
          </w:p>
        </w:tc>
      </w:tr>
      <w:tr w:rsidR="00553D21" w:rsidRPr="005016A5" w14:paraId="24018F54" w14:textId="2CF1C051" w:rsidTr="0002675A">
        <w:trPr>
          <w:trHeight w:val="601"/>
        </w:trPr>
        <w:tc>
          <w:tcPr>
            <w:tcW w:w="1268" w:type="dxa"/>
            <w:noWrap/>
          </w:tcPr>
          <w:p w14:paraId="0830FDCC" w14:textId="6DD3F183" w:rsidR="00553D21" w:rsidRPr="005016A5" w:rsidRDefault="00553D21" w:rsidP="00722A29">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Castellini</w:t>
            </w:r>
            <w:proofErr w:type="spellEnd"/>
            <w:r w:rsidRPr="005016A5">
              <w:rPr>
                <w:rFonts w:ascii="Times New Roman" w:hAnsi="Times New Roman" w:cs="Times New Roman"/>
                <w:color w:val="000000"/>
                <w:sz w:val="21"/>
                <w:szCs w:val="21"/>
              </w:rPr>
              <w:t xml:space="preserve"> et al., 2012</w:t>
            </w:r>
          </w:p>
        </w:tc>
        <w:tc>
          <w:tcPr>
            <w:tcW w:w="1279" w:type="dxa"/>
          </w:tcPr>
          <w:p w14:paraId="5A8530AF" w14:textId="76E51743"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42A97E8B" w14:textId="39304409"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1E897256" w14:textId="77777777" w:rsidR="00553D21" w:rsidRPr="005016A5" w:rsidRDefault="00553D21" w:rsidP="00722A29">
            <w:pPr>
              <w:rPr>
                <w:rFonts w:ascii="Times New Roman" w:hAnsi="Times New Roman" w:cs="Times New Roman"/>
                <w:color w:val="000000"/>
                <w:sz w:val="21"/>
                <w:szCs w:val="21"/>
              </w:rPr>
            </w:pPr>
          </w:p>
        </w:tc>
        <w:tc>
          <w:tcPr>
            <w:tcW w:w="850" w:type="dxa"/>
          </w:tcPr>
          <w:p w14:paraId="24BEF061" w14:textId="410C48D5" w:rsidR="00553D21" w:rsidRPr="005016A5" w:rsidRDefault="00920B30"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218</w:t>
            </w:r>
          </w:p>
        </w:tc>
        <w:tc>
          <w:tcPr>
            <w:tcW w:w="4820" w:type="dxa"/>
            <w:tcBorders>
              <w:top w:val="single" w:sz="4" w:space="0" w:color="auto"/>
              <w:left w:val="nil"/>
              <w:bottom w:val="single" w:sz="4" w:space="0" w:color="auto"/>
              <w:right w:val="nil"/>
            </w:tcBorders>
          </w:tcPr>
          <w:p w14:paraId="7B687395" w14:textId="2048D277"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evaluate the relationships between psychopathological variables, and objective and subjective binge eating episodes in BN and BED at 3-year follow-up. </w:t>
            </w:r>
          </w:p>
        </w:tc>
        <w:tc>
          <w:tcPr>
            <w:tcW w:w="1559" w:type="dxa"/>
          </w:tcPr>
          <w:p w14:paraId="71271A34" w14:textId="2D35A7A9" w:rsidR="00553D21" w:rsidRPr="005016A5" w:rsidRDefault="00553D21" w:rsidP="00722A29">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04253F7F" w14:textId="7E6DBFA8" w:rsidR="00553D21" w:rsidRPr="005016A5" w:rsidRDefault="00553D21"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OBEs and SBEs, ED psychopathology, anxiety and depressive symptomatology, body image concern and </w:t>
            </w:r>
            <w:r w:rsidRPr="005016A5">
              <w:rPr>
                <w:rFonts w:ascii="Times New Roman" w:hAnsi="Times New Roman" w:cs="Times New Roman"/>
                <w:color w:val="000000"/>
                <w:sz w:val="21"/>
                <w:szCs w:val="21"/>
              </w:rPr>
              <w:lastRenderedPageBreak/>
              <w:t>impulsivity at follow-up.</w:t>
            </w:r>
          </w:p>
        </w:tc>
        <w:tc>
          <w:tcPr>
            <w:tcW w:w="709" w:type="dxa"/>
            <w:tcBorders>
              <w:top w:val="single" w:sz="4" w:space="0" w:color="auto"/>
              <w:left w:val="nil"/>
              <w:bottom w:val="single" w:sz="4" w:space="0" w:color="auto"/>
              <w:right w:val="single" w:sz="4" w:space="0" w:color="auto"/>
            </w:tcBorders>
          </w:tcPr>
          <w:p w14:paraId="516BB266" w14:textId="7BBA7E61" w:rsidR="00553D21" w:rsidRPr="005016A5" w:rsidRDefault="00982CCC" w:rsidP="00722A29">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60</w:t>
            </w:r>
          </w:p>
        </w:tc>
      </w:tr>
      <w:tr w:rsidR="00553D21" w:rsidRPr="005016A5" w14:paraId="36E650DB" w14:textId="69F7A086" w:rsidTr="0002675A">
        <w:trPr>
          <w:trHeight w:val="601"/>
        </w:trPr>
        <w:tc>
          <w:tcPr>
            <w:tcW w:w="1268" w:type="dxa"/>
            <w:noWrap/>
          </w:tcPr>
          <w:p w14:paraId="2CD2D533" w14:textId="3CFDEF01" w:rsidR="00553D21" w:rsidRPr="005016A5" w:rsidRDefault="00553D21" w:rsidP="006D205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Castellini</w:t>
            </w:r>
            <w:proofErr w:type="spellEnd"/>
            <w:r w:rsidRPr="005016A5">
              <w:rPr>
                <w:rFonts w:ascii="Times New Roman" w:hAnsi="Times New Roman" w:cs="Times New Roman"/>
                <w:color w:val="000000"/>
                <w:sz w:val="21"/>
                <w:szCs w:val="21"/>
              </w:rPr>
              <w:t xml:space="preserve"> et al., 2012</w:t>
            </w:r>
          </w:p>
        </w:tc>
        <w:tc>
          <w:tcPr>
            <w:tcW w:w="1279" w:type="dxa"/>
          </w:tcPr>
          <w:p w14:paraId="2F49C046" w14:textId="74C6C603"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3B62007E" w14:textId="5CFD84D5"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425BFF45" w14:textId="77777777" w:rsidR="00553D21" w:rsidRPr="005016A5" w:rsidRDefault="00553D21" w:rsidP="006D2054">
            <w:pPr>
              <w:rPr>
                <w:rFonts w:ascii="Times New Roman" w:hAnsi="Times New Roman" w:cs="Times New Roman"/>
                <w:color w:val="000000"/>
                <w:sz w:val="21"/>
                <w:szCs w:val="21"/>
              </w:rPr>
            </w:pPr>
          </w:p>
        </w:tc>
        <w:tc>
          <w:tcPr>
            <w:tcW w:w="850" w:type="dxa"/>
          </w:tcPr>
          <w:p w14:paraId="50D24D97" w14:textId="7C6F6FAA" w:rsidR="00553D21" w:rsidRPr="005016A5" w:rsidRDefault="00EC1CA7"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201</w:t>
            </w:r>
          </w:p>
        </w:tc>
        <w:tc>
          <w:tcPr>
            <w:tcW w:w="4820" w:type="dxa"/>
            <w:tcBorders>
              <w:top w:val="single" w:sz="4" w:space="0" w:color="auto"/>
              <w:left w:val="nil"/>
              <w:bottom w:val="single" w:sz="4" w:space="0" w:color="auto"/>
              <w:right w:val="nil"/>
            </w:tcBorders>
          </w:tcPr>
          <w:p w14:paraId="39B9AB0E" w14:textId="63BFD16E"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The aim of the present naturalistic study was to detect the possible relationships between the 5-HTTLPR polymorphism, the specific and general eating disorder psychopathology, and the response to treatment in AN and BN patients.</w:t>
            </w:r>
          </w:p>
        </w:tc>
        <w:tc>
          <w:tcPr>
            <w:tcW w:w="1559" w:type="dxa"/>
          </w:tcPr>
          <w:p w14:paraId="22E4044A" w14:textId="327A97AC" w:rsidR="00553D21" w:rsidRPr="005016A5" w:rsidRDefault="00553D21" w:rsidP="006D2054">
            <w:pPr>
              <w:rPr>
                <w:rFonts w:ascii="Times New Roman" w:hAnsi="Times New Roman" w:cs="Times New Roman"/>
                <w:sz w:val="21"/>
                <w:szCs w:val="21"/>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20855A4F" w14:textId="24196AFE"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Recovery (ED psychopathology &amp; BMI) and diagnostic crossover at </w:t>
            </w:r>
            <w:proofErr w:type="gramStart"/>
            <w:r w:rsidRPr="005016A5">
              <w:rPr>
                <w:rFonts w:ascii="Times New Roman" w:hAnsi="Times New Roman" w:cs="Times New Roman"/>
                <w:color w:val="000000"/>
                <w:sz w:val="21"/>
                <w:szCs w:val="21"/>
              </w:rPr>
              <w:t>6 year</w:t>
            </w:r>
            <w:proofErr w:type="gramEnd"/>
            <w:r w:rsidRPr="005016A5">
              <w:rPr>
                <w:rFonts w:ascii="Times New Roman" w:hAnsi="Times New Roman" w:cs="Times New Roman"/>
                <w:color w:val="000000"/>
                <w:sz w:val="21"/>
                <w:szCs w:val="21"/>
              </w:rPr>
              <w:t xml:space="preserve"> follow-up</w:t>
            </w:r>
          </w:p>
        </w:tc>
        <w:tc>
          <w:tcPr>
            <w:tcW w:w="709" w:type="dxa"/>
            <w:tcBorders>
              <w:top w:val="single" w:sz="4" w:space="0" w:color="auto"/>
              <w:left w:val="nil"/>
              <w:bottom w:val="single" w:sz="4" w:space="0" w:color="auto"/>
              <w:right w:val="single" w:sz="4" w:space="0" w:color="auto"/>
            </w:tcBorders>
          </w:tcPr>
          <w:p w14:paraId="5BD632B5" w14:textId="0879A3B7" w:rsidR="00553D21" w:rsidRPr="005016A5" w:rsidRDefault="00982CCC"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72</w:t>
            </w:r>
          </w:p>
        </w:tc>
      </w:tr>
      <w:tr w:rsidR="00553D21" w:rsidRPr="005016A5" w14:paraId="1D2E7C45" w14:textId="494DBE22" w:rsidTr="0002675A">
        <w:trPr>
          <w:trHeight w:val="601"/>
        </w:trPr>
        <w:tc>
          <w:tcPr>
            <w:tcW w:w="1268" w:type="dxa"/>
            <w:noWrap/>
          </w:tcPr>
          <w:p w14:paraId="1FCB6EE0" w14:textId="017C127D" w:rsidR="00553D21" w:rsidRPr="005016A5" w:rsidRDefault="00553D21" w:rsidP="006D205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Castellini</w:t>
            </w:r>
            <w:proofErr w:type="spellEnd"/>
            <w:r w:rsidRPr="005016A5">
              <w:rPr>
                <w:rFonts w:ascii="Times New Roman" w:hAnsi="Times New Roman" w:cs="Times New Roman"/>
                <w:color w:val="000000"/>
                <w:sz w:val="21"/>
                <w:szCs w:val="21"/>
              </w:rPr>
              <w:t xml:space="preserve"> et al., 2011</w:t>
            </w:r>
          </w:p>
        </w:tc>
        <w:tc>
          <w:tcPr>
            <w:tcW w:w="1279" w:type="dxa"/>
          </w:tcPr>
          <w:p w14:paraId="5A6954ED" w14:textId="0FDDEF99"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15EBE1DD" w14:textId="53334878"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42867833" w14:textId="77777777" w:rsidR="00553D21" w:rsidRPr="005016A5" w:rsidRDefault="00553D21" w:rsidP="006D2054">
            <w:pPr>
              <w:rPr>
                <w:rFonts w:ascii="Times New Roman" w:hAnsi="Times New Roman" w:cs="Times New Roman"/>
                <w:color w:val="000000"/>
                <w:sz w:val="21"/>
                <w:szCs w:val="21"/>
              </w:rPr>
            </w:pPr>
          </w:p>
        </w:tc>
        <w:tc>
          <w:tcPr>
            <w:tcW w:w="850" w:type="dxa"/>
          </w:tcPr>
          <w:p w14:paraId="67767832" w14:textId="3D5C53D2" w:rsidR="00553D21" w:rsidRPr="005016A5" w:rsidRDefault="009F06FE"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793</w:t>
            </w:r>
          </w:p>
        </w:tc>
        <w:tc>
          <w:tcPr>
            <w:tcW w:w="4820" w:type="dxa"/>
            <w:tcBorders>
              <w:top w:val="single" w:sz="4" w:space="0" w:color="auto"/>
              <w:left w:val="nil"/>
              <w:bottom w:val="single" w:sz="4" w:space="0" w:color="auto"/>
              <w:right w:val="nil"/>
            </w:tcBorders>
          </w:tcPr>
          <w:p w14:paraId="1544A5FE" w14:textId="345CCECE"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evaluate in a 6-year follow-up study the course of a large clinical sample of patients with eating disorders (EDs) who were treated with individual cognitive behaviour therapy.</w:t>
            </w:r>
          </w:p>
        </w:tc>
        <w:tc>
          <w:tcPr>
            <w:tcW w:w="1559" w:type="dxa"/>
          </w:tcPr>
          <w:p w14:paraId="05A0B86D" w14:textId="3FCFD314" w:rsidR="00553D21" w:rsidRPr="005016A5" w:rsidRDefault="00553D21" w:rsidP="006D2054">
            <w:pPr>
              <w:rPr>
                <w:rFonts w:ascii="Times New Roman" w:hAnsi="Times New Roman" w:cs="Times New Roman"/>
                <w:sz w:val="21"/>
                <w:szCs w:val="21"/>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01CFD517" w14:textId="22E1716C"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Relapse and diagnostic crossover</w:t>
            </w:r>
          </w:p>
        </w:tc>
        <w:tc>
          <w:tcPr>
            <w:tcW w:w="709" w:type="dxa"/>
            <w:tcBorders>
              <w:top w:val="single" w:sz="4" w:space="0" w:color="auto"/>
              <w:left w:val="nil"/>
              <w:bottom w:val="single" w:sz="4" w:space="0" w:color="auto"/>
              <w:right w:val="single" w:sz="4" w:space="0" w:color="auto"/>
            </w:tcBorders>
          </w:tcPr>
          <w:p w14:paraId="46840394" w14:textId="42C7B048" w:rsidR="00553D21" w:rsidRPr="005016A5" w:rsidRDefault="00553D21" w:rsidP="006D205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w:t>
            </w:r>
          </w:p>
        </w:tc>
      </w:tr>
      <w:tr w:rsidR="00553D21" w:rsidRPr="005016A5" w14:paraId="28DF5D0F" w14:textId="2259FB61" w:rsidTr="0002675A">
        <w:trPr>
          <w:trHeight w:val="601"/>
        </w:trPr>
        <w:tc>
          <w:tcPr>
            <w:tcW w:w="1268" w:type="dxa"/>
            <w:noWrap/>
          </w:tcPr>
          <w:p w14:paraId="54430AA7" w14:textId="63656FF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Chang et al., 2021</w:t>
            </w:r>
          </w:p>
        </w:tc>
        <w:tc>
          <w:tcPr>
            <w:tcW w:w="1279" w:type="dxa"/>
          </w:tcPr>
          <w:p w14:paraId="2AFC7DB7" w14:textId="3AD499E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336F8F2D" w14:textId="5E3E50D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(Young people 12+ and adults, Both Sexes)</w:t>
            </w:r>
          </w:p>
        </w:tc>
        <w:tc>
          <w:tcPr>
            <w:tcW w:w="710" w:type="dxa"/>
          </w:tcPr>
          <w:p w14:paraId="0D307634" w14:textId="0C04C640" w:rsidR="00553D21" w:rsidRPr="005016A5" w:rsidRDefault="00B507C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33</w:t>
            </w:r>
          </w:p>
        </w:tc>
        <w:tc>
          <w:tcPr>
            <w:tcW w:w="850" w:type="dxa"/>
          </w:tcPr>
          <w:p w14:paraId="6B2A023C"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59D485F1" w14:textId="521E302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provide a comprehensive synthesis of literature on the early response phenomenon in the psychological treatment of </w:t>
            </w:r>
            <w:proofErr w:type="spellStart"/>
            <w:r w:rsidRPr="005016A5">
              <w:rPr>
                <w:rFonts w:ascii="Times New Roman" w:hAnsi="Times New Roman" w:cs="Times New Roman"/>
                <w:color w:val="000000"/>
                <w:sz w:val="21"/>
                <w:szCs w:val="21"/>
              </w:rPr>
              <w:t>EDs.</w:t>
            </w:r>
            <w:proofErr w:type="spellEnd"/>
          </w:p>
        </w:tc>
        <w:tc>
          <w:tcPr>
            <w:tcW w:w="1559" w:type="dxa"/>
          </w:tcPr>
          <w:p w14:paraId="49234B29" w14:textId="7134A56D"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Review (Systematic) and Meta-Analysis</w:t>
            </w:r>
          </w:p>
        </w:tc>
        <w:tc>
          <w:tcPr>
            <w:tcW w:w="2268" w:type="dxa"/>
            <w:tcBorders>
              <w:top w:val="single" w:sz="4" w:space="0" w:color="auto"/>
              <w:left w:val="nil"/>
              <w:bottom w:val="single" w:sz="4" w:space="0" w:color="auto"/>
              <w:right w:val="single" w:sz="4" w:space="0" w:color="auto"/>
            </w:tcBorders>
          </w:tcPr>
          <w:p w14:paraId="6A075136" w14:textId="622FA0A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change in ED symptoms, associations between early response to ED treatment and outcomes</w:t>
            </w:r>
          </w:p>
        </w:tc>
        <w:tc>
          <w:tcPr>
            <w:tcW w:w="709" w:type="dxa"/>
            <w:tcBorders>
              <w:top w:val="single" w:sz="4" w:space="0" w:color="auto"/>
              <w:left w:val="nil"/>
              <w:bottom w:val="single" w:sz="4" w:space="0" w:color="auto"/>
              <w:right w:val="single" w:sz="4" w:space="0" w:color="auto"/>
            </w:tcBorders>
          </w:tcPr>
          <w:p w14:paraId="710D85C9" w14:textId="25F92DC5" w:rsidR="00553D21" w:rsidRPr="005016A5" w:rsidRDefault="0048688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112</w:t>
            </w:r>
          </w:p>
        </w:tc>
      </w:tr>
      <w:tr w:rsidR="00553D21" w:rsidRPr="005016A5" w14:paraId="08BF3A93" w14:textId="5F2F147A" w:rsidTr="0002675A">
        <w:trPr>
          <w:trHeight w:val="601"/>
        </w:trPr>
        <w:tc>
          <w:tcPr>
            <w:tcW w:w="1268" w:type="dxa"/>
            <w:noWrap/>
          </w:tcPr>
          <w:p w14:paraId="1CDD0177" w14:textId="4AAE53C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Colton et al., 2015</w:t>
            </w:r>
          </w:p>
        </w:tc>
        <w:tc>
          <w:tcPr>
            <w:tcW w:w="1279" w:type="dxa"/>
          </w:tcPr>
          <w:p w14:paraId="658DF284" w14:textId="1CD18A8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Canada</w:t>
            </w:r>
          </w:p>
        </w:tc>
        <w:tc>
          <w:tcPr>
            <w:tcW w:w="1700" w:type="dxa"/>
          </w:tcPr>
          <w:p w14:paraId="119DAC50" w14:textId="6487D14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(Young People, Females)</w:t>
            </w:r>
          </w:p>
        </w:tc>
        <w:tc>
          <w:tcPr>
            <w:tcW w:w="710" w:type="dxa"/>
          </w:tcPr>
          <w:p w14:paraId="5A842EF7" w14:textId="77777777" w:rsidR="00553D21" w:rsidRPr="005016A5" w:rsidRDefault="00553D21" w:rsidP="002775D4">
            <w:pPr>
              <w:rPr>
                <w:rFonts w:ascii="Times New Roman" w:hAnsi="Times New Roman" w:cs="Times New Roman"/>
                <w:color w:val="000000"/>
                <w:sz w:val="21"/>
                <w:szCs w:val="21"/>
              </w:rPr>
            </w:pPr>
          </w:p>
        </w:tc>
        <w:tc>
          <w:tcPr>
            <w:tcW w:w="850" w:type="dxa"/>
          </w:tcPr>
          <w:p w14:paraId="64D0FFA8" w14:textId="2DFDAE01" w:rsidR="00553D21" w:rsidRPr="005016A5" w:rsidRDefault="009F316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126</w:t>
            </w:r>
          </w:p>
        </w:tc>
        <w:tc>
          <w:tcPr>
            <w:tcW w:w="4820" w:type="dxa"/>
            <w:tcBorders>
              <w:top w:val="single" w:sz="4" w:space="0" w:color="auto"/>
              <w:left w:val="nil"/>
              <w:bottom w:val="single" w:sz="4" w:space="0" w:color="auto"/>
              <w:right w:val="nil"/>
            </w:tcBorders>
          </w:tcPr>
          <w:p w14:paraId="68E8444A" w14:textId="16C2AB7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describe the longitudinal course of disturbed eating behavio</w:t>
            </w:r>
            <w:r w:rsidR="00BA2C9D">
              <w:rPr>
                <w:rFonts w:ascii="Times New Roman" w:hAnsi="Times New Roman" w:cs="Times New Roman"/>
                <w:color w:val="000000"/>
                <w:sz w:val="21"/>
                <w:szCs w:val="21"/>
              </w:rPr>
              <w:t>u</w:t>
            </w:r>
            <w:r w:rsidRPr="005016A5">
              <w:rPr>
                <w:rFonts w:ascii="Times New Roman" w:hAnsi="Times New Roman" w:cs="Times New Roman"/>
                <w:color w:val="000000"/>
                <w:sz w:val="21"/>
                <w:szCs w:val="21"/>
              </w:rPr>
              <w:t>r (DEB) and EDs in a cohort of women and girls with type 1 diabetes.</w:t>
            </w:r>
          </w:p>
        </w:tc>
        <w:tc>
          <w:tcPr>
            <w:tcW w:w="1559" w:type="dxa"/>
          </w:tcPr>
          <w:p w14:paraId="3190B2CF" w14:textId="31F8DBA3"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17288692" w14:textId="330ED2C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and recurrence</w:t>
            </w:r>
          </w:p>
        </w:tc>
        <w:tc>
          <w:tcPr>
            <w:tcW w:w="709" w:type="dxa"/>
            <w:tcBorders>
              <w:top w:val="single" w:sz="4" w:space="0" w:color="auto"/>
              <w:left w:val="nil"/>
              <w:bottom w:val="single" w:sz="4" w:space="0" w:color="auto"/>
              <w:right w:val="single" w:sz="4" w:space="0" w:color="auto"/>
            </w:tcBorders>
          </w:tcPr>
          <w:p w14:paraId="2C31784B" w14:textId="7AC58C61" w:rsidR="00553D21" w:rsidRPr="005016A5" w:rsidRDefault="00173FC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42</w:t>
            </w:r>
          </w:p>
        </w:tc>
      </w:tr>
      <w:tr w:rsidR="00553D21" w:rsidRPr="005016A5" w14:paraId="0D21DC2E" w14:textId="08E3137A" w:rsidTr="0002675A">
        <w:trPr>
          <w:trHeight w:val="601"/>
        </w:trPr>
        <w:tc>
          <w:tcPr>
            <w:tcW w:w="1268" w:type="dxa"/>
            <w:noWrap/>
          </w:tcPr>
          <w:p w14:paraId="6F482488" w14:textId="56E3FEEE"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Custal</w:t>
            </w:r>
            <w:proofErr w:type="spellEnd"/>
            <w:r w:rsidRPr="005016A5">
              <w:rPr>
                <w:rFonts w:ascii="Times New Roman" w:hAnsi="Times New Roman" w:cs="Times New Roman"/>
                <w:color w:val="000000"/>
                <w:sz w:val="21"/>
                <w:szCs w:val="21"/>
              </w:rPr>
              <w:t xml:space="preserve"> et al., 2014</w:t>
            </w:r>
          </w:p>
        </w:tc>
        <w:tc>
          <w:tcPr>
            <w:tcW w:w="1279" w:type="dxa"/>
          </w:tcPr>
          <w:p w14:paraId="3DAE5564" w14:textId="03B7C56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Spain</w:t>
            </w:r>
          </w:p>
        </w:tc>
        <w:tc>
          <w:tcPr>
            <w:tcW w:w="1700" w:type="dxa"/>
          </w:tcPr>
          <w:p w14:paraId="640EAB07" w14:textId="7BBC8EF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Females)</w:t>
            </w:r>
          </w:p>
        </w:tc>
        <w:tc>
          <w:tcPr>
            <w:tcW w:w="710" w:type="dxa"/>
          </w:tcPr>
          <w:p w14:paraId="3FD216D1" w14:textId="77777777" w:rsidR="00553D21" w:rsidRPr="005016A5" w:rsidRDefault="00553D21" w:rsidP="002775D4">
            <w:pPr>
              <w:rPr>
                <w:rFonts w:ascii="Times New Roman" w:hAnsi="Times New Roman" w:cs="Times New Roman"/>
                <w:color w:val="000000"/>
                <w:sz w:val="21"/>
                <w:szCs w:val="21"/>
              </w:rPr>
            </w:pPr>
          </w:p>
        </w:tc>
        <w:tc>
          <w:tcPr>
            <w:tcW w:w="850" w:type="dxa"/>
          </w:tcPr>
          <w:p w14:paraId="4BABBA25" w14:textId="2062C373" w:rsidR="00553D21" w:rsidRPr="005016A5" w:rsidRDefault="00DE166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40</w:t>
            </w:r>
          </w:p>
        </w:tc>
        <w:tc>
          <w:tcPr>
            <w:tcW w:w="4820" w:type="dxa"/>
            <w:tcBorders>
              <w:top w:val="single" w:sz="4" w:space="0" w:color="auto"/>
              <w:left w:val="nil"/>
              <w:bottom w:val="single" w:sz="4" w:space="0" w:color="auto"/>
              <w:right w:val="nil"/>
            </w:tcBorders>
          </w:tcPr>
          <w:p w14:paraId="21C4133F" w14:textId="3A2C2C4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compare clinical, psychopathological and personality features between two samples of ED individuals: those with comorbid T1DM and those without (No-DM); and to identify differences in treatment outcomes between the groups.</w:t>
            </w:r>
          </w:p>
        </w:tc>
        <w:tc>
          <w:tcPr>
            <w:tcW w:w="1559" w:type="dxa"/>
          </w:tcPr>
          <w:p w14:paraId="7A231A58" w14:textId="01E6F9EE"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Cross-sectional (Correlational)</w:t>
            </w:r>
          </w:p>
        </w:tc>
        <w:tc>
          <w:tcPr>
            <w:tcW w:w="2268" w:type="dxa"/>
            <w:tcBorders>
              <w:top w:val="single" w:sz="4" w:space="0" w:color="auto"/>
              <w:left w:val="nil"/>
              <w:bottom w:val="single" w:sz="4" w:space="0" w:color="auto"/>
              <w:right w:val="single" w:sz="4" w:space="0" w:color="auto"/>
            </w:tcBorders>
          </w:tcPr>
          <w:p w14:paraId="2FB6A698" w14:textId="150EC39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Treatment outcome between individuals with eating disorders and diabetes and those without diabetes</w:t>
            </w:r>
          </w:p>
        </w:tc>
        <w:tc>
          <w:tcPr>
            <w:tcW w:w="709" w:type="dxa"/>
            <w:tcBorders>
              <w:top w:val="single" w:sz="4" w:space="0" w:color="auto"/>
              <w:left w:val="nil"/>
              <w:bottom w:val="single" w:sz="4" w:space="0" w:color="auto"/>
              <w:right w:val="single" w:sz="4" w:space="0" w:color="auto"/>
            </w:tcBorders>
          </w:tcPr>
          <w:p w14:paraId="0A6ED7EF" w14:textId="0A548ED3" w:rsidR="00553D21" w:rsidRPr="005016A5" w:rsidRDefault="00A16D8C"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39</w:t>
            </w:r>
          </w:p>
        </w:tc>
      </w:tr>
      <w:tr w:rsidR="00553D21" w:rsidRPr="005016A5" w14:paraId="7E575C6E" w14:textId="4B719C2F" w:rsidTr="0002675A">
        <w:trPr>
          <w:trHeight w:val="601"/>
        </w:trPr>
        <w:tc>
          <w:tcPr>
            <w:tcW w:w="1268" w:type="dxa"/>
            <w:noWrap/>
          </w:tcPr>
          <w:p w14:paraId="71903216" w14:textId="7271CD5F"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Dalle</w:t>
            </w:r>
            <w:proofErr w:type="spellEnd"/>
            <w:r w:rsidRPr="005016A5">
              <w:rPr>
                <w:rFonts w:ascii="Times New Roman" w:hAnsi="Times New Roman" w:cs="Times New Roman"/>
                <w:color w:val="000000"/>
                <w:sz w:val="21"/>
                <w:szCs w:val="21"/>
              </w:rPr>
              <w:t xml:space="preserve"> Grave et al., 2009</w:t>
            </w:r>
          </w:p>
        </w:tc>
        <w:tc>
          <w:tcPr>
            <w:tcW w:w="1279" w:type="dxa"/>
          </w:tcPr>
          <w:p w14:paraId="43DE6FAD" w14:textId="12E0A6B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476F1916" w14:textId="0F8DDFC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65DBE26F" w14:textId="77777777" w:rsidR="00553D21" w:rsidRPr="005016A5" w:rsidRDefault="00553D21" w:rsidP="002775D4">
            <w:pPr>
              <w:rPr>
                <w:rFonts w:ascii="Times New Roman" w:hAnsi="Times New Roman" w:cs="Times New Roman"/>
                <w:color w:val="000000"/>
                <w:sz w:val="21"/>
                <w:szCs w:val="21"/>
              </w:rPr>
            </w:pPr>
          </w:p>
        </w:tc>
        <w:tc>
          <w:tcPr>
            <w:tcW w:w="850" w:type="dxa"/>
          </w:tcPr>
          <w:p w14:paraId="657722A9" w14:textId="08980E47" w:rsidR="00553D21" w:rsidRPr="005016A5" w:rsidRDefault="004F786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152</w:t>
            </w:r>
          </w:p>
        </w:tc>
        <w:tc>
          <w:tcPr>
            <w:tcW w:w="4820" w:type="dxa"/>
            <w:tcBorders>
              <w:top w:val="single" w:sz="4" w:space="0" w:color="auto"/>
              <w:left w:val="nil"/>
              <w:bottom w:val="single" w:sz="4" w:space="0" w:color="auto"/>
              <w:right w:val="nil"/>
            </w:tcBorders>
          </w:tcPr>
          <w:p w14:paraId="0C2247A6" w14:textId="756C4A1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test the prevalence, the associated </w:t>
            </w:r>
            <w:proofErr w:type="gramStart"/>
            <w:r w:rsidRPr="005016A5">
              <w:rPr>
                <w:rFonts w:ascii="Times New Roman" w:hAnsi="Times New Roman" w:cs="Times New Roman"/>
                <w:color w:val="000000"/>
                <w:sz w:val="21"/>
                <w:szCs w:val="21"/>
              </w:rPr>
              <w:t>features</w:t>
            </w:r>
            <w:proofErr w:type="gramEnd"/>
            <w:r w:rsidRPr="005016A5">
              <w:rPr>
                <w:rFonts w:ascii="Times New Roman" w:hAnsi="Times New Roman" w:cs="Times New Roman"/>
                <w:color w:val="000000"/>
                <w:sz w:val="21"/>
                <w:szCs w:val="21"/>
              </w:rPr>
              <w:t xml:space="preserve"> and the role on treatment outcome of self-induced vomiting in 152 ED patients consecutively admitted to an inpatient cognitive-</w:t>
            </w:r>
            <w:r w:rsidR="00BA2C9D" w:rsidRPr="005016A5">
              <w:rPr>
                <w:rFonts w:ascii="Times New Roman" w:hAnsi="Times New Roman" w:cs="Times New Roman"/>
                <w:color w:val="000000"/>
                <w:sz w:val="21"/>
                <w:szCs w:val="21"/>
              </w:rPr>
              <w:t>behavioural</w:t>
            </w:r>
            <w:r w:rsidRPr="005016A5">
              <w:rPr>
                <w:rFonts w:ascii="Times New Roman" w:hAnsi="Times New Roman" w:cs="Times New Roman"/>
                <w:color w:val="000000"/>
                <w:sz w:val="21"/>
                <w:szCs w:val="21"/>
              </w:rPr>
              <w:t xml:space="preserve"> treatment (CBT), based on the transdiagnostic CBT for ED.</w:t>
            </w:r>
          </w:p>
        </w:tc>
        <w:tc>
          <w:tcPr>
            <w:tcW w:w="1559" w:type="dxa"/>
          </w:tcPr>
          <w:p w14:paraId="1A2358F0" w14:textId="77048182"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Repeated Measure (without follow-up)</w:t>
            </w:r>
          </w:p>
        </w:tc>
        <w:tc>
          <w:tcPr>
            <w:tcW w:w="2268" w:type="dxa"/>
            <w:tcBorders>
              <w:top w:val="single" w:sz="4" w:space="0" w:color="auto"/>
              <w:left w:val="nil"/>
              <w:bottom w:val="single" w:sz="4" w:space="0" w:color="auto"/>
              <w:right w:val="single" w:sz="4" w:space="0" w:color="auto"/>
            </w:tcBorders>
          </w:tcPr>
          <w:p w14:paraId="5917BA6A" w14:textId="214CB4D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psychopatho</w:t>
            </w:r>
            <w:r w:rsidR="00BA2C9D">
              <w:rPr>
                <w:rFonts w:ascii="Times New Roman" w:hAnsi="Times New Roman" w:cs="Times New Roman"/>
                <w:color w:val="000000"/>
                <w:sz w:val="21"/>
                <w:szCs w:val="21"/>
              </w:rPr>
              <w:t>l</w:t>
            </w:r>
            <w:r w:rsidRPr="005016A5">
              <w:rPr>
                <w:rFonts w:ascii="Times New Roman" w:hAnsi="Times New Roman" w:cs="Times New Roman"/>
                <w:color w:val="000000"/>
                <w:sz w:val="21"/>
                <w:szCs w:val="21"/>
              </w:rPr>
              <w:t>ogy using EDE; personality and general psychopathology at baseline and EOT</w:t>
            </w:r>
          </w:p>
        </w:tc>
        <w:tc>
          <w:tcPr>
            <w:tcW w:w="709" w:type="dxa"/>
            <w:tcBorders>
              <w:top w:val="single" w:sz="4" w:space="0" w:color="auto"/>
              <w:left w:val="nil"/>
              <w:bottom w:val="single" w:sz="4" w:space="0" w:color="auto"/>
              <w:right w:val="single" w:sz="4" w:space="0" w:color="auto"/>
            </w:tcBorders>
          </w:tcPr>
          <w:p w14:paraId="60818EBD" w14:textId="0AC9380F" w:rsidR="00553D21" w:rsidRPr="005016A5" w:rsidRDefault="00412B7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74</w:t>
            </w:r>
          </w:p>
        </w:tc>
      </w:tr>
      <w:tr w:rsidR="00553D21" w:rsidRPr="005016A5" w14:paraId="7E588E46" w14:textId="7B24CA49" w:rsidTr="0002675A">
        <w:trPr>
          <w:trHeight w:val="601"/>
        </w:trPr>
        <w:tc>
          <w:tcPr>
            <w:tcW w:w="1268" w:type="dxa"/>
            <w:noWrap/>
          </w:tcPr>
          <w:p w14:paraId="02D5A7DD" w14:textId="4CF52581"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themeColor="text1"/>
                <w:sz w:val="21"/>
                <w:szCs w:val="21"/>
              </w:rPr>
              <w:t>Dechartres</w:t>
            </w:r>
            <w:proofErr w:type="spellEnd"/>
            <w:r w:rsidRPr="005016A5">
              <w:rPr>
                <w:rFonts w:ascii="Times New Roman" w:hAnsi="Times New Roman" w:cs="Times New Roman"/>
                <w:color w:val="000000" w:themeColor="text1"/>
                <w:sz w:val="21"/>
                <w:szCs w:val="21"/>
              </w:rPr>
              <w:t xml:space="preserve"> et al., 2011</w:t>
            </w:r>
          </w:p>
        </w:tc>
        <w:tc>
          <w:tcPr>
            <w:tcW w:w="1279" w:type="dxa"/>
          </w:tcPr>
          <w:p w14:paraId="59958B5F" w14:textId="73AC9B2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France</w:t>
            </w:r>
          </w:p>
        </w:tc>
        <w:tc>
          <w:tcPr>
            <w:tcW w:w="1700" w:type="dxa"/>
          </w:tcPr>
          <w:p w14:paraId="59109D4B" w14:textId="3A9AAEB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059D2FFE" w14:textId="77777777" w:rsidR="00553D21" w:rsidRPr="005016A5" w:rsidRDefault="00553D21" w:rsidP="002775D4">
            <w:pPr>
              <w:rPr>
                <w:rFonts w:ascii="Times New Roman" w:hAnsi="Times New Roman" w:cs="Times New Roman"/>
                <w:color w:val="000000"/>
                <w:sz w:val="21"/>
                <w:szCs w:val="21"/>
              </w:rPr>
            </w:pPr>
          </w:p>
        </w:tc>
        <w:tc>
          <w:tcPr>
            <w:tcW w:w="850" w:type="dxa"/>
          </w:tcPr>
          <w:p w14:paraId="0B45D33E" w14:textId="24A58EA9" w:rsidR="00553D21" w:rsidRPr="005016A5" w:rsidRDefault="00FF53B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968</w:t>
            </w:r>
          </w:p>
        </w:tc>
        <w:tc>
          <w:tcPr>
            <w:tcW w:w="4820" w:type="dxa"/>
            <w:tcBorders>
              <w:top w:val="single" w:sz="4" w:space="0" w:color="auto"/>
              <w:left w:val="nil"/>
              <w:bottom w:val="single" w:sz="4" w:space="0" w:color="auto"/>
              <w:right w:val="nil"/>
            </w:tcBorders>
          </w:tcPr>
          <w:p w14:paraId="6D6F38A9" w14:textId="3042BC7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empirically classify phenotypes of eating disorders (ED) using latent class analysis (LCA), and to validate this classification based on clinical outcomes.</w:t>
            </w:r>
          </w:p>
        </w:tc>
        <w:tc>
          <w:tcPr>
            <w:tcW w:w="1559" w:type="dxa"/>
          </w:tcPr>
          <w:p w14:paraId="5EDD933E" w14:textId="7BEEDA2D"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Modelling (Statistical - Diagnostic) &amp; Retrospective Cohort Study</w:t>
            </w:r>
          </w:p>
        </w:tc>
        <w:tc>
          <w:tcPr>
            <w:tcW w:w="2268" w:type="dxa"/>
            <w:tcBorders>
              <w:top w:val="single" w:sz="4" w:space="0" w:color="auto"/>
              <w:left w:val="nil"/>
              <w:bottom w:val="single" w:sz="4" w:space="0" w:color="auto"/>
              <w:right w:val="single" w:sz="4" w:space="0" w:color="auto"/>
            </w:tcBorders>
          </w:tcPr>
          <w:p w14:paraId="7566A86F" w14:textId="1534F96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phenotype and outcome (SCL-90 score, HDRS score, treatment dropout, mortality)</w:t>
            </w:r>
          </w:p>
        </w:tc>
        <w:tc>
          <w:tcPr>
            <w:tcW w:w="709" w:type="dxa"/>
            <w:tcBorders>
              <w:top w:val="single" w:sz="4" w:space="0" w:color="auto"/>
              <w:left w:val="nil"/>
              <w:bottom w:val="single" w:sz="4" w:space="0" w:color="auto"/>
              <w:right w:val="single" w:sz="4" w:space="0" w:color="auto"/>
            </w:tcBorders>
          </w:tcPr>
          <w:p w14:paraId="4D715E1C" w14:textId="635DB4BB" w:rsidR="00553D21" w:rsidRPr="005016A5" w:rsidRDefault="00D37A7B"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16</w:t>
            </w:r>
            <w:r w:rsidR="009508EE" w:rsidRPr="005016A5">
              <w:rPr>
                <w:rFonts w:ascii="Times New Roman" w:hAnsi="Times New Roman" w:cs="Times New Roman"/>
                <w:color w:val="000000"/>
                <w:sz w:val="21"/>
                <w:szCs w:val="21"/>
              </w:rPr>
              <w:t>2</w:t>
            </w:r>
          </w:p>
        </w:tc>
      </w:tr>
      <w:tr w:rsidR="00553D21" w:rsidRPr="005016A5" w14:paraId="4E58C374" w14:textId="201569ED" w:rsidTr="0002675A">
        <w:trPr>
          <w:trHeight w:val="601"/>
        </w:trPr>
        <w:tc>
          <w:tcPr>
            <w:tcW w:w="1268" w:type="dxa"/>
            <w:noWrap/>
          </w:tcPr>
          <w:p w14:paraId="449575D0" w14:textId="2C506AA3"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lastRenderedPageBreak/>
              <w:t>Eielsen</w:t>
            </w:r>
            <w:proofErr w:type="spellEnd"/>
            <w:r w:rsidRPr="005016A5">
              <w:rPr>
                <w:rFonts w:ascii="Times New Roman" w:hAnsi="Times New Roman" w:cs="Times New Roman"/>
                <w:color w:val="000000"/>
                <w:sz w:val="21"/>
                <w:szCs w:val="21"/>
              </w:rPr>
              <w:t xml:space="preserve"> et al., 2021</w:t>
            </w:r>
          </w:p>
        </w:tc>
        <w:tc>
          <w:tcPr>
            <w:tcW w:w="1279" w:type="dxa"/>
          </w:tcPr>
          <w:p w14:paraId="34D58654" w14:textId="2417CBF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Norway</w:t>
            </w:r>
          </w:p>
        </w:tc>
        <w:tc>
          <w:tcPr>
            <w:tcW w:w="1700" w:type="dxa"/>
          </w:tcPr>
          <w:p w14:paraId="7E8F0F37" w14:textId="7658D77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5F7C8266" w14:textId="77777777" w:rsidR="00553D21" w:rsidRPr="005016A5" w:rsidRDefault="00553D21" w:rsidP="002775D4">
            <w:pPr>
              <w:rPr>
                <w:rFonts w:ascii="Times New Roman" w:hAnsi="Times New Roman" w:cs="Times New Roman"/>
                <w:color w:val="000000"/>
                <w:sz w:val="21"/>
                <w:szCs w:val="21"/>
              </w:rPr>
            </w:pPr>
          </w:p>
        </w:tc>
        <w:tc>
          <w:tcPr>
            <w:tcW w:w="850" w:type="dxa"/>
          </w:tcPr>
          <w:p w14:paraId="6284A1F2" w14:textId="55470A28" w:rsidR="00553D21" w:rsidRPr="005016A5" w:rsidRDefault="00E26C7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62</w:t>
            </w:r>
          </w:p>
        </w:tc>
        <w:tc>
          <w:tcPr>
            <w:tcW w:w="4820" w:type="dxa"/>
            <w:tcBorders>
              <w:top w:val="single" w:sz="4" w:space="0" w:color="auto"/>
              <w:left w:val="nil"/>
              <w:bottom w:val="single" w:sz="4" w:space="0" w:color="auto"/>
              <w:right w:val="nil"/>
            </w:tcBorders>
          </w:tcPr>
          <w:p w14:paraId="5147B4DB" w14:textId="65860BE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5- and 17-year outcome of adult patients with longstanding ED who were previously admitted to an inpatient ED unit.</w:t>
            </w:r>
          </w:p>
        </w:tc>
        <w:tc>
          <w:tcPr>
            <w:tcW w:w="1559" w:type="dxa"/>
          </w:tcPr>
          <w:p w14:paraId="46F20369" w14:textId="7EE150C7"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4D79A26B" w14:textId="24E4E48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ED diagnoses and recovery, comorbid and general psychopathology, psychosocial </w:t>
            </w:r>
            <w:proofErr w:type="gramStart"/>
            <w:r w:rsidRPr="005016A5">
              <w:rPr>
                <w:rFonts w:ascii="Times New Roman" w:hAnsi="Times New Roman" w:cs="Times New Roman"/>
                <w:color w:val="000000"/>
                <w:sz w:val="21"/>
                <w:szCs w:val="21"/>
              </w:rPr>
              <w:t>functioning</w:t>
            </w:r>
            <w:proofErr w:type="gramEnd"/>
            <w:r w:rsidRPr="005016A5">
              <w:rPr>
                <w:rFonts w:ascii="Times New Roman" w:hAnsi="Times New Roman" w:cs="Times New Roman"/>
                <w:color w:val="000000"/>
                <w:sz w:val="21"/>
                <w:szCs w:val="21"/>
              </w:rPr>
              <w:t xml:space="preserve"> and quality of life at follow up.</w:t>
            </w:r>
          </w:p>
        </w:tc>
        <w:tc>
          <w:tcPr>
            <w:tcW w:w="709" w:type="dxa"/>
            <w:tcBorders>
              <w:top w:val="single" w:sz="4" w:space="0" w:color="auto"/>
              <w:left w:val="nil"/>
              <w:bottom w:val="single" w:sz="4" w:space="0" w:color="auto"/>
              <w:right w:val="single" w:sz="4" w:space="0" w:color="auto"/>
            </w:tcBorders>
          </w:tcPr>
          <w:p w14:paraId="708D7705" w14:textId="77E5DD81" w:rsidR="00553D21" w:rsidRPr="005016A5" w:rsidRDefault="001E36B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52</w:t>
            </w:r>
          </w:p>
        </w:tc>
      </w:tr>
      <w:tr w:rsidR="00553D21" w:rsidRPr="005016A5" w14:paraId="6BBA4088" w14:textId="36A959FF" w:rsidTr="0002675A">
        <w:trPr>
          <w:trHeight w:val="601"/>
        </w:trPr>
        <w:tc>
          <w:tcPr>
            <w:tcW w:w="1268" w:type="dxa"/>
            <w:noWrap/>
          </w:tcPr>
          <w:p w14:paraId="06D0C5F4" w14:textId="7C1F907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Fernández-Aranda et al., 2021</w:t>
            </w:r>
          </w:p>
        </w:tc>
        <w:tc>
          <w:tcPr>
            <w:tcW w:w="1279" w:type="dxa"/>
          </w:tcPr>
          <w:p w14:paraId="1246E3BB" w14:textId="61F6106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Spain</w:t>
            </w:r>
          </w:p>
        </w:tc>
        <w:tc>
          <w:tcPr>
            <w:tcW w:w="1700" w:type="dxa"/>
          </w:tcPr>
          <w:p w14:paraId="449B385A" w14:textId="22CD7D0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Day patient (Adult, Both Sexes)</w:t>
            </w:r>
          </w:p>
        </w:tc>
        <w:tc>
          <w:tcPr>
            <w:tcW w:w="710" w:type="dxa"/>
          </w:tcPr>
          <w:p w14:paraId="08B69150" w14:textId="77777777" w:rsidR="00553D21" w:rsidRPr="005016A5" w:rsidRDefault="00553D21" w:rsidP="002775D4">
            <w:pPr>
              <w:rPr>
                <w:rFonts w:ascii="Times New Roman" w:hAnsi="Times New Roman" w:cs="Times New Roman"/>
                <w:color w:val="000000"/>
                <w:sz w:val="21"/>
                <w:szCs w:val="21"/>
              </w:rPr>
            </w:pPr>
          </w:p>
        </w:tc>
        <w:tc>
          <w:tcPr>
            <w:tcW w:w="850" w:type="dxa"/>
          </w:tcPr>
          <w:p w14:paraId="3E6F917B" w14:textId="428D3326" w:rsidR="00553D21" w:rsidRPr="005016A5" w:rsidRDefault="00044E2B"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1199</w:t>
            </w:r>
          </w:p>
        </w:tc>
        <w:tc>
          <w:tcPr>
            <w:tcW w:w="4820" w:type="dxa"/>
            <w:tcBorders>
              <w:top w:val="single" w:sz="4" w:space="0" w:color="auto"/>
              <w:left w:val="nil"/>
              <w:bottom w:val="single" w:sz="4" w:space="0" w:color="auto"/>
              <w:right w:val="nil"/>
            </w:tcBorders>
          </w:tcPr>
          <w:p w14:paraId="11CDB01C" w14:textId="62BB170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how the duration of illness and other potential prognostic markers impacted on nonresponse and drop-out from treatment across different EDs subtypes.</w:t>
            </w:r>
          </w:p>
        </w:tc>
        <w:tc>
          <w:tcPr>
            <w:tcW w:w="1559" w:type="dxa"/>
          </w:tcPr>
          <w:p w14:paraId="1AE9ECBA" w14:textId="59807992"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Repeated Measure (without follow-up)</w:t>
            </w:r>
          </w:p>
        </w:tc>
        <w:tc>
          <w:tcPr>
            <w:tcW w:w="2268" w:type="dxa"/>
            <w:tcBorders>
              <w:top w:val="single" w:sz="4" w:space="0" w:color="auto"/>
              <w:left w:val="nil"/>
              <w:bottom w:val="single" w:sz="4" w:space="0" w:color="auto"/>
              <w:right w:val="single" w:sz="4" w:space="0" w:color="auto"/>
            </w:tcBorders>
          </w:tcPr>
          <w:p w14:paraId="1B2B6B26" w14:textId="30C4C10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Full, </w:t>
            </w:r>
            <w:proofErr w:type="gramStart"/>
            <w:r w:rsidRPr="005016A5">
              <w:rPr>
                <w:rFonts w:ascii="Times New Roman" w:hAnsi="Times New Roman" w:cs="Times New Roman"/>
                <w:color w:val="000000"/>
                <w:sz w:val="21"/>
                <w:szCs w:val="21"/>
              </w:rPr>
              <w:t>partial</w:t>
            </w:r>
            <w:proofErr w:type="gramEnd"/>
            <w:r w:rsidRPr="005016A5">
              <w:rPr>
                <w:rFonts w:ascii="Times New Roman" w:hAnsi="Times New Roman" w:cs="Times New Roman"/>
                <w:color w:val="000000"/>
                <w:sz w:val="21"/>
                <w:szCs w:val="21"/>
              </w:rPr>
              <w:t xml:space="preserve"> or non-remission at EOT</w:t>
            </w:r>
          </w:p>
        </w:tc>
        <w:tc>
          <w:tcPr>
            <w:tcW w:w="709" w:type="dxa"/>
            <w:tcBorders>
              <w:top w:val="single" w:sz="4" w:space="0" w:color="auto"/>
              <w:left w:val="nil"/>
              <w:bottom w:val="single" w:sz="4" w:space="0" w:color="auto"/>
              <w:right w:val="single" w:sz="4" w:space="0" w:color="auto"/>
            </w:tcBorders>
          </w:tcPr>
          <w:p w14:paraId="3C08E744" w14:textId="3AC988A0" w:rsidR="00553D21" w:rsidRPr="005016A5" w:rsidRDefault="006611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41</w:t>
            </w:r>
          </w:p>
        </w:tc>
      </w:tr>
      <w:tr w:rsidR="00553D21" w:rsidRPr="005016A5" w14:paraId="1C80A30D" w14:textId="593EAE98" w:rsidTr="0002675A">
        <w:trPr>
          <w:trHeight w:val="601"/>
        </w:trPr>
        <w:tc>
          <w:tcPr>
            <w:tcW w:w="1268" w:type="dxa"/>
            <w:noWrap/>
          </w:tcPr>
          <w:p w14:paraId="634A964B" w14:textId="072E5EC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Ferreira et al., 2017</w:t>
            </w:r>
          </w:p>
        </w:tc>
        <w:tc>
          <w:tcPr>
            <w:tcW w:w="1279" w:type="dxa"/>
          </w:tcPr>
          <w:p w14:paraId="3F74A2DF" w14:textId="18F77A8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Brazil</w:t>
            </w:r>
          </w:p>
        </w:tc>
        <w:tc>
          <w:tcPr>
            <w:tcW w:w="1700" w:type="dxa"/>
          </w:tcPr>
          <w:p w14:paraId="789926DD" w14:textId="78066AB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(Adults, Both Sexes)</w:t>
            </w:r>
          </w:p>
        </w:tc>
        <w:tc>
          <w:tcPr>
            <w:tcW w:w="710" w:type="dxa"/>
          </w:tcPr>
          <w:p w14:paraId="3AFF760B" w14:textId="77777777" w:rsidR="00553D21" w:rsidRPr="005016A5" w:rsidRDefault="00553D21" w:rsidP="002775D4">
            <w:pPr>
              <w:rPr>
                <w:rFonts w:ascii="Times New Roman" w:hAnsi="Times New Roman" w:cs="Times New Roman"/>
                <w:color w:val="000000"/>
                <w:sz w:val="21"/>
                <w:szCs w:val="21"/>
              </w:rPr>
            </w:pPr>
          </w:p>
        </w:tc>
        <w:tc>
          <w:tcPr>
            <w:tcW w:w="850" w:type="dxa"/>
          </w:tcPr>
          <w:p w14:paraId="175A732A" w14:textId="244F891D" w:rsidR="00553D21" w:rsidRPr="005016A5" w:rsidRDefault="006F1F5F"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60</w:t>
            </w:r>
          </w:p>
        </w:tc>
        <w:tc>
          <w:tcPr>
            <w:tcW w:w="4820" w:type="dxa"/>
            <w:tcBorders>
              <w:top w:val="single" w:sz="4" w:space="0" w:color="auto"/>
              <w:left w:val="nil"/>
              <w:bottom w:val="single" w:sz="4" w:space="0" w:color="auto"/>
              <w:right w:val="nil"/>
            </w:tcBorders>
            <w:vAlign w:val="bottom"/>
          </w:tcPr>
          <w:p w14:paraId="2674F508" w14:textId="3ADEFB4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improve current understanding of the course of depression and night eating after bariatric surgery in association with postoperative weight loss.</w:t>
            </w:r>
          </w:p>
        </w:tc>
        <w:tc>
          <w:tcPr>
            <w:tcW w:w="1559" w:type="dxa"/>
          </w:tcPr>
          <w:p w14:paraId="6FE8FA69" w14:textId="6403DDE1"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Repeated Measure (without follow-up)</w:t>
            </w:r>
          </w:p>
        </w:tc>
        <w:tc>
          <w:tcPr>
            <w:tcW w:w="2268" w:type="dxa"/>
            <w:tcBorders>
              <w:top w:val="single" w:sz="4" w:space="0" w:color="auto"/>
              <w:left w:val="nil"/>
              <w:bottom w:val="single" w:sz="4" w:space="0" w:color="auto"/>
              <w:right w:val="single" w:sz="4" w:space="0" w:color="auto"/>
            </w:tcBorders>
          </w:tcPr>
          <w:p w14:paraId="57DB8B6C" w14:textId="0363E89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2E2E2E"/>
                <w:sz w:val="21"/>
                <w:szCs w:val="21"/>
              </w:rPr>
              <w:t>Night eating symptoms, depressive symptoms</w:t>
            </w:r>
          </w:p>
        </w:tc>
        <w:tc>
          <w:tcPr>
            <w:tcW w:w="709" w:type="dxa"/>
            <w:tcBorders>
              <w:top w:val="single" w:sz="4" w:space="0" w:color="auto"/>
              <w:left w:val="nil"/>
              <w:bottom w:val="single" w:sz="4" w:space="0" w:color="auto"/>
              <w:right w:val="single" w:sz="4" w:space="0" w:color="auto"/>
            </w:tcBorders>
          </w:tcPr>
          <w:p w14:paraId="73B8A68E" w14:textId="7327B8D5" w:rsidR="00553D21" w:rsidRPr="005016A5" w:rsidRDefault="005F4E34" w:rsidP="002775D4">
            <w:pPr>
              <w:rPr>
                <w:rFonts w:ascii="Times New Roman" w:hAnsi="Times New Roman" w:cs="Times New Roman"/>
                <w:color w:val="2E2E2E"/>
                <w:sz w:val="21"/>
                <w:szCs w:val="21"/>
              </w:rPr>
            </w:pPr>
            <w:r w:rsidRPr="005016A5">
              <w:rPr>
                <w:rFonts w:ascii="Times New Roman" w:hAnsi="Times New Roman" w:cs="Times New Roman"/>
                <w:color w:val="2E2E2E"/>
                <w:sz w:val="21"/>
                <w:szCs w:val="21"/>
              </w:rPr>
              <w:t>86</w:t>
            </w:r>
          </w:p>
        </w:tc>
      </w:tr>
      <w:tr w:rsidR="00553D21" w:rsidRPr="005016A5" w14:paraId="5ED6E1BF" w14:textId="6463FD5F" w:rsidTr="0002675A">
        <w:trPr>
          <w:trHeight w:val="601"/>
        </w:trPr>
        <w:tc>
          <w:tcPr>
            <w:tcW w:w="1268" w:type="dxa"/>
            <w:noWrap/>
          </w:tcPr>
          <w:p w14:paraId="7DAE06EF" w14:textId="326E2DC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Fischer et al., 2014</w:t>
            </w:r>
          </w:p>
        </w:tc>
        <w:tc>
          <w:tcPr>
            <w:tcW w:w="1279" w:type="dxa"/>
          </w:tcPr>
          <w:p w14:paraId="184CED7F" w14:textId="47DFBA1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Switzerland</w:t>
            </w:r>
          </w:p>
        </w:tc>
        <w:tc>
          <w:tcPr>
            <w:tcW w:w="1700" w:type="dxa"/>
          </w:tcPr>
          <w:p w14:paraId="5A3FDF8D" w14:textId="45202F9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086D1482" w14:textId="77777777" w:rsidR="00553D21" w:rsidRPr="005016A5" w:rsidRDefault="00553D21" w:rsidP="002775D4">
            <w:pPr>
              <w:rPr>
                <w:rFonts w:ascii="Times New Roman" w:hAnsi="Times New Roman" w:cs="Times New Roman"/>
                <w:color w:val="000000"/>
                <w:sz w:val="21"/>
                <w:szCs w:val="21"/>
              </w:rPr>
            </w:pPr>
          </w:p>
        </w:tc>
        <w:tc>
          <w:tcPr>
            <w:tcW w:w="850" w:type="dxa"/>
          </w:tcPr>
          <w:p w14:paraId="662B28EF" w14:textId="29EE322D" w:rsidR="00553D21" w:rsidRPr="005016A5" w:rsidRDefault="0037243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41</w:t>
            </w:r>
          </w:p>
        </w:tc>
        <w:tc>
          <w:tcPr>
            <w:tcW w:w="4820" w:type="dxa"/>
            <w:tcBorders>
              <w:top w:val="single" w:sz="4" w:space="0" w:color="auto"/>
              <w:left w:val="nil"/>
              <w:bottom w:val="single" w:sz="4" w:space="0" w:color="auto"/>
              <w:right w:val="nil"/>
            </w:tcBorders>
          </w:tcPr>
          <w:p w14:paraId="5F7009D3" w14:textId="3448F0E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evaluate the long-term efficacy (four years after treatment) of a short-term Cognitive-</w:t>
            </w:r>
            <w:r w:rsidR="00A86BA6" w:rsidRPr="005016A5">
              <w:rPr>
                <w:rFonts w:ascii="Times New Roman" w:hAnsi="Times New Roman" w:cs="Times New Roman"/>
                <w:color w:val="000000"/>
                <w:sz w:val="21"/>
                <w:szCs w:val="21"/>
              </w:rPr>
              <w:t>Behavioural</w:t>
            </w:r>
            <w:r w:rsidRPr="005016A5">
              <w:rPr>
                <w:rFonts w:ascii="Times New Roman" w:hAnsi="Times New Roman" w:cs="Times New Roman"/>
                <w:color w:val="000000"/>
                <w:sz w:val="21"/>
                <w:szCs w:val="21"/>
              </w:rPr>
              <w:t xml:space="preserve"> Treatment (CBT) of Binge Eating Disorder.</w:t>
            </w:r>
          </w:p>
        </w:tc>
        <w:tc>
          <w:tcPr>
            <w:tcW w:w="1559" w:type="dxa"/>
          </w:tcPr>
          <w:p w14:paraId="6835C92E" w14:textId="69797EF1"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7273C845" w14:textId="7507E19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ED psychopathology, BMI, </w:t>
            </w:r>
            <w:proofErr w:type="gramStart"/>
            <w:r w:rsidRPr="005016A5">
              <w:rPr>
                <w:rFonts w:ascii="Times New Roman" w:hAnsi="Times New Roman" w:cs="Times New Roman"/>
                <w:color w:val="000000"/>
                <w:sz w:val="21"/>
                <w:szCs w:val="21"/>
              </w:rPr>
              <w:t>depression</w:t>
            </w:r>
            <w:proofErr w:type="gramEnd"/>
            <w:r w:rsidRPr="005016A5">
              <w:rPr>
                <w:rFonts w:ascii="Times New Roman" w:hAnsi="Times New Roman" w:cs="Times New Roman"/>
                <w:color w:val="000000"/>
                <w:sz w:val="21"/>
                <w:szCs w:val="21"/>
              </w:rPr>
              <w:t xml:space="preserve"> and anxiety </w:t>
            </w:r>
            <w:proofErr w:type="spellStart"/>
            <w:r w:rsidRPr="005016A5">
              <w:rPr>
                <w:rFonts w:ascii="Times New Roman" w:hAnsi="Times New Roman" w:cs="Times New Roman"/>
                <w:color w:val="000000"/>
                <w:sz w:val="21"/>
                <w:szCs w:val="21"/>
              </w:rPr>
              <w:t>symtpoms</w:t>
            </w:r>
            <w:proofErr w:type="spellEnd"/>
            <w:r w:rsidRPr="005016A5">
              <w:rPr>
                <w:rFonts w:ascii="Times New Roman" w:hAnsi="Times New Roman" w:cs="Times New Roman"/>
                <w:color w:val="000000"/>
                <w:sz w:val="21"/>
                <w:szCs w:val="21"/>
              </w:rPr>
              <w:t>, general life satisfaction and general self-efficacy at follow-up.</w:t>
            </w:r>
          </w:p>
        </w:tc>
        <w:tc>
          <w:tcPr>
            <w:tcW w:w="709" w:type="dxa"/>
            <w:tcBorders>
              <w:top w:val="single" w:sz="4" w:space="0" w:color="auto"/>
              <w:left w:val="nil"/>
              <w:bottom w:val="single" w:sz="4" w:space="0" w:color="auto"/>
              <w:right w:val="single" w:sz="4" w:space="0" w:color="auto"/>
            </w:tcBorders>
          </w:tcPr>
          <w:p w14:paraId="3854450C" w14:textId="102E2180" w:rsidR="00553D21" w:rsidRPr="005016A5" w:rsidRDefault="00C8428C"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79</w:t>
            </w:r>
          </w:p>
        </w:tc>
      </w:tr>
      <w:tr w:rsidR="00553D21" w:rsidRPr="005016A5" w14:paraId="1ECE0585" w14:textId="547E6C60" w:rsidTr="0002675A">
        <w:trPr>
          <w:trHeight w:val="601"/>
        </w:trPr>
        <w:tc>
          <w:tcPr>
            <w:tcW w:w="1268" w:type="dxa"/>
            <w:noWrap/>
          </w:tcPr>
          <w:p w14:paraId="749F3EC4" w14:textId="067BA60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Franko et al., 2018</w:t>
            </w:r>
          </w:p>
        </w:tc>
        <w:tc>
          <w:tcPr>
            <w:tcW w:w="1279" w:type="dxa"/>
          </w:tcPr>
          <w:p w14:paraId="1C37D200" w14:textId="4DCD556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248019F3" w14:textId="1E533C2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Females)</w:t>
            </w:r>
          </w:p>
        </w:tc>
        <w:tc>
          <w:tcPr>
            <w:tcW w:w="710" w:type="dxa"/>
          </w:tcPr>
          <w:p w14:paraId="435D0268" w14:textId="77777777" w:rsidR="00553D21" w:rsidRPr="005016A5" w:rsidRDefault="00553D21" w:rsidP="002775D4">
            <w:pPr>
              <w:rPr>
                <w:rFonts w:ascii="Times New Roman" w:hAnsi="Times New Roman" w:cs="Times New Roman"/>
                <w:color w:val="000000"/>
                <w:sz w:val="21"/>
                <w:szCs w:val="21"/>
              </w:rPr>
            </w:pPr>
          </w:p>
        </w:tc>
        <w:tc>
          <w:tcPr>
            <w:tcW w:w="850" w:type="dxa"/>
          </w:tcPr>
          <w:p w14:paraId="43B7875F" w14:textId="523680AC" w:rsidR="00553D21" w:rsidRPr="005016A5" w:rsidRDefault="003A39C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246</w:t>
            </w:r>
          </w:p>
        </w:tc>
        <w:tc>
          <w:tcPr>
            <w:tcW w:w="4820" w:type="dxa"/>
            <w:tcBorders>
              <w:top w:val="single" w:sz="4" w:space="0" w:color="auto"/>
              <w:left w:val="nil"/>
              <w:bottom w:val="single" w:sz="4" w:space="0" w:color="auto"/>
              <w:right w:val="nil"/>
            </w:tcBorders>
          </w:tcPr>
          <w:p w14:paraId="617051D9" w14:textId="1EAF3CA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predictors of long-term recovery from eating disorders 22 years after entry into a longitudinal study.</w:t>
            </w:r>
          </w:p>
        </w:tc>
        <w:tc>
          <w:tcPr>
            <w:tcW w:w="1559" w:type="dxa"/>
          </w:tcPr>
          <w:p w14:paraId="2D00D21E" w14:textId="75B2513D"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13898C0A" w14:textId="54E3859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Presence of an ED at follow-up (The Longitudinal Interval Follow-up Evaluation to assess ED recovery)</w:t>
            </w:r>
          </w:p>
        </w:tc>
        <w:tc>
          <w:tcPr>
            <w:tcW w:w="709" w:type="dxa"/>
            <w:tcBorders>
              <w:top w:val="single" w:sz="4" w:space="0" w:color="auto"/>
              <w:left w:val="nil"/>
              <w:bottom w:val="single" w:sz="4" w:space="0" w:color="auto"/>
              <w:right w:val="single" w:sz="4" w:space="0" w:color="auto"/>
            </w:tcBorders>
          </w:tcPr>
          <w:p w14:paraId="41E358FB" w14:textId="1FA0A473" w:rsidR="00553D21" w:rsidRPr="005016A5" w:rsidRDefault="00B86C5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61</w:t>
            </w:r>
          </w:p>
        </w:tc>
      </w:tr>
      <w:tr w:rsidR="00553D21" w:rsidRPr="005016A5" w14:paraId="57DC1732" w14:textId="72387BC8" w:rsidTr="0002675A">
        <w:trPr>
          <w:trHeight w:val="601"/>
        </w:trPr>
        <w:tc>
          <w:tcPr>
            <w:tcW w:w="1268" w:type="dxa"/>
            <w:noWrap/>
          </w:tcPr>
          <w:p w14:paraId="77A7AE56" w14:textId="378922E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Genco et al., 2013</w:t>
            </w:r>
          </w:p>
        </w:tc>
        <w:tc>
          <w:tcPr>
            <w:tcW w:w="1279" w:type="dxa"/>
          </w:tcPr>
          <w:p w14:paraId="76D82162" w14:textId="230D26C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5C85AE73" w14:textId="151B603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Both Sexes)</w:t>
            </w:r>
          </w:p>
        </w:tc>
        <w:tc>
          <w:tcPr>
            <w:tcW w:w="710" w:type="dxa"/>
          </w:tcPr>
          <w:p w14:paraId="229B7AC9" w14:textId="77777777" w:rsidR="00553D21" w:rsidRPr="005016A5" w:rsidRDefault="00553D21" w:rsidP="002775D4">
            <w:pPr>
              <w:rPr>
                <w:rFonts w:ascii="Times New Roman" w:hAnsi="Times New Roman" w:cs="Times New Roman"/>
                <w:color w:val="000000"/>
                <w:sz w:val="21"/>
                <w:szCs w:val="21"/>
              </w:rPr>
            </w:pPr>
          </w:p>
        </w:tc>
        <w:tc>
          <w:tcPr>
            <w:tcW w:w="850" w:type="dxa"/>
          </w:tcPr>
          <w:p w14:paraId="0A5E9769" w14:textId="018C7A81" w:rsidR="00553D21" w:rsidRPr="005016A5" w:rsidRDefault="00934458"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50</w:t>
            </w:r>
          </w:p>
        </w:tc>
        <w:tc>
          <w:tcPr>
            <w:tcW w:w="4820" w:type="dxa"/>
            <w:tcBorders>
              <w:top w:val="single" w:sz="4" w:space="0" w:color="auto"/>
              <w:left w:val="nil"/>
              <w:bottom w:val="single" w:sz="4" w:space="0" w:color="auto"/>
              <w:right w:val="nil"/>
            </w:tcBorders>
          </w:tcPr>
          <w:p w14:paraId="0F8269BE" w14:textId="48694A9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evaluate the influence of double consecutive intragastric balloon treatment compared with single intragastric balloon treatment followed by diet, on four categories of EDNOS (grazing, emotional eating, sweet-</w:t>
            </w:r>
            <w:proofErr w:type="gramStart"/>
            <w:r w:rsidRPr="005016A5">
              <w:rPr>
                <w:rFonts w:ascii="Times New Roman" w:hAnsi="Times New Roman" w:cs="Times New Roman"/>
                <w:color w:val="000000"/>
                <w:sz w:val="21"/>
                <w:szCs w:val="21"/>
              </w:rPr>
              <w:t>eating</w:t>
            </w:r>
            <w:proofErr w:type="gramEnd"/>
            <w:r w:rsidRPr="005016A5">
              <w:rPr>
                <w:rFonts w:ascii="Times New Roman" w:hAnsi="Times New Roman" w:cs="Times New Roman"/>
                <w:color w:val="000000"/>
                <w:sz w:val="21"/>
                <w:szCs w:val="21"/>
              </w:rPr>
              <w:t xml:space="preserve"> and after-dinner grazing).</w:t>
            </w:r>
          </w:p>
        </w:tc>
        <w:tc>
          <w:tcPr>
            <w:tcW w:w="1559" w:type="dxa"/>
          </w:tcPr>
          <w:p w14:paraId="191F4A15" w14:textId="238A7A88"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Repeated Measure (with follow-up)</w:t>
            </w:r>
          </w:p>
        </w:tc>
        <w:tc>
          <w:tcPr>
            <w:tcW w:w="2268" w:type="dxa"/>
            <w:tcBorders>
              <w:top w:val="single" w:sz="4" w:space="0" w:color="auto"/>
              <w:left w:val="nil"/>
              <w:bottom w:val="single" w:sz="4" w:space="0" w:color="auto"/>
              <w:right w:val="single" w:sz="4" w:space="0" w:color="auto"/>
            </w:tcBorders>
          </w:tcPr>
          <w:p w14:paraId="6069D9F9" w14:textId="128B77E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Presence of EDNOS symptoms at baseline, 6 </w:t>
            </w:r>
            <w:proofErr w:type="spellStart"/>
            <w:r w:rsidRPr="005016A5">
              <w:rPr>
                <w:rFonts w:ascii="Times New Roman" w:hAnsi="Times New Roman" w:cs="Times New Roman"/>
                <w:color w:val="000000"/>
                <w:sz w:val="21"/>
                <w:szCs w:val="21"/>
              </w:rPr>
              <w:t>mths</w:t>
            </w:r>
            <w:proofErr w:type="spellEnd"/>
            <w:r w:rsidRPr="005016A5">
              <w:rPr>
                <w:rFonts w:ascii="Times New Roman" w:hAnsi="Times New Roman" w:cs="Times New Roman"/>
                <w:color w:val="000000"/>
                <w:sz w:val="21"/>
                <w:szCs w:val="21"/>
              </w:rPr>
              <w:t xml:space="preserve"> &amp; 13 </w:t>
            </w:r>
            <w:proofErr w:type="spellStart"/>
            <w:r w:rsidRPr="005016A5">
              <w:rPr>
                <w:rFonts w:ascii="Times New Roman" w:hAnsi="Times New Roman" w:cs="Times New Roman"/>
                <w:color w:val="000000"/>
                <w:sz w:val="21"/>
                <w:szCs w:val="21"/>
              </w:rPr>
              <w:t>mths</w:t>
            </w:r>
            <w:proofErr w:type="spellEnd"/>
            <w:r w:rsidRPr="005016A5">
              <w:rPr>
                <w:rFonts w:ascii="Times New Roman" w:hAnsi="Times New Roman" w:cs="Times New Roman"/>
                <w:color w:val="000000"/>
                <w:sz w:val="21"/>
                <w:szCs w:val="21"/>
              </w:rPr>
              <w:t>.</w:t>
            </w:r>
          </w:p>
        </w:tc>
        <w:tc>
          <w:tcPr>
            <w:tcW w:w="709" w:type="dxa"/>
            <w:tcBorders>
              <w:top w:val="single" w:sz="4" w:space="0" w:color="auto"/>
              <w:left w:val="nil"/>
              <w:bottom w:val="single" w:sz="4" w:space="0" w:color="auto"/>
              <w:right w:val="single" w:sz="4" w:space="0" w:color="auto"/>
            </w:tcBorders>
          </w:tcPr>
          <w:p w14:paraId="19E5F234" w14:textId="590528D7" w:rsidR="00553D21" w:rsidRPr="005016A5" w:rsidRDefault="00D973FB"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85</w:t>
            </w:r>
          </w:p>
        </w:tc>
      </w:tr>
      <w:tr w:rsidR="00553D21" w:rsidRPr="005016A5" w14:paraId="4D4D0D1C" w14:textId="6FCC7255" w:rsidTr="0002675A">
        <w:trPr>
          <w:trHeight w:val="601"/>
        </w:trPr>
        <w:tc>
          <w:tcPr>
            <w:tcW w:w="1268" w:type="dxa"/>
            <w:noWrap/>
          </w:tcPr>
          <w:p w14:paraId="3172CF07" w14:textId="0B83406C"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Glasofer</w:t>
            </w:r>
            <w:proofErr w:type="spellEnd"/>
            <w:r w:rsidRPr="005016A5">
              <w:rPr>
                <w:rFonts w:ascii="Times New Roman" w:hAnsi="Times New Roman" w:cs="Times New Roman"/>
                <w:color w:val="000000"/>
                <w:sz w:val="21"/>
                <w:szCs w:val="21"/>
              </w:rPr>
              <w:t xml:space="preserve"> et al., 2020</w:t>
            </w:r>
          </w:p>
        </w:tc>
        <w:tc>
          <w:tcPr>
            <w:tcW w:w="1279" w:type="dxa"/>
          </w:tcPr>
          <w:p w14:paraId="1C7D0EAB" w14:textId="682AD22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04A888C5" w14:textId="4E3D69A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(Mixed Cohort, Both Sexes)</w:t>
            </w:r>
          </w:p>
        </w:tc>
        <w:tc>
          <w:tcPr>
            <w:tcW w:w="710" w:type="dxa"/>
          </w:tcPr>
          <w:p w14:paraId="42B3EFD5" w14:textId="77777777" w:rsidR="00553D21" w:rsidRPr="005016A5" w:rsidRDefault="00553D21" w:rsidP="002775D4">
            <w:pPr>
              <w:rPr>
                <w:rFonts w:ascii="Times New Roman" w:hAnsi="Times New Roman" w:cs="Times New Roman"/>
                <w:color w:val="000000"/>
                <w:sz w:val="21"/>
                <w:szCs w:val="21"/>
              </w:rPr>
            </w:pPr>
          </w:p>
        </w:tc>
        <w:tc>
          <w:tcPr>
            <w:tcW w:w="850" w:type="dxa"/>
          </w:tcPr>
          <w:p w14:paraId="69737F73" w14:textId="3C6679A2" w:rsidR="00553D21" w:rsidRPr="005016A5" w:rsidRDefault="001E159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168</w:t>
            </w:r>
          </w:p>
        </w:tc>
        <w:tc>
          <w:tcPr>
            <w:tcW w:w="4820" w:type="dxa"/>
            <w:tcBorders>
              <w:top w:val="single" w:sz="4" w:space="0" w:color="auto"/>
              <w:left w:val="nil"/>
              <w:bottom w:val="single" w:sz="4" w:space="0" w:color="auto"/>
              <w:right w:val="nil"/>
            </w:tcBorders>
          </w:tcPr>
          <w:p w14:paraId="5093AE74" w14:textId="5D46353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the association between clinical features at the time of hospital discharge and longer-term outcome among adolescents and adults with AN, the majority of whom had achieved weight restoration to a BMI within the normal range (18.5-24.9 kg/m2)</w:t>
            </w:r>
          </w:p>
        </w:tc>
        <w:tc>
          <w:tcPr>
            <w:tcW w:w="1559" w:type="dxa"/>
          </w:tcPr>
          <w:p w14:paraId="4C987D85" w14:textId="6A418024"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111427F1" w14:textId="6DDDD71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Illness course (body mass index (BMI) and clinical impairment during the 5 years) and health maintenance (categories of weight </w:t>
            </w:r>
            <w:r w:rsidRPr="005016A5">
              <w:rPr>
                <w:rFonts w:ascii="Times New Roman" w:hAnsi="Times New Roman" w:cs="Times New Roman"/>
                <w:color w:val="000000"/>
                <w:sz w:val="21"/>
                <w:szCs w:val="21"/>
              </w:rPr>
              <w:lastRenderedPageBreak/>
              <w:t>and eating disorder symptom severity).</w:t>
            </w:r>
          </w:p>
        </w:tc>
        <w:tc>
          <w:tcPr>
            <w:tcW w:w="709" w:type="dxa"/>
            <w:tcBorders>
              <w:top w:val="single" w:sz="4" w:space="0" w:color="auto"/>
              <w:left w:val="nil"/>
              <w:bottom w:val="single" w:sz="4" w:space="0" w:color="auto"/>
              <w:right w:val="single" w:sz="4" w:space="0" w:color="auto"/>
            </w:tcBorders>
          </w:tcPr>
          <w:p w14:paraId="0A2D2FD1" w14:textId="7C6E2CE5" w:rsidR="00553D21" w:rsidRPr="005016A5" w:rsidRDefault="00AD55A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93</w:t>
            </w:r>
          </w:p>
        </w:tc>
      </w:tr>
      <w:tr w:rsidR="00553D21" w:rsidRPr="005016A5" w14:paraId="5DC36F56" w14:textId="7695FACF" w:rsidTr="0002675A">
        <w:trPr>
          <w:trHeight w:val="601"/>
        </w:trPr>
        <w:tc>
          <w:tcPr>
            <w:tcW w:w="1268" w:type="dxa"/>
            <w:noWrap/>
          </w:tcPr>
          <w:p w14:paraId="1FFCCCBB" w14:textId="7292854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Glazer et al., 2019</w:t>
            </w:r>
          </w:p>
        </w:tc>
        <w:tc>
          <w:tcPr>
            <w:tcW w:w="1279" w:type="dxa"/>
          </w:tcPr>
          <w:p w14:paraId="4046E871" w14:textId="32AB13F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7B500DF7" w14:textId="226E803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(Adolescents, Females)</w:t>
            </w:r>
          </w:p>
        </w:tc>
        <w:tc>
          <w:tcPr>
            <w:tcW w:w="710" w:type="dxa"/>
          </w:tcPr>
          <w:p w14:paraId="1BB0BA60" w14:textId="77777777" w:rsidR="00553D21" w:rsidRPr="005016A5" w:rsidRDefault="00553D21" w:rsidP="002775D4">
            <w:pPr>
              <w:rPr>
                <w:rFonts w:ascii="Times New Roman" w:hAnsi="Times New Roman" w:cs="Times New Roman"/>
                <w:color w:val="000000"/>
                <w:sz w:val="21"/>
                <w:szCs w:val="21"/>
              </w:rPr>
            </w:pPr>
          </w:p>
        </w:tc>
        <w:tc>
          <w:tcPr>
            <w:tcW w:w="850" w:type="dxa"/>
          </w:tcPr>
          <w:p w14:paraId="1EA4BEB0" w14:textId="691142D4" w:rsidR="00553D21" w:rsidRPr="005016A5" w:rsidRDefault="001032C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9039</w:t>
            </w:r>
          </w:p>
        </w:tc>
        <w:tc>
          <w:tcPr>
            <w:tcW w:w="4820" w:type="dxa"/>
            <w:tcBorders>
              <w:top w:val="single" w:sz="4" w:space="0" w:color="auto"/>
              <w:left w:val="nil"/>
              <w:bottom w:val="single" w:sz="4" w:space="0" w:color="auto"/>
              <w:right w:val="nil"/>
            </w:tcBorders>
          </w:tcPr>
          <w:p w14:paraId="4934B18B" w14:textId="78242B7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quantify eating disorder (ED) stability and diagnostic transition among a community-based sample of adolescents and young adult females.</w:t>
            </w:r>
          </w:p>
        </w:tc>
        <w:tc>
          <w:tcPr>
            <w:tcW w:w="1559" w:type="dxa"/>
          </w:tcPr>
          <w:p w14:paraId="058C023B" w14:textId="25304D4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673E5804" w14:textId="4912A08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Number of years symptomatic; probability of maintaining symptoms; recovery; diagnostic crossover</w:t>
            </w:r>
          </w:p>
        </w:tc>
        <w:tc>
          <w:tcPr>
            <w:tcW w:w="709" w:type="dxa"/>
            <w:tcBorders>
              <w:top w:val="single" w:sz="4" w:space="0" w:color="auto"/>
              <w:left w:val="nil"/>
              <w:bottom w:val="single" w:sz="4" w:space="0" w:color="auto"/>
              <w:right w:val="single" w:sz="4" w:space="0" w:color="auto"/>
            </w:tcBorders>
          </w:tcPr>
          <w:p w14:paraId="5D835340" w14:textId="31A439C3" w:rsidR="00553D21" w:rsidRPr="005016A5" w:rsidRDefault="00DA6850"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64</w:t>
            </w:r>
          </w:p>
        </w:tc>
      </w:tr>
      <w:tr w:rsidR="00553D21" w:rsidRPr="005016A5" w14:paraId="1424C144" w14:textId="6F3F5453" w:rsidTr="0002675A">
        <w:trPr>
          <w:trHeight w:val="601"/>
        </w:trPr>
        <w:tc>
          <w:tcPr>
            <w:tcW w:w="1268" w:type="dxa"/>
            <w:noWrap/>
          </w:tcPr>
          <w:p w14:paraId="5E29462A" w14:textId="6AA5F45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Golden et al., 2021</w:t>
            </w:r>
          </w:p>
        </w:tc>
        <w:tc>
          <w:tcPr>
            <w:tcW w:w="1279" w:type="dxa"/>
          </w:tcPr>
          <w:p w14:paraId="7075AC45" w14:textId="590F152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6D5ED7C3" w14:textId="2B44013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(Aged 12-24, Both Sexes)</w:t>
            </w:r>
          </w:p>
        </w:tc>
        <w:tc>
          <w:tcPr>
            <w:tcW w:w="710" w:type="dxa"/>
          </w:tcPr>
          <w:p w14:paraId="0B00DBED" w14:textId="77777777" w:rsidR="00553D21" w:rsidRPr="005016A5" w:rsidRDefault="00553D21" w:rsidP="002775D4">
            <w:pPr>
              <w:rPr>
                <w:rFonts w:ascii="Times New Roman" w:hAnsi="Times New Roman" w:cs="Times New Roman"/>
                <w:color w:val="000000"/>
                <w:sz w:val="21"/>
                <w:szCs w:val="21"/>
              </w:rPr>
            </w:pPr>
          </w:p>
        </w:tc>
        <w:tc>
          <w:tcPr>
            <w:tcW w:w="850" w:type="dxa"/>
          </w:tcPr>
          <w:p w14:paraId="2C0A5D67" w14:textId="59A28264" w:rsidR="00553D21" w:rsidRPr="005016A5" w:rsidRDefault="000A060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111</w:t>
            </w:r>
          </w:p>
        </w:tc>
        <w:tc>
          <w:tcPr>
            <w:tcW w:w="4820" w:type="dxa"/>
            <w:tcBorders>
              <w:top w:val="single" w:sz="4" w:space="0" w:color="auto"/>
              <w:left w:val="nil"/>
              <w:bottom w:val="single" w:sz="4" w:space="0" w:color="auto"/>
              <w:right w:val="nil"/>
            </w:tcBorders>
          </w:tcPr>
          <w:p w14:paraId="6A88480D" w14:textId="36CE867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report the 1-year outcomes of a trial comparing higher with lower calorie refeeding. </w:t>
            </w:r>
          </w:p>
        </w:tc>
        <w:tc>
          <w:tcPr>
            <w:tcW w:w="1559" w:type="dxa"/>
          </w:tcPr>
          <w:p w14:paraId="09411070" w14:textId="0E00E4FE"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RCT + Longitudinal Follow-up</w:t>
            </w:r>
          </w:p>
        </w:tc>
        <w:tc>
          <w:tcPr>
            <w:tcW w:w="2268" w:type="dxa"/>
            <w:tcBorders>
              <w:top w:val="single" w:sz="4" w:space="0" w:color="auto"/>
              <w:left w:val="nil"/>
              <w:bottom w:val="single" w:sz="4" w:space="0" w:color="auto"/>
              <w:right w:val="single" w:sz="4" w:space="0" w:color="auto"/>
            </w:tcBorders>
          </w:tcPr>
          <w:p w14:paraId="202059E1" w14:textId="535DAFB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BMI and ED psychopathology as measured by EDE-Q</w:t>
            </w:r>
          </w:p>
        </w:tc>
        <w:tc>
          <w:tcPr>
            <w:tcW w:w="709" w:type="dxa"/>
            <w:tcBorders>
              <w:top w:val="single" w:sz="4" w:space="0" w:color="auto"/>
              <w:left w:val="nil"/>
              <w:bottom w:val="single" w:sz="4" w:space="0" w:color="auto"/>
              <w:right w:val="single" w:sz="4" w:space="0" w:color="auto"/>
            </w:tcBorders>
          </w:tcPr>
          <w:p w14:paraId="1CC19974" w14:textId="75E98ECA" w:rsidR="00553D21" w:rsidRPr="005016A5" w:rsidRDefault="00636D9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115</w:t>
            </w:r>
          </w:p>
        </w:tc>
      </w:tr>
      <w:tr w:rsidR="00553D21" w:rsidRPr="005016A5" w14:paraId="5DA076D8" w14:textId="5F013C48" w:rsidTr="0002675A">
        <w:trPr>
          <w:trHeight w:val="601"/>
        </w:trPr>
        <w:tc>
          <w:tcPr>
            <w:tcW w:w="1268" w:type="dxa"/>
            <w:noWrap/>
          </w:tcPr>
          <w:p w14:paraId="61170DD7" w14:textId="4C29D91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Goldstein et al., 2011</w:t>
            </w:r>
          </w:p>
        </w:tc>
        <w:tc>
          <w:tcPr>
            <w:tcW w:w="1279" w:type="dxa"/>
          </w:tcPr>
          <w:p w14:paraId="4C7ADD87" w14:textId="7C7A9AA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Australia</w:t>
            </w:r>
          </w:p>
        </w:tc>
        <w:tc>
          <w:tcPr>
            <w:tcW w:w="1700" w:type="dxa"/>
          </w:tcPr>
          <w:p w14:paraId="20915784" w14:textId="5B17AEE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(Young People, Both Sexes)</w:t>
            </w:r>
          </w:p>
        </w:tc>
        <w:tc>
          <w:tcPr>
            <w:tcW w:w="710" w:type="dxa"/>
          </w:tcPr>
          <w:p w14:paraId="1FBA37B3" w14:textId="77777777" w:rsidR="00553D21" w:rsidRPr="005016A5" w:rsidRDefault="00553D21" w:rsidP="002775D4">
            <w:pPr>
              <w:rPr>
                <w:rFonts w:ascii="Times New Roman" w:hAnsi="Times New Roman" w:cs="Times New Roman"/>
                <w:color w:val="000000"/>
                <w:sz w:val="21"/>
                <w:szCs w:val="21"/>
              </w:rPr>
            </w:pPr>
          </w:p>
        </w:tc>
        <w:tc>
          <w:tcPr>
            <w:tcW w:w="850" w:type="dxa"/>
          </w:tcPr>
          <w:p w14:paraId="470991BA" w14:textId="4CE2694D" w:rsidR="00553D21" w:rsidRPr="005016A5" w:rsidRDefault="00895380"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26</w:t>
            </w:r>
          </w:p>
        </w:tc>
        <w:tc>
          <w:tcPr>
            <w:tcW w:w="4820" w:type="dxa"/>
            <w:tcBorders>
              <w:top w:val="single" w:sz="4" w:space="0" w:color="auto"/>
              <w:left w:val="nil"/>
              <w:bottom w:val="single" w:sz="4" w:space="0" w:color="auto"/>
              <w:right w:val="nil"/>
            </w:tcBorders>
          </w:tcPr>
          <w:p w14:paraId="02D723C5" w14:textId="23B3E29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present preliminary results of an open clinical trial of a day program for adolescents with AN.</w:t>
            </w:r>
          </w:p>
        </w:tc>
        <w:tc>
          <w:tcPr>
            <w:tcW w:w="1559" w:type="dxa"/>
          </w:tcPr>
          <w:p w14:paraId="1283F49E" w14:textId="44EFAA22"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Quasi-experimental (intervention)</w:t>
            </w:r>
          </w:p>
        </w:tc>
        <w:tc>
          <w:tcPr>
            <w:tcW w:w="2268" w:type="dxa"/>
            <w:tcBorders>
              <w:top w:val="single" w:sz="4" w:space="0" w:color="auto"/>
              <w:left w:val="nil"/>
              <w:bottom w:val="single" w:sz="4" w:space="0" w:color="auto"/>
              <w:right w:val="single" w:sz="4" w:space="0" w:color="auto"/>
            </w:tcBorders>
          </w:tcPr>
          <w:p w14:paraId="6B4BFFC7" w14:textId="395EA98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Weight gain, AN </w:t>
            </w:r>
            <w:proofErr w:type="gramStart"/>
            <w:r w:rsidRPr="005016A5">
              <w:rPr>
                <w:rFonts w:ascii="Times New Roman" w:hAnsi="Times New Roman" w:cs="Times New Roman"/>
                <w:color w:val="000000"/>
                <w:sz w:val="21"/>
                <w:szCs w:val="21"/>
              </w:rPr>
              <w:t>symptoms</w:t>
            </w:r>
            <w:proofErr w:type="gramEnd"/>
            <w:r w:rsidRPr="005016A5">
              <w:rPr>
                <w:rFonts w:ascii="Times New Roman" w:hAnsi="Times New Roman" w:cs="Times New Roman"/>
                <w:color w:val="000000"/>
                <w:sz w:val="21"/>
                <w:szCs w:val="21"/>
              </w:rPr>
              <w:t>, attitudes towards weight and shape</w:t>
            </w:r>
          </w:p>
        </w:tc>
        <w:tc>
          <w:tcPr>
            <w:tcW w:w="709" w:type="dxa"/>
            <w:tcBorders>
              <w:top w:val="single" w:sz="4" w:space="0" w:color="auto"/>
              <w:left w:val="nil"/>
              <w:bottom w:val="single" w:sz="4" w:space="0" w:color="auto"/>
              <w:right w:val="single" w:sz="4" w:space="0" w:color="auto"/>
            </w:tcBorders>
          </w:tcPr>
          <w:p w14:paraId="36ADB225" w14:textId="7908F4D2" w:rsidR="00553D21" w:rsidRPr="005016A5" w:rsidRDefault="00AB0DB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65</w:t>
            </w:r>
          </w:p>
        </w:tc>
      </w:tr>
      <w:tr w:rsidR="00553D21" w:rsidRPr="005016A5" w14:paraId="419A9E3F" w14:textId="45407711" w:rsidTr="0002675A">
        <w:trPr>
          <w:trHeight w:val="601"/>
        </w:trPr>
        <w:tc>
          <w:tcPr>
            <w:tcW w:w="1268" w:type="dxa"/>
            <w:noWrap/>
          </w:tcPr>
          <w:p w14:paraId="6FFC188E" w14:textId="7F9B5FD5"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Gorrell</w:t>
            </w:r>
            <w:proofErr w:type="spellEnd"/>
            <w:r w:rsidRPr="005016A5">
              <w:rPr>
                <w:rFonts w:ascii="Times New Roman" w:hAnsi="Times New Roman" w:cs="Times New Roman"/>
                <w:color w:val="000000"/>
                <w:sz w:val="21"/>
                <w:szCs w:val="21"/>
              </w:rPr>
              <w:t xml:space="preserve"> et al., 2020</w:t>
            </w:r>
          </w:p>
        </w:tc>
        <w:tc>
          <w:tcPr>
            <w:tcW w:w="1279" w:type="dxa"/>
          </w:tcPr>
          <w:p w14:paraId="3546E27E" w14:textId="4AB9E83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7B6BCC9E" w14:textId="41EFBF8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(Young People, Both Sexes)</w:t>
            </w:r>
          </w:p>
        </w:tc>
        <w:tc>
          <w:tcPr>
            <w:tcW w:w="710" w:type="dxa"/>
          </w:tcPr>
          <w:p w14:paraId="19014650" w14:textId="77777777" w:rsidR="00553D21" w:rsidRPr="005016A5" w:rsidRDefault="00553D21" w:rsidP="002775D4">
            <w:pPr>
              <w:rPr>
                <w:rFonts w:ascii="Times New Roman" w:hAnsi="Times New Roman" w:cs="Times New Roman"/>
                <w:color w:val="000000"/>
                <w:sz w:val="21"/>
                <w:szCs w:val="21"/>
              </w:rPr>
            </w:pPr>
          </w:p>
        </w:tc>
        <w:tc>
          <w:tcPr>
            <w:tcW w:w="850" w:type="dxa"/>
          </w:tcPr>
          <w:p w14:paraId="2122571E" w14:textId="01CE9A9F" w:rsidR="00553D21" w:rsidRPr="005016A5" w:rsidRDefault="004E3360"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110</w:t>
            </w:r>
          </w:p>
        </w:tc>
        <w:tc>
          <w:tcPr>
            <w:tcW w:w="4820" w:type="dxa"/>
            <w:tcBorders>
              <w:top w:val="single" w:sz="4" w:space="0" w:color="auto"/>
              <w:left w:val="nil"/>
              <w:bottom w:val="single" w:sz="4" w:space="0" w:color="auto"/>
              <w:right w:val="nil"/>
            </w:tcBorders>
          </w:tcPr>
          <w:p w14:paraId="7195C939" w14:textId="55E72FD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reactivity in remission rates, relative to various conceptualizations of remission in a single RCT data set.</w:t>
            </w:r>
          </w:p>
        </w:tc>
        <w:tc>
          <w:tcPr>
            <w:tcW w:w="1559" w:type="dxa"/>
          </w:tcPr>
          <w:p w14:paraId="1A558B6B" w14:textId="36380FB2"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Modelling (Statistical)</w:t>
            </w:r>
          </w:p>
        </w:tc>
        <w:tc>
          <w:tcPr>
            <w:tcW w:w="2268" w:type="dxa"/>
            <w:tcBorders>
              <w:top w:val="single" w:sz="4" w:space="0" w:color="auto"/>
              <w:left w:val="nil"/>
              <w:bottom w:val="single" w:sz="4" w:space="0" w:color="auto"/>
              <w:right w:val="single" w:sz="4" w:space="0" w:color="auto"/>
            </w:tcBorders>
          </w:tcPr>
          <w:p w14:paraId="5ED23726" w14:textId="1FBEEB0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 various models</w:t>
            </w:r>
          </w:p>
        </w:tc>
        <w:tc>
          <w:tcPr>
            <w:tcW w:w="709" w:type="dxa"/>
            <w:tcBorders>
              <w:top w:val="single" w:sz="4" w:space="0" w:color="auto"/>
              <w:left w:val="nil"/>
              <w:bottom w:val="single" w:sz="4" w:space="0" w:color="auto"/>
              <w:right w:val="single" w:sz="4" w:space="0" w:color="auto"/>
            </w:tcBorders>
          </w:tcPr>
          <w:p w14:paraId="7A0762AD" w14:textId="29953595" w:rsidR="00553D21" w:rsidRPr="005016A5" w:rsidRDefault="003C6B6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31</w:t>
            </w:r>
          </w:p>
        </w:tc>
      </w:tr>
      <w:tr w:rsidR="00553D21" w:rsidRPr="005016A5" w14:paraId="20978F89" w14:textId="2B1A43DE" w:rsidTr="0002675A">
        <w:trPr>
          <w:trHeight w:val="601"/>
        </w:trPr>
        <w:tc>
          <w:tcPr>
            <w:tcW w:w="1268" w:type="dxa"/>
            <w:noWrap/>
          </w:tcPr>
          <w:p w14:paraId="3BAE4CAF" w14:textId="1CEB65CB"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Gramm</w:t>
            </w:r>
            <w:r w:rsidR="004C47F0" w:rsidRPr="005016A5">
              <w:rPr>
                <w:rFonts w:ascii="Times New Roman" w:hAnsi="Times New Roman" w:cs="Times New Roman"/>
                <w:color w:val="000000"/>
                <w:sz w:val="21"/>
                <w:szCs w:val="21"/>
              </w:rPr>
              <w:t>e</w:t>
            </w:r>
            <w:r w:rsidRPr="005016A5">
              <w:rPr>
                <w:rFonts w:ascii="Times New Roman" w:hAnsi="Times New Roman" w:cs="Times New Roman"/>
                <w:color w:val="000000"/>
                <w:sz w:val="21"/>
                <w:szCs w:val="21"/>
              </w:rPr>
              <w:t>r</w:t>
            </w:r>
            <w:proofErr w:type="spellEnd"/>
            <w:r w:rsidRPr="005016A5">
              <w:rPr>
                <w:rFonts w:ascii="Times New Roman" w:hAnsi="Times New Roman" w:cs="Times New Roman"/>
                <w:color w:val="000000"/>
                <w:sz w:val="21"/>
                <w:szCs w:val="21"/>
              </w:rPr>
              <w:t xml:space="preserve"> et al., 2021</w:t>
            </w:r>
          </w:p>
        </w:tc>
        <w:tc>
          <w:tcPr>
            <w:tcW w:w="1279" w:type="dxa"/>
          </w:tcPr>
          <w:p w14:paraId="28C09D6F" w14:textId="72B1D96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00646639" w14:textId="277F5C3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Both Sexes)</w:t>
            </w:r>
          </w:p>
        </w:tc>
        <w:tc>
          <w:tcPr>
            <w:tcW w:w="710" w:type="dxa"/>
          </w:tcPr>
          <w:p w14:paraId="55BF7C9C" w14:textId="77777777" w:rsidR="00553D21" w:rsidRPr="005016A5" w:rsidRDefault="00553D21" w:rsidP="002775D4">
            <w:pPr>
              <w:rPr>
                <w:rFonts w:ascii="Times New Roman" w:hAnsi="Times New Roman" w:cs="Times New Roman"/>
                <w:color w:val="000000"/>
                <w:sz w:val="21"/>
                <w:szCs w:val="21"/>
              </w:rPr>
            </w:pPr>
          </w:p>
        </w:tc>
        <w:tc>
          <w:tcPr>
            <w:tcW w:w="850" w:type="dxa"/>
          </w:tcPr>
          <w:p w14:paraId="793BD3A2" w14:textId="5ADD0C2F" w:rsidR="00553D21" w:rsidRPr="005016A5" w:rsidRDefault="0016236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8531</w:t>
            </w:r>
          </w:p>
        </w:tc>
        <w:tc>
          <w:tcPr>
            <w:tcW w:w="4820" w:type="dxa"/>
            <w:tcBorders>
              <w:top w:val="single" w:sz="4" w:space="0" w:color="auto"/>
              <w:left w:val="nil"/>
              <w:bottom w:val="single" w:sz="4" w:space="0" w:color="auto"/>
              <w:right w:val="nil"/>
            </w:tcBorders>
          </w:tcPr>
          <w:p w14:paraId="26B24358" w14:textId="584F675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evaluate differences in probably diagnoses of EDs (AN, clinical/subthreshold BN, BED) and weight and shape concerns by sexual orientation and gender identity, and to investigate differences in ED chronicity and probable comorbid psychiatric diagnoses by sexual orientation and gender identity.</w:t>
            </w:r>
          </w:p>
        </w:tc>
        <w:tc>
          <w:tcPr>
            <w:tcW w:w="1559" w:type="dxa"/>
          </w:tcPr>
          <w:p w14:paraId="1FCE4803" w14:textId="35DD5868"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Cross-sectional survey</w:t>
            </w:r>
          </w:p>
        </w:tc>
        <w:tc>
          <w:tcPr>
            <w:tcW w:w="2268" w:type="dxa"/>
            <w:tcBorders>
              <w:top w:val="single" w:sz="4" w:space="0" w:color="auto"/>
              <w:left w:val="nil"/>
              <w:bottom w:val="single" w:sz="4" w:space="0" w:color="auto"/>
              <w:right w:val="single" w:sz="4" w:space="0" w:color="auto"/>
            </w:tcBorders>
          </w:tcPr>
          <w:p w14:paraId="47AD5010" w14:textId="0A9D26C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Weight and shape concerns, ED chronicity, psychiatric comorbidities</w:t>
            </w:r>
          </w:p>
        </w:tc>
        <w:tc>
          <w:tcPr>
            <w:tcW w:w="709" w:type="dxa"/>
            <w:tcBorders>
              <w:top w:val="single" w:sz="4" w:space="0" w:color="auto"/>
              <w:left w:val="nil"/>
              <w:bottom w:val="single" w:sz="4" w:space="0" w:color="auto"/>
              <w:right w:val="single" w:sz="4" w:space="0" w:color="auto"/>
            </w:tcBorders>
          </w:tcPr>
          <w:p w14:paraId="5EE55FC2" w14:textId="0DACD9E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1</w:t>
            </w:r>
            <w:r w:rsidR="00452DCD" w:rsidRPr="005016A5">
              <w:rPr>
                <w:rFonts w:ascii="Times New Roman" w:hAnsi="Times New Roman" w:cs="Times New Roman"/>
                <w:color w:val="000000" w:themeColor="text1"/>
                <w:sz w:val="21"/>
                <w:szCs w:val="21"/>
              </w:rPr>
              <w:t>07</w:t>
            </w:r>
          </w:p>
        </w:tc>
      </w:tr>
      <w:tr w:rsidR="00553D21" w:rsidRPr="005016A5" w14:paraId="06F3EAB9" w14:textId="7D1956BA" w:rsidTr="0002675A">
        <w:trPr>
          <w:trHeight w:val="601"/>
        </w:trPr>
        <w:tc>
          <w:tcPr>
            <w:tcW w:w="1268" w:type="dxa"/>
            <w:noWrap/>
          </w:tcPr>
          <w:p w14:paraId="63B5B0E0" w14:textId="3B8F818B"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Guinhut</w:t>
            </w:r>
            <w:proofErr w:type="spellEnd"/>
            <w:r w:rsidRPr="005016A5">
              <w:rPr>
                <w:rFonts w:ascii="Times New Roman" w:hAnsi="Times New Roman" w:cs="Times New Roman"/>
                <w:color w:val="000000"/>
                <w:sz w:val="21"/>
                <w:szCs w:val="21"/>
              </w:rPr>
              <w:t xml:space="preserve"> et al., 2021</w:t>
            </w:r>
          </w:p>
        </w:tc>
        <w:tc>
          <w:tcPr>
            <w:tcW w:w="1279" w:type="dxa"/>
          </w:tcPr>
          <w:p w14:paraId="4C4F60FC" w14:textId="0B6974C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France</w:t>
            </w:r>
          </w:p>
        </w:tc>
        <w:tc>
          <w:tcPr>
            <w:tcW w:w="1700" w:type="dxa"/>
          </w:tcPr>
          <w:p w14:paraId="1C4874B2" w14:textId="0D6016D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Both Sexes)</w:t>
            </w:r>
          </w:p>
        </w:tc>
        <w:tc>
          <w:tcPr>
            <w:tcW w:w="710" w:type="dxa"/>
          </w:tcPr>
          <w:p w14:paraId="38D0F693" w14:textId="77777777" w:rsidR="00553D21" w:rsidRPr="005016A5" w:rsidRDefault="00553D21" w:rsidP="002775D4">
            <w:pPr>
              <w:rPr>
                <w:rFonts w:ascii="Times New Roman" w:hAnsi="Times New Roman" w:cs="Times New Roman"/>
                <w:color w:val="000000"/>
                <w:sz w:val="21"/>
                <w:szCs w:val="21"/>
              </w:rPr>
            </w:pPr>
          </w:p>
        </w:tc>
        <w:tc>
          <w:tcPr>
            <w:tcW w:w="850" w:type="dxa"/>
          </w:tcPr>
          <w:p w14:paraId="13E3C3E1" w14:textId="5ACC37F6" w:rsidR="00553D21" w:rsidRPr="005016A5" w:rsidRDefault="00A5469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354</w:t>
            </w:r>
          </w:p>
        </w:tc>
        <w:tc>
          <w:tcPr>
            <w:tcW w:w="4820" w:type="dxa"/>
            <w:tcBorders>
              <w:top w:val="single" w:sz="4" w:space="0" w:color="auto"/>
              <w:left w:val="nil"/>
              <w:bottom w:val="single" w:sz="4" w:space="0" w:color="auto"/>
              <w:right w:val="nil"/>
            </w:tcBorders>
          </w:tcPr>
          <w:p w14:paraId="22B19FA4" w14:textId="3407375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specify socio-demographic, anamnestic and clinical characteristics of AN patients hospitalised for extreme malnutrition, to identify types and prevalence of medical complications presented during their hospitalization for refeeding and the evolution of patient’s nutritional status.</w:t>
            </w:r>
          </w:p>
        </w:tc>
        <w:tc>
          <w:tcPr>
            <w:tcW w:w="1559" w:type="dxa"/>
          </w:tcPr>
          <w:p w14:paraId="13461B4A" w14:textId="2ECAC2FB"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Retrospective observational study</w:t>
            </w:r>
          </w:p>
        </w:tc>
        <w:tc>
          <w:tcPr>
            <w:tcW w:w="2268" w:type="dxa"/>
            <w:tcBorders>
              <w:top w:val="single" w:sz="4" w:space="0" w:color="auto"/>
              <w:left w:val="nil"/>
              <w:bottom w:val="single" w:sz="4" w:space="0" w:color="auto"/>
              <w:right w:val="single" w:sz="4" w:space="0" w:color="auto"/>
            </w:tcBorders>
          </w:tcPr>
          <w:p w14:paraId="0391AF04" w14:textId="43316FD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Weight gain, medical status</w:t>
            </w:r>
          </w:p>
        </w:tc>
        <w:tc>
          <w:tcPr>
            <w:tcW w:w="709" w:type="dxa"/>
            <w:tcBorders>
              <w:top w:val="single" w:sz="4" w:space="0" w:color="auto"/>
              <w:left w:val="nil"/>
              <w:bottom w:val="single" w:sz="4" w:space="0" w:color="auto"/>
              <w:right w:val="single" w:sz="4" w:space="0" w:color="auto"/>
            </w:tcBorders>
          </w:tcPr>
          <w:p w14:paraId="2205FF8A" w14:textId="0E67A3C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6D53CC" w:rsidRPr="005016A5">
              <w:rPr>
                <w:rFonts w:ascii="Times New Roman" w:hAnsi="Times New Roman" w:cs="Times New Roman"/>
                <w:color w:val="000000"/>
                <w:sz w:val="21"/>
                <w:szCs w:val="21"/>
              </w:rPr>
              <w:t>5</w:t>
            </w:r>
            <w:r w:rsidR="00304D49" w:rsidRPr="005016A5">
              <w:rPr>
                <w:rFonts w:ascii="Times New Roman" w:hAnsi="Times New Roman" w:cs="Times New Roman"/>
                <w:color w:val="000000"/>
                <w:sz w:val="21"/>
                <w:szCs w:val="21"/>
              </w:rPr>
              <w:t>0</w:t>
            </w:r>
          </w:p>
        </w:tc>
      </w:tr>
      <w:tr w:rsidR="00553D21" w:rsidRPr="005016A5" w14:paraId="1DF92D6B" w14:textId="79B78597" w:rsidTr="0002675A">
        <w:trPr>
          <w:trHeight w:val="601"/>
        </w:trPr>
        <w:tc>
          <w:tcPr>
            <w:tcW w:w="1268" w:type="dxa"/>
            <w:noWrap/>
          </w:tcPr>
          <w:p w14:paraId="7BE30298" w14:textId="195D901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Hay et al., 2012</w:t>
            </w:r>
          </w:p>
        </w:tc>
        <w:tc>
          <w:tcPr>
            <w:tcW w:w="1279" w:type="dxa"/>
          </w:tcPr>
          <w:p w14:paraId="4EE77FC6" w14:textId="356DDFE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Australia</w:t>
            </w:r>
          </w:p>
        </w:tc>
        <w:tc>
          <w:tcPr>
            <w:tcW w:w="1700" w:type="dxa"/>
          </w:tcPr>
          <w:p w14:paraId="221DA0D4" w14:textId="3243CFB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Females)</w:t>
            </w:r>
          </w:p>
        </w:tc>
        <w:tc>
          <w:tcPr>
            <w:tcW w:w="710" w:type="dxa"/>
          </w:tcPr>
          <w:p w14:paraId="736A214D" w14:textId="77777777" w:rsidR="00553D21" w:rsidRPr="005016A5" w:rsidRDefault="00553D21" w:rsidP="002775D4">
            <w:pPr>
              <w:rPr>
                <w:rFonts w:ascii="Times New Roman" w:hAnsi="Times New Roman" w:cs="Times New Roman"/>
                <w:color w:val="000000"/>
                <w:sz w:val="21"/>
                <w:szCs w:val="21"/>
              </w:rPr>
            </w:pPr>
          </w:p>
        </w:tc>
        <w:tc>
          <w:tcPr>
            <w:tcW w:w="850" w:type="dxa"/>
          </w:tcPr>
          <w:p w14:paraId="231BCBA3" w14:textId="14F01BC6" w:rsidR="00553D21" w:rsidRPr="005016A5" w:rsidRDefault="008229C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828</w:t>
            </w:r>
          </w:p>
        </w:tc>
        <w:tc>
          <w:tcPr>
            <w:tcW w:w="4820" w:type="dxa"/>
            <w:tcBorders>
              <w:top w:val="single" w:sz="4" w:space="0" w:color="auto"/>
              <w:left w:val="nil"/>
              <w:bottom w:val="single" w:sz="4" w:space="0" w:color="auto"/>
              <w:right w:val="nil"/>
            </w:tcBorders>
          </w:tcPr>
          <w:p w14:paraId="65AFACF2" w14:textId="1A21F0B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persistence or otherwise of eating disorder symptoms, both behaviours and psychopathology, among a community sample over five years</w:t>
            </w:r>
          </w:p>
        </w:tc>
        <w:tc>
          <w:tcPr>
            <w:tcW w:w="1559" w:type="dxa"/>
          </w:tcPr>
          <w:p w14:paraId="1F8AA824" w14:textId="3E098FE1"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256139F5" w14:textId="0FE1771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of ED symptoms</w:t>
            </w:r>
          </w:p>
        </w:tc>
        <w:tc>
          <w:tcPr>
            <w:tcW w:w="709" w:type="dxa"/>
            <w:tcBorders>
              <w:top w:val="single" w:sz="4" w:space="0" w:color="auto"/>
              <w:left w:val="nil"/>
              <w:bottom w:val="single" w:sz="4" w:space="0" w:color="auto"/>
              <w:right w:val="single" w:sz="4" w:space="0" w:color="auto"/>
            </w:tcBorders>
          </w:tcPr>
          <w:p w14:paraId="06129652" w14:textId="69CFAB77" w:rsidR="00553D21" w:rsidRPr="005016A5" w:rsidRDefault="00F25B4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108</w:t>
            </w:r>
          </w:p>
        </w:tc>
      </w:tr>
      <w:tr w:rsidR="00553D21" w:rsidRPr="005016A5" w14:paraId="309B3290" w14:textId="1A157FB8" w:rsidTr="0002675A">
        <w:trPr>
          <w:trHeight w:val="601"/>
        </w:trPr>
        <w:tc>
          <w:tcPr>
            <w:tcW w:w="1268" w:type="dxa"/>
            <w:noWrap/>
          </w:tcPr>
          <w:p w14:paraId="7B502B4C" w14:textId="57A28AB7"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lastRenderedPageBreak/>
              <w:t>Helverskov</w:t>
            </w:r>
            <w:proofErr w:type="spellEnd"/>
            <w:r w:rsidRPr="005016A5">
              <w:rPr>
                <w:rFonts w:ascii="Times New Roman" w:hAnsi="Times New Roman" w:cs="Times New Roman"/>
                <w:color w:val="000000"/>
                <w:sz w:val="21"/>
                <w:szCs w:val="21"/>
              </w:rPr>
              <w:t xml:space="preserve"> et al., 2010</w:t>
            </w:r>
          </w:p>
        </w:tc>
        <w:tc>
          <w:tcPr>
            <w:tcW w:w="1279" w:type="dxa"/>
          </w:tcPr>
          <w:p w14:paraId="4D9A031C" w14:textId="11B074C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Denmark</w:t>
            </w:r>
          </w:p>
        </w:tc>
        <w:tc>
          <w:tcPr>
            <w:tcW w:w="1700" w:type="dxa"/>
          </w:tcPr>
          <w:p w14:paraId="287636CB" w14:textId="492C220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and Outpatient (Aged &gt;13, Both Sexes)</w:t>
            </w:r>
          </w:p>
        </w:tc>
        <w:tc>
          <w:tcPr>
            <w:tcW w:w="710" w:type="dxa"/>
          </w:tcPr>
          <w:p w14:paraId="5B103F1F" w14:textId="77777777" w:rsidR="00553D21" w:rsidRPr="005016A5" w:rsidRDefault="00553D21" w:rsidP="002775D4">
            <w:pPr>
              <w:rPr>
                <w:rFonts w:ascii="Times New Roman" w:hAnsi="Times New Roman" w:cs="Times New Roman"/>
                <w:color w:val="000000"/>
                <w:sz w:val="21"/>
                <w:szCs w:val="21"/>
              </w:rPr>
            </w:pPr>
          </w:p>
        </w:tc>
        <w:tc>
          <w:tcPr>
            <w:tcW w:w="850" w:type="dxa"/>
          </w:tcPr>
          <w:p w14:paraId="663252F1" w14:textId="039F5720" w:rsidR="00553D21" w:rsidRPr="005016A5" w:rsidRDefault="000323F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629</w:t>
            </w:r>
          </w:p>
        </w:tc>
        <w:tc>
          <w:tcPr>
            <w:tcW w:w="4820" w:type="dxa"/>
            <w:tcBorders>
              <w:top w:val="single" w:sz="4" w:space="0" w:color="auto"/>
              <w:left w:val="nil"/>
              <w:bottom w:val="single" w:sz="4" w:space="0" w:color="auto"/>
              <w:right w:val="nil"/>
            </w:tcBorders>
          </w:tcPr>
          <w:p w14:paraId="5A20D99E" w14:textId="46AFED6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assess the 30-month outcome and predictors of outcome in a cohort of patients with any eating disorder (ED).</w:t>
            </w:r>
          </w:p>
        </w:tc>
        <w:tc>
          <w:tcPr>
            <w:tcW w:w="1559" w:type="dxa"/>
          </w:tcPr>
          <w:p w14:paraId="3949745D" w14:textId="773156DC"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5201F830" w14:textId="3ADE1EE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Time to remission; predictors of remission; relapse; diagnostic crossover; and mortality.</w:t>
            </w:r>
          </w:p>
        </w:tc>
        <w:tc>
          <w:tcPr>
            <w:tcW w:w="709" w:type="dxa"/>
            <w:tcBorders>
              <w:top w:val="single" w:sz="4" w:space="0" w:color="auto"/>
              <w:left w:val="nil"/>
              <w:bottom w:val="single" w:sz="4" w:space="0" w:color="auto"/>
              <w:right w:val="single" w:sz="4" w:space="0" w:color="auto"/>
            </w:tcBorders>
          </w:tcPr>
          <w:p w14:paraId="3AF687F2" w14:textId="70476DE3" w:rsidR="00553D21" w:rsidRPr="005016A5" w:rsidRDefault="00F47C0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44</w:t>
            </w:r>
          </w:p>
        </w:tc>
      </w:tr>
      <w:tr w:rsidR="00553D21" w:rsidRPr="005016A5" w14:paraId="098AC79F" w14:textId="463FBDF2" w:rsidTr="0002675A">
        <w:trPr>
          <w:trHeight w:val="601"/>
        </w:trPr>
        <w:tc>
          <w:tcPr>
            <w:tcW w:w="1268" w:type="dxa"/>
            <w:noWrap/>
          </w:tcPr>
          <w:p w14:paraId="4CEF9215" w14:textId="3FB1F6E9"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Herpe</w:t>
            </w:r>
            <w:r w:rsidR="00A524B7" w:rsidRPr="005016A5">
              <w:rPr>
                <w:rFonts w:ascii="Times New Roman" w:hAnsi="Times New Roman" w:cs="Times New Roman"/>
                <w:color w:val="000000"/>
                <w:sz w:val="21"/>
                <w:szCs w:val="21"/>
              </w:rPr>
              <w:t>r</w:t>
            </w:r>
            <w:r w:rsidRPr="005016A5">
              <w:rPr>
                <w:rFonts w:ascii="Times New Roman" w:hAnsi="Times New Roman" w:cs="Times New Roman"/>
                <w:color w:val="000000"/>
                <w:sz w:val="21"/>
                <w:szCs w:val="21"/>
              </w:rPr>
              <w:t>tz-Dahlmann</w:t>
            </w:r>
            <w:proofErr w:type="spellEnd"/>
            <w:r w:rsidRPr="005016A5">
              <w:rPr>
                <w:rFonts w:ascii="Times New Roman" w:hAnsi="Times New Roman" w:cs="Times New Roman"/>
                <w:color w:val="000000"/>
                <w:sz w:val="21"/>
                <w:szCs w:val="21"/>
              </w:rPr>
              <w:t xml:space="preserve"> et al., 2018</w:t>
            </w:r>
          </w:p>
        </w:tc>
        <w:tc>
          <w:tcPr>
            <w:tcW w:w="1279" w:type="dxa"/>
          </w:tcPr>
          <w:p w14:paraId="1DC40C51" w14:textId="14E151C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Germany</w:t>
            </w:r>
          </w:p>
        </w:tc>
        <w:tc>
          <w:tcPr>
            <w:tcW w:w="1700" w:type="dxa"/>
          </w:tcPr>
          <w:p w14:paraId="05194D5B" w14:textId="01434D8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(Young People, Both Sexes)</w:t>
            </w:r>
          </w:p>
        </w:tc>
        <w:tc>
          <w:tcPr>
            <w:tcW w:w="710" w:type="dxa"/>
          </w:tcPr>
          <w:p w14:paraId="23401C2D" w14:textId="77777777" w:rsidR="00553D21" w:rsidRPr="005016A5" w:rsidRDefault="00553D21" w:rsidP="002775D4">
            <w:pPr>
              <w:rPr>
                <w:rFonts w:ascii="Times New Roman" w:hAnsi="Times New Roman" w:cs="Times New Roman"/>
                <w:color w:val="000000"/>
                <w:sz w:val="21"/>
                <w:szCs w:val="21"/>
              </w:rPr>
            </w:pPr>
          </w:p>
        </w:tc>
        <w:tc>
          <w:tcPr>
            <w:tcW w:w="850" w:type="dxa"/>
          </w:tcPr>
          <w:p w14:paraId="1509C973" w14:textId="082D26FA" w:rsidR="00553D21" w:rsidRPr="005016A5" w:rsidRDefault="008B1CE5"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68</w:t>
            </w:r>
          </w:p>
        </w:tc>
        <w:tc>
          <w:tcPr>
            <w:tcW w:w="4820" w:type="dxa"/>
            <w:tcBorders>
              <w:top w:val="single" w:sz="4" w:space="0" w:color="auto"/>
              <w:left w:val="nil"/>
              <w:bottom w:val="single" w:sz="4" w:space="0" w:color="auto"/>
              <w:right w:val="nil"/>
            </w:tcBorders>
          </w:tcPr>
          <w:p w14:paraId="36B94BF0" w14:textId="67ED48A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outcomes of patients with AN onset before the age of 14.</w:t>
            </w:r>
          </w:p>
        </w:tc>
        <w:tc>
          <w:tcPr>
            <w:tcW w:w="1559" w:type="dxa"/>
          </w:tcPr>
          <w:p w14:paraId="7DA312A5" w14:textId="515F6300"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740F49B0" w14:textId="5365E46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Mortality, BMI, ED psychopathology, health-related quality of </w:t>
            </w:r>
            <w:proofErr w:type="spellStart"/>
            <w:proofErr w:type="gramStart"/>
            <w:r w:rsidRPr="005016A5">
              <w:rPr>
                <w:rFonts w:ascii="Times New Roman" w:hAnsi="Times New Roman" w:cs="Times New Roman"/>
                <w:color w:val="000000"/>
                <w:sz w:val="21"/>
                <w:szCs w:val="21"/>
              </w:rPr>
              <w:t>life,and</w:t>
            </w:r>
            <w:proofErr w:type="spellEnd"/>
            <w:proofErr w:type="gramEnd"/>
            <w:r w:rsidRPr="005016A5">
              <w:rPr>
                <w:rFonts w:ascii="Times New Roman" w:hAnsi="Times New Roman" w:cs="Times New Roman"/>
                <w:color w:val="000000"/>
                <w:sz w:val="21"/>
                <w:szCs w:val="21"/>
              </w:rPr>
              <w:t xml:space="preserve">  comorbid psychopathology at follow-up.</w:t>
            </w:r>
          </w:p>
        </w:tc>
        <w:tc>
          <w:tcPr>
            <w:tcW w:w="709" w:type="dxa"/>
            <w:tcBorders>
              <w:top w:val="single" w:sz="4" w:space="0" w:color="auto"/>
              <w:left w:val="nil"/>
              <w:bottom w:val="single" w:sz="4" w:space="0" w:color="auto"/>
              <w:right w:val="single" w:sz="4" w:space="0" w:color="auto"/>
            </w:tcBorders>
          </w:tcPr>
          <w:p w14:paraId="7EF20E98" w14:textId="4BE54A1E" w:rsidR="00553D21" w:rsidRPr="005016A5" w:rsidRDefault="000E143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67</w:t>
            </w:r>
          </w:p>
        </w:tc>
      </w:tr>
      <w:tr w:rsidR="00553D21" w:rsidRPr="005016A5" w14:paraId="268C8598" w14:textId="16E81887" w:rsidTr="0002675A">
        <w:trPr>
          <w:trHeight w:val="601"/>
        </w:trPr>
        <w:tc>
          <w:tcPr>
            <w:tcW w:w="1268" w:type="dxa"/>
            <w:noWrap/>
          </w:tcPr>
          <w:p w14:paraId="2C18DAC8" w14:textId="06F7D80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Hilbert et al., 2020</w:t>
            </w:r>
          </w:p>
        </w:tc>
        <w:tc>
          <w:tcPr>
            <w:tcW w:w="1279" w:type="dxa"/>
          </w:tcPr>
          <w:p w14:paraId="508DF117" w14:textId="6D27362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7066CF4D" w14:textId="14550CB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32FB062E" w14:textId="2400D8F3" w:rsidR="00553D21" w:rsidRPr="005016A5" w:rsidRDefault="00FD63F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114</w:t>
            </w:r>
          </w:p>
        </w:tc>
        <w:tc>
          <w:tcPr>
            <w:tcW w:w="850" w:type="dxa"/>
          </w:tcPr>
          <w:p w14:paraId="1C36DDFF" w14:textId="05319220" w:rsidR="00553D21" w:rsidRPr="005016A5" w:rsidRDefault="00FD63F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8862</w:t>
            </w:r>
          </w:p>
        </w:tc>
        <w:tc>
          <w:tcPr>
            <w:tcW w:w="4820" w:type="dxa"/>
            <w:tcBorders>
              <w:top w:val="single" w:sz="4" w:space="0" w:color="auto"/>
              <w:left w:val="nil"/>
              <w:bottom w:val="single" w:sz="4" w:space="0" w:color="auto"/>
              <w:right w:val="nil"/>
            </w:tcBorders>
          </w:tcPr>
          <w:p w14:paraId="332BB5E8" w14:textId="15C0B04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provide a comprehensive evaluation of the long-term effectiveness in diverse treatments for BED regarding a range of clinically relevant outcomes.</w:t>
            </w:r>
          </w:p>
        </w:tc>
        <w:tc>
          <w:tcPr>
            <w:tcW w:w="1559" w:type="dxa"/>
          </w:tcPr>
          <w:p w14:paraId="2EEE65B7" w14:textId="31634680"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Meta-Analysis</w:t>
            </w:r>
          </w:p>
        </w:tc>
        <w:tc>
          <w:tcPr>
            <w:tcW w:w="2268" w:type="dxa"/>
            <w:tcBorders>
              <w:top w:val="single" w:sz="4" w:space="0" w:color="auto"/>
              <w:left w:val="nil"/>
              <w:bottom w:val="single" w:sz="4" w:space="0" w:color="auto"/>
              <w:right w:val="single" w:sz="4" w:space="0" w:color="auto"/>
            </w:tcBorders>
          </w:tcPr>
          <w:p w14:paraId="0AC0EE8E" w14:textId="48946F7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Binge-eating episodes and abstinence, eating disorder and general psychopathology up to 12 months following treatment.</w:t>
            </w:r>
          </w:p>
        </w:tc>
        <w:tc>
          <w:tcPr>
            <w:tcW w:w="709" w:type="dxa"/>
            <w:tcBorders>
              <w:top w:val="single" w:sz="4" w:space="0" w:color="auto"/>
              <w:left w:val="nil"/>
              <w:bottom w:val="single" w:sz="4" w:space="0" w:color="auto"/>
              <w:right w:val="single" w:sz="4" w:space="0" w:color="auto"/>
            </w:tcBorders>
          </w:tcPr>
          <w:p w14:paraId="224D844A" w14:textId="6268C37B" w:rsidR="00553D21" w:rsidRPr="005016A5" w:rsidRDefault="00E37ED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77</w:t>
            </w:r>
          </w:p>
        </w:tc>
      </w:tr>
      <w:tr w:rsidR="00553D21" w:rsidRPr="005016A5" w14:paraId="21401E62" w14:textId="50B420F9" w:rsidTr="0002675A">
        <w:trPr>
          <w:trHeight w:val="601"/>
        </w:trPr>
        <w:tc>
          <w:tcPr>
            <w:tcW w:w="1268" w:type="dxa"/>
            <w:noWrap/>
          </w:tcPr>
          <w:p w14:paraId="530DA038" w14:textId="0184452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Hilbert et al., 2012</w:t>
            </w:r>
          </w:p>
        </w:tc>
        <w:tc>
          <w:tcPr>
            <w:tcW w:w="1279" w:type="dxa"/>
          </w:tcPr>
          <w:p w14:paraId="4CC86E5E" w14:textId="29BCCAB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403EE6D0" w14:textId="5FF9E51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339AC178" w14:textId="77777777" w:rsidR="00553D21" w:rsidRPr="005016A5" w:rsidRDefault="00553D21" w:rsidP="002775D4">
            <w:pPr>
              <w:rPr>
                <w:rFonts w:ascii="Times New Roman" w:hAnsi="Times New Roman" w:cs="Times New Roman"/>
                <w:color w:val="000000"/>
                <w:sz w:val="21"/>
                <w:szCs w:val="21"/>
              </w:rPr>
            </w:pPr>
          </w:p>
        </w:tc>
        <w:tc>
          <w:tcPr>
            <w:tcW w:w="850" w:type="dxa"/>
          </w:tcPr>
          <w:p w14:paraId="09843F98" w14:textId="610E24ED" w:rsidR="00553D21" w:rsidRPr="005016A5" w:rsidRDefault="000B020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90</w:t>
            </w:r>
          </w:p>
        </w:tc>
        <w:tc>
          <w:tcPr>
            <w:tcW w:w="4820" w:type="dxa"/>
            <w:tcBorders>
              <w:top w:val="single" w:sz="4" w:space="0" w:color="auto"/>
              <w:left w:val="nil"/>
              <w:bottom w:val="single" w:sz="4" w:space="0" w:color="auto"/>
              <w:right w:val="nil"/>
            </w:tcBorders>
          </w:tcPr>
          <w:p w14:paraId="48298B29" w14:textId="72FA5B0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the long-term efficacy of out-patient group cognitive–behavioural therapy (CBT) and group interpersonal psychotherapy (IPT) for binge eating disorder and to analyse predictors of long-term non-response.</w:t>
            </w:r>
          </w:p>
        </w:tc>
        <w:tc>
          <w:tcPr>
            <w:tcW w:w="1559" w:type="dxa"/>
          </w:tcPr>
          <w:p w14:paraId="7CCC7650" w14:textId="18CF285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Longitudinal (&lt;5yr) post RCT</w:t>
            </w:r>
          </w:p>
        </w:tc>
        <w:tc>
          <w:tcPr>
            <w:tcW w:w="2268" w:type="dxa"/>
            <w:tcBorders>
              <w:top w:val="single" w:sz="4" w:space="0" w:color="auto"/>
              <w:left w:val="nil"/>
              <w:bottom w:val="single" w:sz="4" w:space="0" w:color="auto"/>
              <w:right w:val="single" w:sz="4" w:space="0" w:color="auto"/>
            </w:tcBorders>
          </w:tcPr>
          <w:p w14:paraId="4AE3D3C6" w14:textId="5E4C81C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Remission assessed by ED psychopathology, general psychopathology, BMI, and healthcare utilisation.</w:t>
            </w:r>
          </w:p>
        </w:tc>
        <w:tc>
          <w:tcPr>
            <w:tcW w:w="709" w:type="dxa"/>
            <w:tcBorders>
              <w:top w:val="single" w:sz="4" w:space="0" w:color="auto"/>
              <w:left w:val="nil"/>
              <w:bottom w:val="single" w:sz="4" w:space="0" w:color="auto"/>
              <w:right w:val="single" w:sz="4" w:space="0" w:color="auto"/>
            </w:tcBorders>
          </w:tcPr>
          <w:p w14:paraId="69097576" w14:textId="7571045B" w:rsidR="00553D21" w:rsidRPr="005016A5" w:rsidRDefault="0012522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80</w:t>
            </w:r>
          </w:p>
        </w:tc>
      </w:tr>
      <w:tr w:rsidR="00553D21" w:rsidRPr="005016A5" w14:paraId="05C2F369" w14:textId="59D16F78" w:rsidTr="0002675A">
        <w:trPr>
          <w:trHeight w:val="601"/>
        </w:trPr>
        <w:tc>
          <w:tcPr>
            <w:tcW w:w="1268" w:type="dxa"/>
            <w:noWrap/>
          </w:tcPr>
          <w:p w14:paraId="33DA6C12" w14:textId="14D0EA5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Johnston et al., 2018</w:t>
            </w:r>
          </w:p>
        </w:tc>
        <w:tc>
          <w:tcPr>
            <w:tcW w:w="1279" w:type="dxa"/>
          </w:tcPr>
          <w:p w14:paraId="5D70B98A" w14:textId="2DBAD7C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Australia</w:t>
            </w:r>
          </w:p>
        </w:tc>
        <w:tc>
          <w:tcPr>
            <w:tcW w:w="1700" w:type="dxa"/>
          </w:tcPr>
          <w:p w14:paraId="488ADC84" w14:textId="73F5EF9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and Outpatient (Children and Adolescents, Females)</w:t>
            </w:r>
          </w:p>
        </w:tc>
        <w:tc>
          <w:tcPr>
            <w:tcW w:w="710" w:type="dxa"/>
          </w:tcPr>
          <w:p w14:paraId="2532F095" w14:textId="77777777" w:rsidR="00553D21" w:rsidRPr="005016A5" w:rsidRDefault="00553D21" w:rsidP="002775D4">
            <w:pPr>
              <w:rPr>
                <w:rFonts w:ascii="Times New Roman" w:hAnsi="Times New Roman" w:cs="Times New Roman"/>
                <w:color w:val="000000"/>
                <w:sz w:val="21"/>
                <w:szCs w:val="21"/>
              </w:rPr>
            </w:pPr>
          </w:p>
        </w:tc>
        <w:tc>
          <w:tcPr>
            <w:tcW w:w="850" w:type="dxa"/>
          </w:tcPr>
          <w:p w14:paraId="43AD3D46" w14:textId="74E84F21" w:rsidR="00553D21" w:rsidRPr="005016A5" w:rsidRDefault="008423A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175</w:t>
            </w:r>
          </w:p>
        </w:tc>
        <w:tc>
          <w:tcPr>
            <w:tcW w:w="4820" w:type="dxa"/>
            <w:tcBorders>
              <w:top w:val="single" w:sz="4" w:space="0" w:color="auto"/>
              <w:left w:val="nil"/>
              <w:bottom w:val="single" w:sz="4" w:space="0" w:color="auto"/>
              <w:right w:val="nil"/>
            </w:tcBorders>
          </w:tcPr>
          <w:p w14:paraId="123A97B0" w14:textId="2A1D2D9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examine the relationship between perfectionism at intake assessment and eating disorder symptoms in female youths with eating disorders across time from intake to </w:t>
            </w:r>
            <w:proofErr w:type="gramStart"/>
            <w:r w:rsidRPr="005016A5">
              <w:rPr>
                <w:rFonts w:ascii="Times New Roman" w:hAnsi="Times New Roman" w:cs="Times New Roman"/>
                <w:color w:val="000000"/>
                <w:sz w:val="21"/>
                <w:szCs w:val="21"/>
              </w:rPr>
              <w:t xml:space="preserve">6 and </w:t>
            </w:r>
            <w:r w:rsidR="00A86BA6">
              <w:rPr>
                <w:rFonts w:ascii="Times New Roman" w:hAnsi="Times New Roman" w:cs="Times New Roman"/>
                <w:color w:val="000000"/>
                <w:sz w:val="21"/>
                <w:szCs w:val="21"/>
              </w:rPr>
              <w:t>1</w:t>
            </w:r>
            <w:r w:rsidRPr="005016A5">
              <w:rPr>
                <w:rFonts w:ascii="Times New Roman" w:hAnsi="Times New Roman" w:cs="Times New Roman"/>
                <w:color w:val="000000"/>
                <w:sz w:val="21"/>
                <w:szCs w:val="21"/>
              </w:rPr>
              <w:t>2 month</w:t>
            </w:r>
            <w:proofErr w:type="gramEnd"/>
            <w:r w:rsidRPr="005016A5">
              <w:rPr>
                <w:rFonts w:ascii="Times New Roman" w:hAnsi="Times New Roman" w:cs="Times New Roman"/>
                <w:color w:val="000000"/>
                <w:sz w:val="21"/>
                <w:szCs w:val="21"/>
              </w:rPr>
              <w:t xml:space="preserve"> review.</w:t>
            </w:r>
          </w:p>
        </w:tc>
        <w:tc>
          <w:tcPr>
            <w:tcW w:w="1559" w:type="dxa"/>
          </w:tcPr>
          <w:p w14:paraId="6CD9E558" w14:textId="5AC9C1F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Cross-sectional (Correlational) and longitudinal follow-up</w:t>
            </w:r>
          </w:p>
        </w:tc>
        <w:tc>
          <w:tcPr>
            <w:tcW w:w="2268" w:type="dxa"/>
            <w:tcBorders>
              <w:top w:val="single" w:sz="4" w:space="0" w:color="auto"/>
              <w:left w:val="nil"/>
              <w:bottom w:val="single" w:sz="4" w:space="0" w:color="auto"/>
              <w:right w:val="single" w:sz="4" w:space="0" w:color="auto"/>
            </w:tcBorders>
          </w:tcPr>
          <w:p w14:paraId="7E4059D3" w14:textId="0924417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Scores on EDI-3 perfectionism subscale and remission status at follow-up</w:t>
            </w:r>
          </w:p>
        </w:tc>
        <w:tc>
          <w:tcPr>
            <w:tcW w:w="709" w:type="dxa"/>
            <w:tcBorders>
              <w:top w:val="single" w:sz="4" w:space="0" w:color="auto"/>
              <w:left w:val="nil"/>
              <w:bottom w:val="single" w:sz="4" w:space="0" w:color="auto"/>
              <w:right w:val="single" w:sz="4" w:space="0" w:color="auto"/>
            </w:tcBorders>
          </w:tcPr>
          <w:p w14:paraId="74BFAA08" w14:textId="25D09797" w:rsidR="00553D21" w:rsidRPr="005016A5" w:rsidRDefault="0031330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26</w:t>
            </w:r>
          </w:p>
        </w:tc>
      </w:tr>
      <w:tr w:rsidR="00553D21" w:rsidRPr="005016A5" w14:paraId="38B1C631" w14:textId="2AAC3691" w:rsidTr="0002675A">
        <w:trPr>
          <w:trHeight w:val="601"/>
        </w:trPr>
        <w:tc>
          <w:tcPr>
            <w:tcW w:w="1268" w:type="dxa"/>
            <w:noWrap/>
          </w:tcPr>
          <w:p w14:paraId="2300AB15" w14:textId="4EF0F076"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Kästner</w:t>
            </w:r>
            <w:proofErr w:type="spellEnd"/>
            <w:r w:rsidRPr="005016A5">
              <w:rPr>
                <w:rFonts w:ascii="Times New Roman" w:hAnsi="Times New Roman" w:cs="Times New Roman"/>
                <w:color w:val="000000"/>
                <w:sz w:val="21"/>
                <w:szCs w:val="21"/>
              </w:rPr>
              <w:t xml:space="preserve"> et al., 2019</w:t>
            </w:r>
          </w:p>
        </w:tc>
        <w:tc>
          <w:tcPr>
            <w:tcW w:w="1279" w:type="dxa"/>
          </w:tcPr>
          <w:p w14:paraId="6BB01759" w14:textId="0C45C47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5D7C9F8D" w14:textId="6B8F151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20B001A4" w14:textId="2A95FAB3" w:rsidR="00553D21" w:rsidRPr="005016A5" w:rsidRDefault="0070662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68</w:t>
            </w:r>
          </w:p>
        </w:tc>
        <w:tc>
          <w:tcPr>
            <w:tcW w:w="850" w:type="dxa"/>
          </w:tcPr>
          <w:p w14:paraId="12DB1003"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1101C58F" w14:textId="0F6AE4E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differences in self-esteem between individuals with AN and healthy controls, or individuals with other eating disorders, and to examine self-esteem as an outcome, predictor, moderator, and mediator in AN treatment.</w:t>
            </w:r>
          </w:p>
        </w:tc>
        <w:tc>
          <w:tcPr>
            <w:tcW w:w="1559" w:type="dxa"/>
          </w:tcPr>
          <w:p w14:paraId="0C04B08E" w14:textId="4AD36F1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Systematic Review/ Meta-Analysis (combined)</w:t>
            </w:r>
          </w:p>
        </w:tc>
        <w:tc>
          <w:tcPr>
            <w:tcW w:w="2268" w:type="dxa"/>
            <w:tcBorders>
              <w:top w:val="single" w:sz="4" w:space="0" w:color="auto"/>
              <w:left w:val="nil"/>
              <w:bottom w:val="single" w:sz="4" w:space="0" w:color="auto"/>
              <w:right w:val="single" w:sz="4" w:space="0" w:color="auto"/>
            </w:tcBorders>
          </w:tcPr>
          <w:p w14:paraId="2AF5F481" w14:textId="2C5AC23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Treatment outcome: remission; self-esteem </w:t>
            </w:r>
          </w:p>
        </w:tc>
        <w:tc>
          <w:tcPr>
            <w:tcW w:w="709" w:type="dxa"/>
            <w:tcBorders>
              <w:top w:val="single" w:sz="4" w:space="0" w:color="auto"/>
              <w:left w:val="nil"/>
              <w:bottom w:val="single" w:sz="4" w:space="0" w:color="auto"/>
              <w:right w:val="single" w:sz="4" w:space="0" w:color="auto"/>
            </w:tcBorders>
          </w:tcPr>
          <w:p w14:paraId="3F8F1FF1" w14:textId="745A78A0" w:rsidR="00553D21" w:rsidRPr="005016A5" w:rsidRDefault="00E42C3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118</w:t>
            </w:r>
          </w:p>
        </w:tc>
      </w:tr>
      <w:tr w:rsidR="00553D21" w:rsidRPr="005016A5" w14:paraId="17523404" w14:textId="16B36D28" w:rsidTr="0002675A">
        <w:trPr>
          <w:trHeight w:val="601"/>
        </w:trPr>
        <w:tc>
          <w:tcPr>
            <w:tcW w:w="1268" w:type="dxa"/>
            <w:noWrap/>
          </w:tcPr>
          <w:p w14:paraId="170D0AAA" w14:textId="4E67625A"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Keshishian</w:t>
            </w:r>
            <w:proofErr w:type="spellEnd"/>
            <w:r w:rsidRPr="005016A5">
              <w:rPr>
                <w:rFonts w:ascii="Times New Roman" w:hAnsi="Times New Roman" w:cs="Times New Roman"/>
                <w:color w:val="000000"/>
                <w:sz w:val="21"/>
                <w:szCs w:val="21"/>
              </w:rPr>
              <w:t xml:space="preserve"> et al., 2019</w:t>
            </w:r>
          </w:p>
        </w:tc>
        <w:tc>
          <w:tcPr>
            <w:tcW w:w="1279" w:type="dxa"/>
          </w:tcPr>
          <w:p w14:paraId="6A5ECC75" w14:textId="69CE486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51D6A741" w14:textId="50F4F9D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4D67DF15" w14:textId="77777777" w:rsidR="00553D21" w:rsidRPr="005016A5" w:rsidRDefault="00553D21" w:rsidP="002775D4">
            <w:pPr>
              <w:rPr>
                <w:rFonts w:ascii="Times New Roman" w:hAnsi="Times New Roman" w:cs="Times New Roman"/>
                <w:color w:val="000000"/>
                <w:sz w:val="21"/>
                <w:szCs w:val="21"/>
              </w:rPr>
            </w:pPr>
          </w:p>
        </w:tc>
        <w:tc>
          <w:tcPr>
            <w:tcW w:w="850" w:type="dxa"/>
          </w:tcPr>
          <w:p w14:paraId="1652E902" w14:textId="35B98E26" w:rsidR="00553D21" w:rsidRPr="005016A5" w:rsidRDefault="00E67F67"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176</w:t>
            </w:r>
          </w:p>
        </w:tc>
        <w:tc>
          <w:tcPr>
            <w:tcW w:w="4820" w:type="dxa"/>
            <w:tcBorders>
              <w:top w:val="single" w:sz="4" w:space="0" w:color="auto"/>
              <w:left w:val="nil"/>
              <w:bottom w:val="single" w:sz="4" w:space="0" w:color="auto"/>
              <w:right w:val="nil"/>
            </w:tcBorders>
          </w:tcPr>
          <w:p w14:paraId="32DB4108" w14:textId="0E60100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examine the co-occurrence of depression and SUD in adult women who were recovered, relative to those who were not, at 22 years. </w:t>
            </w:r>
          </w:p>
        </w:tc>
        <w:tc>
          <w:tcPr>
            <w:tcW w:w="1559" w:type="dxa"/>
          </w:tcPr>
          <w:p w14:paraId="205A9046" w14:textId="0338A5CD"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4D5D8207" w14:textId="2F3D53C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Presence of comorbidities (major depressive disorder and substance use disorder)</w:t>
            </w:r>
          </w:p>
        </w:tc>
        <w:tc>
          <w:tcPr>
            <w:tcW w:w="709" w:type="dxa"/>
            <w:tcBorders>
              <w:top w:val="single" w:sz="4" w:space="0" w:color="auto"/>
              <w:left w:val="nil"/>
              <w:bottom w:val="single" w:sz="4" w:space="0" w:color="auto"/>
              <w:right w:val="single" w:sz="4" w:space="0" w:color="auto"/>
            </w:tcBorders>
          </w:tcPr>
          <w:p w14:paraId="42E1825B" w14:textId="2C6C0389" w:rsidR="00553D21" w:rsidRPr="005016A5" w:rsidRDefault="0082184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98</w:t>
            </w:r>
          </w:p>
        </w:tc>
      </w:tr>
      <w:tr w:rsidR="00553D21" w:rsidRPr="005016A5" w14:paraId="6D27AE42" w14:textId="12D120B0" w:rsidTr="0002675A">
        <w:trPr>
          <w:trHeight w:val="601"/>
        </w:trPr>
        <w:tc>
          <w:tcPr>
            <w:tcW w:w="1268" w:type="dxa"/>
            <w:noWrap/>
          </w:tcPr>
          <w:p w14:paraId="50B60D4C" w14:textId="5EC4F7B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La Mela et al., 2013</w:t>
            </w:r>
          </w:p>
        </w:tc>
        <w:tc>
          <w:tcPr>
            <w:tcW w:w="1279" w:type="dxa"/>
          </w:tcPr>
          <w:p w14:paraId="73290116" w14:textId="45608F0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Italy</w:t>
            </w:r>
          </w:p>
        </w:tc>
        <w:tc>
          <w:tcPr>
            <w:tcW w:w="1700" w:type="dxa"/>
          </w:tcPr>
          <w:p w14:paraId="071B9917" w14:textId="1F437DD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Females)</w:t>
            </w:r>
          </w:p>
        </w:tc>
        <w:tc>
          <w:tcPr>
            <w:tcW w:w="710" w:type="dxa"/>
          </w:tcPr>
          <w:p w14:paraId="400C9DCA" w14:textId="77777777" w:rsidR="00553D21" w:rsidRPr="005016A5" w:rsidRDefault="00553D21" w:rsidP="002775D4">
            <w:pPr>
              <w:rPr>
                <w:rFonts w:ascii="Times New Roman" w:hAnsi="Times New Roman" w:cs="Times New Roman"/>
                <w:color w:val="000000"/>
                <w:sz w:val="21"/>
                <w:szCs w:val="21"/>
              </w:rPr>
            </w:pPr>
          </w:p>
        </w:tc>
        <w:tc>
          <w:tcPr>
            <w:tcW w:w="850" w:type="dxa"/>
          </w:tcPr>
          <w:p w14:paraId="3E2BAC5D" w14:textId="6C8F1852" w:rsidR="00553D21" w:rsidRPr="005016A5" w:rsidRDefault="00A15B9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57</w:t>
            </w:r>
          </w:p>
        </w:tc>
        <w:tc>
          <w:tcPr>
            <w:tcW w:w="4820" w:type="dxa"/>
            <w:tcBorders>
              <w:top w:val="single" w:sz="4" w:space="0" w:color="auto"/>
              <w:left w:val="nil"/>
              <w:bottom w:val="single" w:sz="4" w:space="0" w:color="auto"/>
              <w:right w:val="nil"/>
            </w:tcBorders>
          </w:tcPr>
          <w:p w14:paraId="48CCB0A4" w14:textId="46FB9FB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assess the roles of self-esteem, personality disorders (PDs), and dissociative experiences as treatment outcome predictors for CBT in ED patients.</w:t>
            </w:r>
          </w:p>
        </w:tc>
        <w:tc>
          <w:tcPr>
            <w:tcW w:w="1559" w:type="dxa"/>
          </w:tcPr>
          <w:p w14:paraId="6FA160A3" w14:textId="7D5FC1A1"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1D053DFC" w14:textId="5D943F6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recovery</w:t>
            </w:r>
          </w:p>
        </w:tc>
        <w:tc>
          <w:tcPr>
            <w:tcW w:w="709" w:type="dxa"/>
            <w:tcBorders>
              <w:top w:val="single" w:sz="4" w:space="0" w:color="auto"/>
              <w:left w:val="nil"/>
              <w:bottom w:val="single" w:sz="4" w:space="0" w:color="auto"/>
              <w:right w:val="single" w:sz="4" w:space="0" w:color="auto"/>
            </w:tcBorders>
          </w:tcPr>
          <w:p w14:paraId="7D2FBFBB" w14:textId="44BDFEAF" w:rsidR="00553D21" w:rsidRPr="005016A5" w:rsidRDefault="00DE7E77"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103</w:t>
            </w:r>
          </w:p>
        </w:tc>
      </w:tr>
      <w:tr w:rsidR="00553D21" w:rsidRPr="005016A5" w14:paraId="37347F4A" w14:textId="72F3A509" w:rsidTr="0002675A">
        <w:trPr>
          <w:trHeight w:val="601"/>
        </w:trPr>
        <w:tc>
          <w:tcPr>
            <w:tcW w:w="1268" w:type="dxa"/>
            <w:noWrap/>
          </w:tcPr>
          <w:p w14:paraId="2654FF48" w14:textId="1B519E2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Lange et al., 2019</w:t>
            </w:r>
          </w:p>
        </w:tc>
        <w:tc>
          <w:tcPr>
            <w:tcW w:w="1279" w:type="dxa"/>
          </w:tcPr>
          <w:p w14:paraId="25D236D0" w14:textId="252CED1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Sweden</w:t>
            </w:r>
          </w:p>
        </w:tc>
        <w:tc>
          <w:tcPr>
            <w:tcW w:w="1700" w:type="dxa"/>
          </w:tcPr>
          <w:p w14:paraId="0C8D923F" w14:textId="2C2A081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7CAB462A" w14:textId="77777777" w:rsidR="00553D21" w:rsidRPr="005016A5" w:rsidRDefault="00553D21" w:rsidP="002775D4">
            <w:pPr>
              <w:rPr>
                <w:rFonts w:ascii="Times New Roman" w:hAnsi="Times New Roman" w:cs="Times New Roman"/>
                <w:color w:val="000000"/>
                <w:sz w:val="21"/>
                <w:szCs w:val="21"/>
              </w:rPr>
            </w:pPr>
          </w:p>
        </w:tc>
        <w:tc>
          <w:tcPr>
            <w:tcW w:w="850" w:type="dxa"/>
          </w:tcPr>
          <w:p w14:paraId="0C9D8B95" w14:textId="57F87BC2" w:rsidR="00553D21" w:rsidRPr="005016A5" w:rsidRDefault="00275AD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56</w:t>
            </w:r>
          </w:p>
        </w:tc>
        <w:tc>
          <w:tcPr>
            <w:tcW w:w="4820" w:type="dxa"/>
            <w:tcBorders>
              <w:top w:val="single" w:sz="4" w:space="0" w:color="auto"/>
              <w:left w:val="nil"/>
              <w:bottom w:val="single" w:sz="4" w:space="0" w:color="auto"/>
              <w:right w:val="nil"/>
            </w:tcBorders>
          </w:tcPr>
          <w:p w14:paraId="2E3035B5" w14:textId="3B8C336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compare long term outcome between childhood-onset Anorexia Nervosa (AN) and low-weight Avoidant/Restrictive Food Intake Disorder (ARFID) </w:t>
            </w:r>
            <w:proofErr w:type="gramStart"/>
            <w:r w:rsidRPr="005016A5">
              <w:rPr>
                <w:rFonts w:ascii="Times New Roman" w:hAnsi="Times New Roman" w:cs="Times New Roman"/>
                <w:color w:val="000000"/>
                <w:sz w:val="21"/>
                <w:szCs w:val="21"/>
              </w:rPr>
              <w:t>in regard to</w:t>
            </w:r>
            <w:proofErr w:type="gramEnd"/>
            <w:r w:rsidRPr="005016A5">
              <w:rPr>
                <w:rFonts w:ascii="Times New Roman" w:hAnsi="Times New Roman" w:cs="Times New Roman"/>
                <w:color w:val="000000"/>
                <w:sz w:val="21"/>
                <w:szCs w:val="21"/>
              </w:rPr>
              <w:t xml:space="preserve"> psychiatric diagnoses, social and occupational functioning.</w:t>
            </w:r>
          </w:p>
        </w:tc>
        <w:tc>
          <w:tcPr>
            <w:tcW w:w="1559" w:type="dxa"/>
          </w:tcPr>
          <w:p w14:paraId="0A892AC9" w14:textId="4AA6BF74"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4B3B262E" w14:textId="7A0BA7F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and general psychopathology, psychiatric comorbidity, mortality, social and occupational functioning at follow-up.</w:t>
            </w:r>
          </w:p>
        </w:tc>
        <w:tc>
          <w:tcPr>
            <w:tcW w:w="709" w:type="dxa"/>
            <w:tcBorders>
              <w:top w:val="single" w:sz="4" w:space="0" w:color="auto"/>
              <w:left w:val="nil"/>
              <w:bottom w:val="single" w:sz="4" w:space="0" w:color="auto"/>
              <w:right w:val="single" w:sz="4" w:space="0" w:color="auto"/>
            </w:tcBorders>
          </w:tcPr>
          <w:p w14:paraId="0410A6AE" w14:textId="6BC4348E" w:rsidR="00553D21" w:rsidRPr="005016A5" w:rsidRDefault="00E4110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24</w:t>
            </w:r>
          </w:p>
        </w:tc>
      </w:tr>
      <w:tr w:rsidR="00553D21" w:rsidRPr="005016A5" w14:paraId="0E48A896" w14:textId="328C6E05" w:rsidTr="0002675A">
        <w:trPr>
          <w:trHeight w:val="601"/>
        </w:trPr>
        <w:tc>
          <w:tcPr>
            <w:tcW w:w="1268" w:type="dxa"/>
            <w:noWrap/>
          </w:tcPr>
          <w:p w14:paraId="740405C8" w14:textId="2C37C55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Le Grange et al., 2014</w:t>
            </w:r>
          </w:p>
        </w:tc>
        <w:tc>
          <w:tcPr>
            <w:tcW w:w="1279" w:type="dxa"/>
          </w:tcPr>
          <w:p w14:paraId="595EC9EF" w14:textId="329A702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2475AE77" w14:textId="631FEE8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(Young People, Both Sexes)</w:t>
            </w:r>
          </w:p>
        </w:tc>
        <w:tc>
          <w:tcPr>
            <w:tcW w:w="710" w:type="dxa"/>
          </w:tcPr>
          <w:p w14:paraId="1F17308D" w14:textId="77777777" w:rsidR="00553D21" w:rsidRPr="005016A5" w:rsidRDefault="00553D21" w:rsidP="002775D4">
            <w:pPr>
              <w:rPr>
                <w:rFonts w:ascii="Times New Roman" w:hAnsi="Times New Roman" w:cs="Times New Roman"/>
                <w:color w:val="000000"/>
                <w:sz w:val="21"/>
                <w:szCs w:val="21"/>
              </w:rPr>
            </w:pPr>
          </w:p>
        </w:tc>
        <w:tc>
          <w:tcPr>
            <w:tcW w:w="850" w:type="dxa"/>
          </w:tcPr>
          <w:p w14:paraId="181C1913" w14:textId="3EE22406" w:rsidR="00553D21" w:rsidRPr="005016A5" w:rsidRDefault="002A385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79</w:t>
            </w:r>
          </w:p>
        </w:tc>
        <w:tc>
          <w:tcPr>
            <w:tcW w:w="4820" w:type="dxa"/>
            <w:tcBorders>
              <w:top w:val="single" w:sz="4" w:space="0" w:color="auto"/>
              <w:left w:val="nil"/>
              <w:bottom w:val="single" w:sz="4" w:space="0" w:color="auto"/>
              <w:right w:val="nil"/>
            </w:tcBorders>
          </w:tcPr>
          <w:p w14:paraId="51B2E080" w14:textId="0B9617C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report on relapse from full remission of AN and attainment of remission during a 4-year open follow-up period</w:t>
            </w:r>
          </w:p>
        </w:tc>
        <w:tc>
          <w:tcPr>
            <w:tcW w:w="1559" w:type="dxa"/>
          </w:tcPr>
          <w:p w14:paraId="565B5D19" w14:textId="2306344C"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0A0F76AE" w14:textId="401113D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Incidence of relapse from full remission and new remission</w:t>
            </w:r>
          </w:p>
        </w:tc>
        <w:tc>
          <w:tcPr>
            <w:tcW w:w="709" w:type="dxa"/>
            <w:tcBorders>
              <w:top w:val="single" w:sz="4" w:space="0" w:color="auto"/>
              <w:left w:val="nil"/>
              <w:bottom w:val="single" w:sz="4" w:space="0" w:color="auto"/>
              <w:right w:val="single" w:sz="4" w:space="0" w:color="auto"/>
            </w:tcBorders>
          </w:tcPr>
          <w:p w14:paraId="08F0C447" w14:textId="54B39A7A" w:rsidR="00553D21" w:rsidRPr="005016A5" w:rsidRDefault="00AA46D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110</w:t>
            </w:r>
          </w:p>
        </w:tc>
      </w:tr>
      <w:tr w:rsidR="00553D21" w:rsidRPr="005016A5" w14:paraId="37E71FD8" w14:textId="6B6DE7DF" w:rsidTr="0002675A">
        <w:trPr>
          <w:trHeight w:val="601"/>
        </w:trPr>
        <w:tc>
          <w:tcPr>
            <w:tcW w:w="1268" w:type="dxa"/>
            <w:noWrap/>
          </w:tcPr>
          <w:p w14:paraId="14783EE3" w14:textId="6A31E1F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Le Grange et al., 2014</w:t>
            </w:r>
          </w:p>
        </w:tc>
        <w:tc>
          <w:tcPr>
            <w:tcW w:w="1279" w:type="dxa"/>
          </w:tcPr>
          <w:p w14:paraId="64114D60" w14:textId="16B76F1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UK and Australia</w:t>
            </w:r>
          </w:p>
        </w:tc>
        <w:tc>
          <w:tcPr>
            <w:tcW w:w="1700" w:type="dxa"/>
          </w:tcPr>
          <w:p w14:paraId="06D23D96" w14:textId="2E76358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55F91C8D" w14:textId="77777777" w:rsidR="00553D21" w:rsidRPr="005016A5" w:rsidRDefault="00553D21" w:rsidP="002775D4">
            <w:pPr>
              <w:rPr>
                <w:rFonts w:ascii="Times New Roman" w:hAnsi="Times New Roman" w:cs="Times New Roman"/>
                <w:color w:val="000000"/>
                <w:sz w:val="21"/>
                <w:szCs w:val="21"/>
              </w:rPr>
            </w:pPr>
          </w:p>
        </w:tc>
        <w:tc>
          <w:tcPr>
            <w:tcW w:w="850" w:type="dxa"/>
          </w:tcPr>
          <w:p w14:paraId="7C878C80" w14:textId="6D6C4E03" w:rsidR="00553D21" w:rsidRPr="005016A5" w:rsidRDefault="00B3304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63</w:t>
            </w:r>
          </w:p>
        </w:tc>
        <w:tc>
          <w:tcPr>
            <w:tcW w:w="4820" w:type="dxa"/>
            <w:tcBorders>
              <w:top w:val="single" w:sz="4" w:space="0" w:color="auto"/>
              <w:left w:val="nil"/>
              <w:bottom w:val="single" w:sz="4" w:space="0" w:color="auto"/>
              <w:right w:val="nil"/>
            </w:tcBorders>
          </w:tcPr>
          <w:p w14:paraId="4A915193" w14:textId="7F26549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identify predictors and moderators of outcome at end of treatment (EOT) and 6- and 12-month follow-up for adults with AN treated with CBT-AN and SSCM.</w:t>
            </w:r>
          </w:p>
        </w:tc>
        <w:tc>
          <w:tcPr>
            <w:tcW w:w="1559" w:type="dxa"/>
          </w:tcPr>
          <w:p w14:paraId="43F34314" w14:textId="383ECF80"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66612576" w14:textId="5CAB205D"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EDQoL</w:t>
            </w:r>
            <w:proofErr w:type="spellEnd"/>
            <w:r w:rsidRPr="005016A5">
              <w:rPr>
                <w:rFonts w:ascii="Times New Roman" w:hAnsi="Times New Roman" w:cs="Times New Roman"/>
                <w:color w:val="000000"/>
                <w:sz w:val="21"/>
                <w:szCs w:val="21"/>
              </w:rPr>
              <w:t>, mental health and depressive symptoms at follow-up</w:t>
            </w:r>
          </w:p>
        </w:tc>
        <w:tc>
          <w:tcPr>
            <w:tcW w:w="709" w:type="dxa"/>
            <w:tcBorders>
              <w:top w:val="single" w:sz="4" w:space="0" w:color="auto"/>
              <w:left w:val="nil"/>
              <w:bottom w:val="single" w:sz="4" w:space="0" w:color="auto"/>
              <w:right w:val="single" w:sz="4" w:space="0" w:color="auto"/>
            </w:tcBorders>
          </w:tcPr>
          <w:p w14:paraId="5377EA82" w14:textId="6DADC7C7" w:rsidR="00553D21" w:rsidRPr="005016A5" w:rsidRDefault="007F7B5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30</w:t>
            </w:r>
          </w:p>
        </w:tc>
      </w:tr>
      <w:tr w:rsidR="00553D21" w:rsidRPr="005016A5" w14:paraId="79B05849" w14:textId="40D649C1" w:rsidTr="0002675A">
        <w:trPr>
          <w:trHeight w:val="601"/>
        </w:trPr>
        <w:tc>
          <w:tcPr>
            <w:tcW w:w="1268" w:type="dxa"/>
            <w:noWrap/>
          </w:tcPr>
          <w:p w14:paraId="60B68765" w14:textId="2C0578D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Li et al., 2021</w:t>
            </w:r>
          </w:p>
        </w:tc>
        <w:tc>
          <w:tcPr>
            <w:tcW w:w="1279" w:type="dxa"/>
          </w:tcPr>
          <w:p w14:paraId="557523DA" w14:textId="68F9768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Australia</w:t>
            </w:r>
          </w:p>
        </w:tc>
        <w:tc>
          <w:tcPr>
            <w:tcW w:w="1700" w:type="dxa"/>
          </w:tcPr>
          <w:p w14:paraId="09ED4D32" w14:textId="239632A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(Young People, Both Sexes)</w:t>
            </w:r>
          </w:p>
        </w:tc>
        <w:tc>
          <w:tcPr>
            <w:tcW w:w="710" w:type="dxa"/>
          </w:tcPr>
          <w:p w14:paraId="38098167" w14:textId="77777777" w:rsidR="00553D21" w:rsidRPr="005016A5" w:rsidRDefault="00553D21" w:rsidP="002775D4">
            <w:pPr>
              <w:rPr>
                <w:rFonts w:ascii="Times New Roman" w:hAnsi="Times New Roman" w:cs="Times New Roman"/>
                <w:color w:val="000000"/>
                <w:sz w:val="21"/>
                <w:szCs w:val="21"/>
              </w:rPr>
            </w:pPr>
          </w:p>
        </w:tc>
        <w:tc>
          <w:tcPr>
            <w:tcW w:w="850" w:type="dxa"/>
          </w:tcPr>
          <w:p w14:paraId="5E2857A2" w14:textId="19BCFF77" w:rsidR="00553D21" w:rsidRPr="005016A5" w:rsidRDefault="00700030"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289</w:t>
            </w:r>
          </w:p>
        </w:tc>
        <w:tc>
          <w:tcPr>
            <w:tcW w:w="4820" w:type="dxa"/>
            <w:tcBorders>
              <w:top w:val="single" w:sz="4" w:space="0" w:color="auto"/>
              <w:left w:val="nil"/>
              <w:bottom w:val="single" w:sz="4" w:space="0" w:color="auto"/>
              <w:right w:val="nil"/>
            </w:tcBorders>
          </w:tcPr>
          <w:p w14:paraId="6FB73953" w14:textId="148219E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factors related to hospital length of stay (LOS), report referral on discharge, and hospital readmission, for children and adolescents (C&amp;A) admitted to public hospitals for anorexia nervosa (AN)</w:t>
            </w:r>
          </w:p>
        </w:tc>
        <w:tc>
          <w:tcPr>
            <w:tcW w:w="1559" w:type="dxa"/>
          </w:tcPr>
          <w:p w14:paraId="631F0DE6" w14:textId="03C9B23C"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Retrospective cohort study</w:t>
            </w:r>
          </w:p>
        </w:tc>
        <w:tc>
          <w:tcPr>
            <w:tcW w:w="2268" w:type="dxa"/>
            <w:tcBorders>
              <w:top w:val="single" w:sz="4" w:space="0" w:color="auto"/>
              <w:left w:val="nil"/>
              <w:bottom w:val="single" w:sz="4" w:space="0" w:color="auto"/>
              <w:right w:val="single" w:sz="4" w:space="0" w:color="auto"/>
            </w:tcBorders>
          </w:tcPr>
          <w:p w14:paraId="39652E5C" w14:textId="6BC74C2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Length of stay</w:t>
            </w:r>
          </w:p>
        </w:tc>
        <w:tc>
          <w:tcPr>
            <w:tcW w:w="709" w:type="dxa"/>
            <w:tcBorders>
              <w:top w:val="single" w:sz="4" w:space="0" w:color="auto"/>
              <w:left w:val="nil"/>
              <w:bottom w:val="single" w:sz="4" w:space="0" w:color="auto"/>
              <w:right w:val="single" w:sz="4" w:space="0" w:color="auto"/>
            </w:tcBorders>
          </w:tcPr>
          <w:p w14:paraId="27CFCDC1" w14:textId="43EB5BDD" w:rsidR="00553D21" w:rsidRPr="005016A5" w:rsidRDefault="004E150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95</w:t>
            </w:r>
          </w:p>
        </w:tc>
      </w:tr>
      <w:tr w:rsidR="00553D21" w:rsidRPr="005016A5" w14:paraId="018A8959" w14:textId="71C5FC6D" w:rsidTr="0002675A">
        <w:trPr>
          <w:trHeight w:val="601"/>
        </w:trPr>
        <w:tc>
          <w:tcPr>
            <w:tcW w:w="1268" w:type="dxa"/>
            <w:noWrap/>
          </w:tcPr>
          <w:p w14:paraId="28CC4D0D" w14:textId="3B2FBBB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Li et al., 2022</w:t>
            </w:r>
          </w:p>
        </w:tc>
        <w:tc>
          <w:tcPr>
            <w:tcW w:w="1279" w:type="dxa"/>
          </w:tcPr>
          <w:p w14:paraId="40B4C0B1" w14:textId="69546AE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71511F63" w14:textId="775BD37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2B09D3C7" w14:textId="6C3071E6" w:rsidR="00553D21" w:rsidRPr="005016A5" w:rsidRDefault="00112558"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 9</w:t>
            </w:r>
          </w:p>
        </w:tc>
        <w:tc>
          <w:tcPr>
            <w:tcW w:w="850" w:type="dxa"/>
          </w:tcPr>
          <w:p w14:paraId="1DDCCE77"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502E180B" w14:textId="547B6BA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identify existing interventions for people with ED and comorbid autism spectrum condition (ASC), critically review evidence of their clinical effectiveness and cost-effectiveness, and review the impact of ASC comorbidity on ED clinical outcomes.</w:t>
            </w:r>
          </w:p>
        </w:tc>
        <w:tc>
          <w:tcPr>
            <w:tcW w:w="1559" w:type="dxa"/>
          </w:tcPr>
          <w:p w14:paraId="135D3A3C" w14:textId="20A0D9B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Review (systematic)</w:t>
            </w:r>
          </w:p>
        </w:tc>
        <w:tc>
          <w:tcPr>
            <w:tcW w:w="2268" w:type="dxa"/>
            <w:tcBorders>
              <w:top w:val="single" w:sz="4" w:space="0" w:color="auto"/>
              <w:left w:val="nil"/>
              <w:bottom w:val="single" w:sz="4" w:space="0" w:color="auto"/>
              <w:right w:val="single" w:sz="4" w:space="0" w:color="auto"/>
            </w:tcBorders>
          </w:tcPr>
          <w:p w14:paraId="7A8FDA46" w14:textId="588014B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clinical outcomes (physical, psychopathological, BMI)</w:t>
            </w:r>
          </w:p>
        </w:tc>
        <w:tc>
          <w:tcPr>
            <w:tcW w:w="709" w:type="dxa"/>
            <w:tcBorders>
              <w:top w:val="single" w:sz="4" w:space="0" w:color="auto"/>
              <w:left w:val="nil"/>
              <w:bottom w:val="single" w:sz="4" w:space="0" w:color="auto"/>
              <w:right w:val="single" w:sz="4" w:space="0" w:color="auto"/>
            </w:tcBorders>
          </w:tcPr>
          <w:p w14:paraId="7BB59E65" w14:textId="31407A8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1</w:t>
            </w:r>
            <w:r w:rsidR="004E1509" w:rsidRPr="005016A5">
              <w:rPr>
                <w:rFonts w:ascii="Times New Roman" w:hAnsi="Times New Roman" w:cs="Times New Roman"/>
                <w:color w:val="000000" w:themeColor="text1"/>
                <w:sz w:val="21"/>
                <w:szCs w:val="21"/>
              </w:rPr>
              <w:t>04</w:t>
            </w:r>
          </w:p>
        </w:tc>
      </w:tr>
      <w:tr w:rsidR="00553D21" w:rsidRPr="005016A5" w14:paraId="20456ACF" w14:textId="6BCC5BC4" w:rsidTr="0002675A">
        <w:trPr>
          <w:trHeight w:val="601"/>
        </w:trPr>
        <w:tc>
          <w:tcPr>
            <w:tcW w:w="1268" w:type="dxa"/>
            <w:noWrap/>
          </w:tcPr>
          <w:p w14:paraId="380989BC" w14:textId="57C0B839"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Linardon</w:t>
            </w:r>
            <w:proofErr w:type="spellEnd"/>
            <w:r w:rsidRPr="005016A5">
              <w:rPr>
                <w:rFonts w:ascii="Times New Roman" w:hAnsi="Times New Roman" w:cs="Times New Roman"/>
                <w:color w:val="000000"/>
                <w:sz w:val="21"/>
                <w:szCs w:val="21"/>
              </w:rPr>
              <w:t>, 2018</w:t>
            </w:r>
          </w:p>
        </w:tc>
        <w:tc>
          <w:tcPr>
            <w:tcW w:w="1279" w:type="dxa"/>
          </w:tcPr>
          <w:p w14:paraId="60F5B063" w14:textId="176856E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4C7C9D8E" w14:textId="18DB6B0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2FB4AD96" w14:textId="7B084998" w:rsidR="00553D21" w:rsidRPr="005016A5" w:rsidRDefault="009E14F7"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39</w:t>
            </w:r>
          </w:p>
        </w:tc>
        <w:tc>
          <w:tcPr>
            <w:tcW w:w="850" w:type="dxa"/>
          </w:tcPr>
          <w:p w14:paraId="50788BC5"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63B53763" w14:textId="4B7D7A4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estimate the prevalence of patients with BED who achieved binge eating abstinence following psychological or </w:t>
            </w:r>
            <w:r w:rsidR="00A86BA6" w:rsidRPr="005016A5">
              <w:rPr>
                <w:rFonts w:ascii="Times New Roman" w:hAnsi="Times New Roman" w:cs="Times New Roman"/>
                <w:color w:val="000000"/>
                <w:sz w:val="21"/>
                <w:szCs w:val="21"/>
              </w:rPr>
              <w:t>behavioural</w:t>
            </w:r>
            <w:r w:rsidRPr="005016A5">
              <w:rPr>
                <w:rFonts w:ascii="Times New Roman" w:hAnsi="Times New Roman" w:cs="Times New Roman"/>
                <w:color w:val="000000"/>
                <w:sz w:val="21"/>
                <w:szCs w:val="21"/>
              </w:rPr>
              <w:t xml:space="preserve"> treatments.</w:t>
            </w:r>
          </w:p>
        </w:tc>
        <w:tc>
          <w:tcPr>
            <w:tcW w:w="1559" w:type="dxa"/>
          </w:tcPr>
          <w:p w14:paraId="3A1AB2E6" w14:textId="3AD611B5"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Meta-Analysis</w:t>
            </w:r>
          </w:p>
        </w:tc>
        <w:tc>
          <w:tcPr>
            <w:tcW w:w="2268" w:type="dxa"/>
            <w:tcBorders>
              <w:top w:val="single" w:sz="4" w:space="0" w:color="auto"/>
              <w:left w:val="nil"/>
              <w:bottom w:val="single" w:sz="4" w:space="0" w:color="auto"/>
              <w:right w:val="single" w:sz="4" w:space="0" w:color="auto"/>
            </w:tcBorders>
          </w:tcPr>
          <w:p w14:paraId="2D4DE48B" w14:textId="417232E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Abstinence from binge eating following treatment.</w:t>
            </w:r>
          </w:p>
        </w:tc>
        <w:tc>
          <w:tcPr>
            <w:tcW w:w="709" w:type="dxa"/>
            <w:tcBorders>
              <w:top w:val="single" w:sz="4" w:space="0" w:color="auto"/>
              <w:left w:val="nil"/>
              <w:bottom w:val="single" w:sz="4" w:space="0" w:color="auto"/>
              <w:right w:val="single" w:sz="4" w:space="0" w:color="auto"/>
            </w:tcBorders>
          </w:tcPr>
          <w:p w14:paraId="065AC969" w14:textId="3653600A" w:rsidR="00553D21" w:rsidRPr="005016A5" w:rsidRDefault="005C32EB"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72</w:t>
            </w:r>
          </w:p>
        </w:tc>
      </w:tr>
      <w:tr w:rsidR="00553D21" w:rsidRPr="005016A5" w14:paraId="52A24E9B" w14:textId="09AF1A2A" w:rsidTr="0002675A">
        <w:trPr>
          <w:trHeight w:val="601"/>
        </w:trPr>
        <w:tc>
          <w:tcPr>
            <w:tcW w:w="1268" w:type="dxa"/>
            <w:noWrap/>
          </w:tcPr>
          <w:p w14:paraId="221F5786" w14:textId="5516D1AE"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Linardon</w:t>
            </w:r>
            <w:proofErr w:type="spellEnd"/>
            <w:r w:rsidRPr="005016A5">
              <w:rPr>
                <w:rFonts w:ascii="Times New Roman" w:hAnsi="Times New Roman" w:cs="Times New Roman"/>
                <w:color w:val="000000"/>
                <w:sz w:val="21"/>
                <w:szCs w:val="21"/>
              </w:rPr>
              <w:t xml:space="preserve"> et al., 2018</w:t>
            </w:r>
          </w:p>
        </w:tc>
        <w:tc>
          <w:tcPr>
            <w:tcW w:w="1279" w:type="dxa"/>
          </w:tcPr>
          <w:p w14:paraId="276D7EBB" w14:textId="6776E84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2EA3979D" w14:textId="57BA1DD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027A6ABA" w14:textId="15E16449" w:rsidR="00553D21" w:rsidRPr="005016A5" w:rsidRDefault="00151BBF"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45</w:t>
            </w:r>
          </w:p>
        </w:tc>
        <w:tc>
          <w:tcPr>
            <w:tcW w:w="850" w:type="dxa"/>
          </w:tcPr>
          <w:p w14:paraId="7AE42990"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54FC270B" w14:textId="0E3DFB7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(a) estimate the prevalence of patients who abstain from binge eating and/or purging following all psychological treatments for BN, and (b) test whether these abstinence estimates are moderated by the type of treatment modality delivered, the definition of abstinence applied, and trial quality.</w:t>
            </w:r>
          </w:p>
        </w:tc>
        <w:tc>
          <w:tcPr>
            <w:tcW w:w="1559" w:type="dxa"/>
          </w:tcPr>
          <w:p w14:paraId="6872B5FF" w14:textId="7D342C60"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Meta-Analysis</w:t>
            </w:r>
          </w:p>
        </w:tc>
        <w:tc>
          <w:tcPr>
            <w:tcW w:w="2268" w:type="dxa"/>
            <w:tcBorders>
              <w:top w:val="single" w:sz="4" w:space="0" w:color="auto"/>
              <w:left w:val="nil"/>
              <w:bottom w:val="single" w:sz="4" w:space="0" w:color="auto"/>
              <w:right w:val="single" w:sz="4" w:space="0" w:color="auto"/>
            </w:tcBorders>
          </w:tcPr>
          <w:p w14:paraId="13BCF226" w14:textId="5597666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Abstinence from purging post BN treatment</w:t>
            </w:r>
          </w:p>
        </w:tc>
        <w:tc>
          <w:tcPr>
            <w:tcW w:w="709" w:type="dxa"/>
            <w:tcBorders>
              <w:top w:val="single" w:sz="4" w:space="0" w:color="auto"/>
              <w:left w:val="nil"/>
              <w:bottom w:val="single" w:sz="4" w:space="0" w:color="auto"/>
              <w:right w:val="single" w:sz="4" w:space="0" w:color="auto"/>
            </w:tcBorders>
          </w:tcPr>
          <w:p w14:paraId="40ADE084" w14:textId="184B8BA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1304E6" w:rsidRPr="005016A5">
              <w:rPr>
                <w:rFonts w:ascii="Times New Roman" w:hAnsi="Times New Roman" w:cs="Times New Roman"/>
                <w:color w:val="000000"/>
                <w:sz w:val="21"/>
                <w:szCs w:val="21"/>
              </w:rPr>
              <w:t>6</w:t>
            </w:r>
            <w:r w:rsidR="009508EE" w:rsidRPr="005016A5">
              <w:rPr>
                <w:rFonts w:ascii="Times New Roman" w:hAnsi="Times New Roman" w:cs="Times New Roman"/>
                <w:color w:val="000000"/>
                <w:sz w:val="21"/>
                <w:szCs w:val="21"/>
              </w:rPr>
              <w:t>1</w:t>
            </w:r>
          </w:p>
        </w:tc>
      </w:tr>
      <w:tr w:rsidR="00553D21" w:rsidRPr="005016A5" w14:paraId="402DB1E0" w14:textId="1EFD788C" w:rsidTr="0002675A">
        <w:trPr>
          <w:trHeight w:val="601"/>
        </w:trPr>
        <w:tc>
          <w:tcPr>
            <w:tcW w:w="1268" w:type="dxa"/>
            <w:noWrap/>
          </w:tcPr>
          <w:p w14:paraId="37AE6FFE" w14:textId="64BCD6BA"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lastRenderedPageBreak/>
              <w:t>Linardon</w:t>
            </w:r>
            <w:proofErr w:type="spellEnd"/>
            <w:r w:rsidRPr="005016A5">
              <w:rPr>
                <w:rFonts w:ascii="Times New Roman" w:hAnsi="Times New Roman" w:cs="Times New Roman"/>
                <w:color w:val="000000"/>
                <w:sz w:val="21"/>
                <w:szCs w:val="21"/>
              </w:rPr>
              <w:t xml:space="preserve"> et al., 2017</w:t>
            </w:r>
          </w:p>
        </w:tc>
        <w:tc>
          <w:tcPr>
            <w:tcW w:w="1279" w:type="dxa"/>
          </w:tcPr>
          <w:p w14:paraId="3A0B3B64" w14:textId="3B8690F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Australia</w:t>
            </w:r>
          </w:p>
        </w:tc>
        <w:tc>
          <w:tcPr>
            <w:tcW w:w="1700" w:type="dxa"/>
          </w:tcPr>
          <w:p w14:paraId="5BF2362E" w14:textId="3473FCB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57591563" w14:textId="6D1409C5" w:rsidR="00553D21" w:rsidRPr="005016A5" w:rsidRDefault="00A4485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65</w:t>
            </w:r>
          </w:p>
        </w:tc>
        <w:tc>
          <w:tcPr>
            <w:tcW w:w="850" w:type="dxa"/>
          </w:tcPr>
          <w:p w14:paraId="14829B60"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76156E28" w14:textId="61DDC95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synthesise the literature on predictors, moderators, and mediators of outcome following Fairburn's Cognitive </w:t>
            </w:r>
            <w:proofErr w:type="spellStart"/>
            <w:r w:rsidRPr="005016A5">
              <w:rPr>
                <w:rFonts w:ascii="Times New Roman" w:hAnsi="Times New Roman" w:cs="Times New Roman"/>
                <w:color w:val="000000"/>
                <w:sz w:val="21"/>
                <w:szCs w:val="21"/>
              </w:rPr>
              <w:t>Behavoural</w:t>
            </w:r>
            <w:proofErr w:type="spellEnd"/>
            <w:r w:rsidRPr="005016A5">
              <w:rPr>
                <w:rFonts w:ascii="Times New Roman" w:hAnsi="Times New Roman" w:cs="Times New Roman"/>
                <w:color w:val="000000"/>
                <w:sz w:val="21"/>
                <w:szCs w:val="21"/>
              </w:rPr>
              <w:t xml:space="preserve"> Therapy for eating disorders.</w:t>
            </w:r>
          </w:p>
        </w:tc>
        <w:tc>
          <w:tcPr>
            <w:tcW w:w="1559" w:type="dxa"/>
          </w:tcPr>
          <w:p w14:paraId="2F2FE081" w14:textId="49496DCB"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Review (Systematic)</w:t>
            </w:r>
          </w:p>
        </w:tc>
        <w:tc>
          <w:tcPr>
            <w:tcW w:w="2268" w:type="dxa"/>
            <w:tcBorders>
              <w:top w:val="single" w:sz="4" w:space="0" w:color="auto"/>
              <w:left w:val="nil"/>
              <w:bottom w:val="single" w:sz="4" w:space="0" w:color="auto"/>
              <w:right w:val="single" w:sz="4" w:space="0" w:color="auto"/>
            </w:tcBorders>
          </w:tcPr>
          <w:p w14:paraId="5AC484F6" w14:textId="2105EB4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Predictors, moderators, and mediators of treatment outcome</w:t>
            </w:r>
          </w:p>
        </w:tc>
        <w:tc>
          <w:tcPr>
            <w:tcW w:w="709" w:type="dxa"/>
            <w:tcBorders>
              <w:top w:val="single" w:sz="4" w:space="0" w:color="auto"/>
              <w:left w:val="nil"/>
              <w:bottom w:val="single" w:sz="4" w:space="0" w:color="auto"/>
              <w:right w:val="single" w:sz="4" w:space="0" w:color="auto"/>
            </w:tcBorders>
          </w:tcPr>
          <w:p w14:paraId="5246CAAF" w14:textId="706CC102" w:rsidR="00553D21" w:rsidRPr="005016A5" w:rsidRDefault="007D27E8"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22</w:t>
            </w:r>
          </w:p>
        </w:tc>
      </w:tr>
      <w:tr w:rsidR="00553D21" w:rsidRPr="005016A5" w14:paraId="68EA2A34" w14:textId="4AC4BCCB" w:rsidTr="0002675A">
        <w:trPr>
          <w:trHeight w:val="601"/>
        </w:trPr>
        <w:tc>
          <w:tcPr>
            <w:tcW w:w="1268" w:type="dxa"/>
            <w:noWrap/>
          </w:tcPr>
          <w:p w14:paraId="340DB66B" w14:textId="7B1EBC4E"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Lydecker</w:t>
            </w:r>
            <w:proofErr w:type="spellEnd"/>
            <w:r w:rsidRPr="005016A5">
              <w:rPr>
                <w:rFonts w:ascii="Times New Roman" w:hAnsi="Times New Roman" w:cs="Times New Roman"/>
                <w:color w:val="000000"/>
                <w:sz w:val="21"/>
                <w:szCs w:val="21"/>
              </w:rPr>
              <w:t xml:space="preserve"> et al., 2021</w:t>
            </w:r>
          </w:p>
        </w:tc>
        <w:tc>
          <w:tcPr>
            <w:tcW w:w="1279" w:type="dxa"/>
          </w:tcPr>
          <w:p w14:paraId="0D1BEAC2" w14:textId="2B3886D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0309DDB0" w14:textId="15EB6D5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18B372BE" w14:textId="77777777" w:rsidR="00553D21" w:rsidRPr="005016A5" w:rsidRDefault="00553D21" w:rsidP="002775D4">
            <w:pPr>
              <w:rPr>
                <w:rFonts w:ascii="Times New Roman" w:hAnsi="Times New Roman" w:cs="Times New Roman"/>
                <w:color w:val="000000"/>
                <w:sz w:val="21"/>
                <w:szCs w:val="21"/>
              </w:rPr>
            </w:pPr>
          </w:p>
        </w:tc>
        <w:tc>
          <w:tcPr>
            <w:tcW w:w="850" w:type="dxa"/>
          </w:tcPr>
          <w:p w14:paraId="6E84CECC" w14:textId="4616ACDF" w:rsidR="00553D21" w:rsidRPr="005016A5" w:rsidRDefault="009F26B8"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636</w:t>
            </w:r>
          </w:p>
        </w:tc>
        <w:tc>
          <w:tcPr>
            <w:tcW w:w="4820" w:type="dxa"/>
            <w:tcBorders>
              <w:top w:val="single" w:sz="4" w:space="0" w:color="auto"/>
              <w:left w:val="nil"/>
              <w:bottom w:val="single" w:sz="4" w:space="0" w:color="auto"/>
              <w:right w:val="nil"/>
            </w:tcBorders>
          </w:tcPr>
          <w:p w14:paraId="2C8A47CF" w14:textId="6C21FA1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determine whether psychiatric comorbidity predicted or moderated BED treatment outcomes.</w:t>
            </w:r>
          </w:p>
        </w:tc>
        <w:tc>
          <w:tcPr>
            <w:tcW w:w="1559" w:type="dxa"/>
          </w:tcPr>
          <w:p w14:paraId="4FF1A3BF" w14:textId="47442CD7"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RCT and Repeated Measures (without follow-up)</w:t>
            </w:r>
          </w:p>
        </w:tc>
        <w:tc>
          <w:tcPr>
            <w:tcW w:w="2268" w:type="dxa"/>
            <w:tcBorders>
              <w:top w:val="single" w:sz="4" w:space="0" w:color="auto"/>
              <w:left w:val="nil"/>
              <w:bottom w:val="single" w:sz="4" w:space="0" w:color="auto"/>
              <w:right w:val="single" w:sz="4" w:space="0" w:color="auto"/>
            </w:tcBorders>
          </w:tcPr>
          <w:p w14:paraId="0423B52D" w14:textId="1D791F6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psychopathology, psychiatric comorbidity, percent weight loss.</w:t>
            </w:r>
          </w:p>
        </w:tc>
        <w:tc>
          <w:tcPr>
            <w:tcW w:w="709" w:type="dxa"/>
            <w:tcBorders>
              <w:top w:val="single" w:sz="4" w:space="0" w:color="auto"/>
              <w:left w:val="nil"/>
              <w:bottom w:val="single" w:sz="4" w:space="0" w:color="auto"/>
              <w:right w:val="single" w:sz="4" w:space="0" w:color="auto"/>
            </w:tcBorders>
          </w:tcPr>
          <w:p w14:paraId="2F54D871" w14:textId="1D17F75C" w:rsidR="00553D21" w:rsidRPr="005016A5" w:rsidRDefault="007826E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51</w:t>
            </w:r>
          </w:p>
        </w:tc>
      </w:tr>
      <w:tr w:rsidR="00553D21" w:rsidRPr="005016A5" w14:paraId="448C764C" w14:textId="3A104B16" w:rsidTr="0002675A">
        <w:trPr>
          <w:trHeight w:val="601"/>
        </w:trPr>
        <w:tc>
          <w:tcPr>
            <w:tcW w:w="1268" w:type="dxa"/>
            <w:noWrap/>
          </w:tcPr>
          <w:p w14:paraId="7A620932" w14:textId="4AB69BE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Mason et al., 2017</w:t>
            </w:r>
          </w:p>
        </w:tc>
        <w:tc>
          <w:tcPr>
            <w:tcW w:w="1279" w:type="dxa"/>
          </w:tcPr>
          <w:p w14:paraId="1E07AA1E" w14:textId="4556BA5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27160A8E" w14:textId="0FF39BA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79C5460D" w14:textId="77777777" w:rsidR="00553D21" w:rsidRPr="005016A5" w:rsidRDefault="00553D21" w:rsidP="002775D4">
            <w:pPr>
              <w:rPr>
                <w:rFonts w:ascii="Times New Roman" w:hAnsi="Times New Roman" w:cs="Times New Roman"/>
                <w:color w:val="000000"/>
                <w:sz w:val="21"/>
                <w:szCs w:val="21"/>
              </w:rPr>
            </w:pPr>
          </w:p>
        </w:tc>
        <w:tc>
          <w:tcPr>
            <w:tcW w:w="850" w:type="dxa"/>
          </w:tcPr>
          <w:p w14:paraId="2FF24AEF" w14:textId="0067F315" w:rsidR="00553D21" w:rsidRPr="005016A5" w:rsidRDefault="00EB766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171</w:t>
            </w:r>
          </w:p>
        </w:tc>
        <w:tc>
          <w:tcPr>
            <w:tcW w:w="4820" w:type="dxa"/>
            <w:tcBorders>
              <w:top w:val="single" w:sz="4" w:space="0" w:color="auto"/>
              <w:left w:val="nil"/>
              <w:bottom w:val="single" w:sz="4" w:space="0" w:color="auto"/>
              <w:right w:val="nil"/>
            </w:tcBorders>
          </w:tcPr>
          <w:p w14:paraId="139FB245" w14:textId="6BE0F3B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baseline and longitudinal associations between eating-related and psychosocial variables and dimensions of weight QOL.</w:t>
            </w:r>
          </w:p>
        </w:tc>
        <w:tc>
          <w:tcPr>
            <w:tcW w:w="1559" w:type="dxa"/>
          </w:tcPr>
          <w:p w14:paraId="7086BBE2" w14:textId="545B32B3"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Repeated Measure (without follow-up)</w:t>
            </w:r>
          </w:p>
        </w:tc>
        <w:tc>
          <w:tcPr>
            <w:tcW w:w="2268" w:type="dxa"/>
            <w:tcBorders>
              <w:top w:val="single" w:sz="4" w:space="0" w:color="auto"/>
              <w:left w:val="nil"/>
              <w:bottom w:val="single" w:sz="4" w:space="0" w:color="auto"/>
              <w:right w:val="single" w:sz="4" w:space="0" w:color="auto"/>
            </w:tcBorders>
          </w:tcPr>
          <w:p w14:paraId="7BE2BD7E" w14:textId="49B4E58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BMI, QoL, ED psychopathology, depressive symptomatology, self-esteem at baseline, midpoint and EOT.</w:t>
            </w:r>
          </w:p>
        </w:tc>
        <w:tc>
          <w:tcPr>
            <w:tcW w:w="709" w:type="dxa"/>
            <w:tcBorders>
              <w:top w:val="single" w:sz="4" w:space="0" w:color="auto"/>
              <w:left w:val="nil"/>
              <w:bottom w:val="single" w:sz="4" w:space="0" w:color="auto"/>
              <w:right w:val="single" w:sz="4" w:space="0" w:color="auto"/>
            </w:tcBorders>
          </w:tcPr>
          <w:p w14:paraId="3BF48A19" w14:textId="3CB06965" w:rsidR="00553D21" w:rsidRPr="005016A5" w:rsidRDefault="00E6461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89</w:t>
            </w:r>
          </w:p>
        </w:tc>
      </w:tr>
      <w:tr w:rsidR="00553D21" w:rsidRPr="005016A5" w14:paraId="6D890B70" w14:textId="6333F9C5" w:rsidTr="0002675A">
        <w:trPr>
          <w:trHeight w:val="601"/>
        </w:trPr>
        <w:tc>
          <w:tcPr>
            <w:tcW w:w="1268" w:type="dxa"/>
            <w:noWrap/>
          </w:tcPr>
          <w:p w14:paraId="5BA30E42" w14:textId="3BD73AF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McClelland et al., 2020</w:t>
            </w:r>
          </w:p>
        </w:tc>
        <w:tc>
          <w:tcPr>
            <w:tcW w:w="1279" w:type="dxa"/>
          </w:tcPr>
          <w:p w14:paraId="1966F337" w14:textId="4AFE39C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UK</w:t>
            </w:r>
          </w:p>
        </w:tc>
        <w:tc>
          <w:tcPr>
            <w:tcW w:w="1700" w:type="dxa"/>
          </w:tcPr>
          <w:p w14:paraId="1D8D346A" w14:textId="2C44282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and Outpatient (Young People, Both Sexes)</w:t>
            </w:r>
          </w:p>
        </w:tc>
        <w:tc>
          <w:tcPr>
            <w:tcW w:w="710" w:type="dxa"/>
          </w:tcPr>
          <w:p w14:paraId="1233E5F5" w14:textId="77777777" w:rsidR="00553D21" w:rsidRPr="005016A5" w:rsidRDefault="00553D21" w:rsidP="002775D4">
            <w:pPr>
              <w:rPr>
                <w:rFonts w:ascii="Times New Roman" w:hAnsi="Times New Roman" w:cs="Times New Roman"/>
                <w:color w:val="000000"/>
                <w:sz w:val="21"/>
                <w:szCs w:val="21"/>
              </w:rPr>
            </w:pPr>
          </w:p>
        </w:tc>
        <w:tc>
          <w:tcPr>
            <w:tcW w:w="850" w:type="dxa"/>
          </w:tcPr>
          <w:p w14:paraId="72189BFD" w14:textId="39EDB3E9" w:rsidR="00553D21" w:rsidRPr="005016A5" w:rsidRDefault="00940DC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322</w:t>
            </w:r>
          </w:p>
        </w:tc>
        <w:tc>
          <w:tcPr>
            <w:tcW w:w="4820" w:type="dxa"/>
            <w:tcBorders>
              <w:top w:val="single" w:sz="4" w:space="0" w:color="auto"/>
              <w:left w:val="nil"/>
              <w:bottom w:val="single" w:sz="4" w:space="0" w:color="auto"/>
              <w:right w:val="nil"/>
            </w:tcBorders>
          </w:tcPr>
          <w:p w14:paraId="4D207929" w14:textId="1B10E47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a) estimate the proportion of patients in a CAEDS who use mental health services as young adults, (b) to delineate service utilisation following treatment in CAEDSs and (c) to identify factors in CAEDSs that predict service utilisation in young adulthood.</w:t>
            </w:r>
          </w:p>
        </w:tc>
        <w:tc>
          <w:tcPr>
            <w:tcW w:w="1559" w:type="dxa"/>
          </w:tcPr>
          <w:p w14:paraId="71D4EBA3" w14:textId="3EC12231"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1060D2F0" w14:textId="1249823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Mental health service utilisation at follow-up</w:t>
            </w:r>
          </w:p>
        </w:tc>
        <w:tc>
          <w:tcPr>
            <w:tcW w:w="709" w:type="dxa"/>
            <w:tcBorders>
              <w:top w:val="single" w:sz="4" w:space="0" w:color="auto"/>
              <w:left w:val="nil"/>
              <w:bottom w:val="single" w:sz="4" w:space="0" w:color="auto"/>
              <w:right w:val="single" w:sz="4" w:space="0" w:color="auto"/>
            </w:tcBorders>
          </w:tcPr>
          <w:p w14:paraId="04DBD1A4" w14:textId="2B437384" w:rsidR="00553D21" w:rsidRPr="005016A5" w:rsidRDefault="007D0A2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114</w:t>
            </w:r>
          </w:p>
        </w:tc>
      </w:tr>
      <w:tr w:rsidR="00553D21" w:rsidRPr="005016A5" w14:paraId="5166F1FE" w14:textId="5107267F" w:rsidTr="0002675A">
        <w:trPr>
          <w:trHeight w:val="601"/>
        </w:trPr>
        <w:tc>
          <w:tcPr>
            <w:tcW w:w="1268" w:type="dxa"/>
            <w:noWrap/>
          </w:tcPr>
          <w:p w14:paraId="4B7E8449" w14:textId="2914B48C"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Micali</w:t>
            </w:r>
            <w:proofErr w:type="spellEnd"/>
            <w:r w:rsidRPr="005016A5">
              <w:rPr>
                <w:rFonts w:ascii="Times New Roman" w:hAnsi="Times New Roman" w:cs="Times New Roman"/>
                <w:color w:val="000000"/>
                <w:sz w:val="21"/>
                <w:szCs w:val="21"/>
              </w:rPr>
              <w:t xml:space="preserve"> et al., 2015</w:t>
            </w:r>
          </w:p>
        </w:tc>
        <w:tc>
          <w:tcPr>
            <w:tcW w:w="1279" w:type="dxa"/>
          </w:tcPr>
          <w:p w14:paraId="4FA5B418" w14:textId="1A5F266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UK</w:t>
            </w:r>
          </w:p>
        </w:tc>
        <w:tc>
          <w:tcPr>
            <w:tcW w:w="1700" w:type="dxa"/>
          </w:tcPr>
          <w:p w14:paraId="22FAD2D0" w14:textId="0C13E44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(Adolescents, Both Sexes)</w:t>
            </w:r>
          </w:p>
        </w:tc>
        <w:tc>
          <w:tcPr>
            <w:tcW w:w="710" w:type="dxa"/>
          </w:tcPr>
          <w:p w14:paraId="5C2D5C7C" w14:textId="77777777" w:rsidR="00553D21" w:rsidRPr="005016A5" w:rsidRDefault="00553D21" w:rsidP="002775D4">
            <w:pPr>
              <w:rPr>
                <w:rFonts w:ascii="Times New Roman" w:hAnsi="Times New Roman" w:cs="Times New Roman"/>
                <w:color w:val="000000"/>
                <w:sz w:val="21"/>
                <w:szCs w:val="21"/>
              </w:rPr>
            </w:pPr>
          </w:p>
        </w:tc>
        <w:tc>
          <w:tcPr>
            <w:tcW w:w="850" w:type="dxa"/>
          </w:tcPr>
          <w:p w14:paraId="290EDC58" w14:textId="467E1978" w:rsidR="00553D21" w:rsidRPr="005016A5" w:rsidRDefault="009B1DC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5069</w:t>
            </w:r>
          </w:p>
        </w:tc>
        <w:tc>
          <w:tcPr>
            <w:tcW w:w="4820" w:type="dxa"/>
            <w:tcBorders>
              <w:top w:val="single" w:sz="4" w:space="0" w:color="auto"/>
              <w:left w:val="nil"/>
              <w:bottom w:val="single" w:sz="4" w:space="0" w:color="auto"/>
              <w:right w:val="nil"/>
            </w:tcBorders>
          </w:tcPr>
          <w:p w14:paraId="0B764417" w14:textId="2398695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whether anorexia nervosa (AN), bulimia nervosa (BN), binge eating disorder (BED), and other specified feeding and eating disorders (OSFED), including purging disorder (PD), subthreshold BN, and BED at ages 14 and 16 years, are prospectively associated with later depression, anxiety disorders, alcohol and substance use, and self-harm.</w:t>
            </w:r>
          </w:p>
        </w:tc>
        <w:tc>
          <w:tcPr>
            <w:tcW w:w="1559" w:type="dxa"/>
          </w:tcPr>
          <w:p w14:paraId="531EE79E" w14:textId="3921BD9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(&lt;5yr)</w:t>
            </w:r>
          </w:p>
        </w:tc>
        <w:tc>
          <w:tcPr>
            <w:tcW w:w="2268" w:type="dxa"/>
            <w:tcBorders>
              <w:top w:val="single" w:sz="4" w:space="0" w:color="auto"/>
              <w:left w:val="nil"/>
              <w:bottom w:val="single" w:sz="4" w:space="0" w:color="auto"/>
              <w:right w:val="single" w:sz="4" w:space="0" w:color="auto"/>
            </w:tcBorders>
          </w:tcPr>
          <w:p w14:paraId="63A87A41" w14:textId="5E7457C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symptomatology/diagnosis, drug and alcohol use, anxiety and depressive symptoms, self-</w:t>
            </w:r>
            <w:proofErr w:type="gramStart"/>
            <w:r w:rsidRPr="005016A5">
              <w:rPr>
                <w:rFonts w:ascii="Times New Roman" w:hAnsi="Times New Roman" w:cs="Times New Roman"/>
                <w:color w:val="000000"/>
                <w:sz w:val="21"/>
                <w:szCs w:val="21"/>
              </w:rPr>
              <w:t>harm</w:t>
            </w:r>
            <w:proofErr w:type="gramEnd"/>
            <w:r w:rsidRPr="005016A5">
              <w:rPr>
                <w:rFonts w:ascii="Times New Roman" w:hAnsi="Times New Roman" w:cs="Times New Roman"/>
                <w:color w:val="000000"/>
                <w:sz w:val="21"/>
                <w:szCs w:val="21"/>
              </w:rPr>
              <w:t xml:space="preserve"> and BMI at follow-up.</w:t>
            </w:r>
          </w:p>
        </w:tc>
        <w:tc>
          <w:tcPr>
            <w:tcW w:w="709" w:type="dxa"/>
            <w:tcBorders>
              <w:top w:val="single" w:sz="4" w:space="0" w:color="auto"/>
              <w:left w:val="nil"/>
              <w:bottom w:val="single" w:sz="4" w:space="0" w:color="auto"/>
              <w:right w:val="single" w:sz="4" w:space="0" w:color="auto"/>
            </w:tcBorders>
          </w:tcPr>
          <w:p w14:paraId="69361780" w14:textId="72BB320B" w:rsidR="00553D21" w:rsidRPr="005016A5" w:rsidRDefault="0007667C"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101</w:t>
            </w:r>
          </w:p>
        </w:tc>
      </w:tr>
      <w:tr w:rsidR="00553D21" w:rsidRPr="005016A5" w14:paraId="0B07F887" w14:textId="5C1AE82A" w:rsidTr="0002675A">
        <w:trPr>
          <w:trHeight w:val="601"/>
        </w:trPr>
        <w:tc>
          <w:tcPr>
            <w:tcW w:w="1268" w:type="dxa"/>
            <w:noWrap/>
          </w:tcPr>
          <w:p w14:paraId="755E8A11" w14:textId="3059218D"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Munsch</w:t>
            </w:r>
            <w:proofErr w:type="spellEnd"/>
            <w:r w:rsidRPr="005016A5">
              <w:rPr>
                <w:rFonts w:ascii="Times New Roman" w:hAnsi="Times New Roman" w:cs="Times New Roman"/>
                <w:color w:val="000000"/>
                <w:sz w:val="21"/>
                <w:szCs w:val="21"/>
              </w:rPr>
              <w:t xml:space="preserve"> et al., 2012</w:t>
            </w:r>
          </w:p>
        </w:tc>
        <w:tc>
          <w:tcPr>
            <w:tcW w:w="1279" w:type="dxa"/>
          </w:tcPr>
          <w:p w14:paraId="46E3A47D" w14:textId="6668DC0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Switzerland</w:t>
            </w:r>
          </w:p>
        </w:tc>
        <w:tc>
          <w:tcPr>
            <w:tcW w:w="1700" w:type="dxa"/>
          </w:tcPr>
          <w:p w14:paraId="262A220F" w14:textId="0D25FA3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Both Sexes)</w:t>
            </w:r>
          </w:p>
        </w:tc>
        <w:tc>
          <w:tcPr>
            <w:tcW w:w="710" w:type="dxa"/>
          </w:tcPr>
          <w:p w14:paraId="7A52297A" w14:textId="77777777" w:rsidR="00553D21" w:rsidRPr="005016A5" w:rsidRDefault="00553D21" w:rsidP="002775D4">
            <w:pPr>
              <w:rPr>
                <w:rFonts w:ascii="Times New Roman" w:hAnsi="Times New Roman" w:cs="Times New Roman"/>
                <w:color w:val="000000"/>
                <w:sz w:val="21"/>
                <w:szCs w:val="21"/>
              </w:rPr>
            </w:pPr>
          </w:p>
        </w:tc>
        <w:tc>
          <w:tcPr>
            <w:tcW w:w="850" w:type="dxa"/>
          </w:tcPr>
          <w:p w14:paraId="7A3A3949" w14:textId="02651DA9" w:rsidR="00553D21" w:rsidRPr="005016A5" w:rsidRDefault="00D9309F"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80</w:t>
            </w:r>
          </w:p>
        </w:tc>
        <w:tc>
          <w:tcPr>
            <w:tcW w:w="4820" w:type="dxa"/>
            <w:tcBorders>
              <w:top w:val="single" w:sz="4" w:space="0" w:color="auto"/>
              <w:left w:val="nil"/>
              <w:bottom w:val="single" w:sz="4" w:space="0" w:color="auto"/>
              <w:right w:val="nil"/>
            </w:tcBorders>
          </w:tcPr>
          <w:p w14:paraId="39695A56" w14:textId="16940B8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assess the long-term efficacy of Cognitive-</w:t>
            </w:r>
            <w:r w:rsidR="00A86BA6" w:rsidRPr="005016A5">
              <w:rPr>
                <w:rFonts w:ascii="Times New Roman" w:hAnsi="Times New Roman" w:cs="Times New Roman"/>
                <w:color w:val="000000"/>
                <w:sz w:val="21"/>
                <w:szCs w:val="21"/>
              </w:rPr>
              <w:t>Behavioural</w:t>
            </w:r>
            <w:r w:rsidRPr="005016A5">
              <w:rPr>
                <w:rFonts w:ascii="Times New Roman" w:hAnsi="Times New Roman" w:cs="Times New Roman"/>
                <w:color w:val="000000"/>
                <w:sz w:val="21"/>
                <w:szCs w:val="21"/>
              </w:rPr>
              <w:t xml:space="preserve"> Treatment (CBT) and </w:t>
            </w:r>
            <w:r w:rsidR="00A86BA6" w:rsidRPr="005016A5">
              <w:rPr>
                <w:rFonts w:ascii="Times New Roman" w:hAnsi="Times New Roman" w:cs="Times New Roman"/>
                <w:color w:val="000000"/>
                <w:sz w:val="21"/>
                <w:szCs w:val="21"/>
              </w:rPr>
              <w:t>Behavioural</w:t>
            </w:r>
            <w:r w:rsidRPr="005016A5">
              <w:rPr>
                <w:rFonts w:ascii="Times New Roman" w:hAnsi="Times New Roman" w:cs="Times New Roman"/>
                <w:color w:val="000000"/>
                <w:sz w:val="21"/>
                <w:szCs w:val="21"/>
              </w:rPr>
              <w:t xml:space="preserve"> Weight-Loss-Treatment (BWLT) in patients with binge eating disorder (BED) and to identify potential predictors of long-term treatment success.</w:t>
            </w:r>
          </w:p>
        </w:tc>
        <w:tc>
          <w:tcPr>
            <w:tcW w:w="1559" w:type="dxa"/>
          </w:tcPr>
          <w:p w14:paraId="19BB7A9F" w14:textId="3BB96814"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Longitudinal (&gt;5yr) post RCT</w:t>
            </w:r>
          </w:p>
        </w:tc>
        <w:tc>
          <w:tcPr>
            <w:tcW w:w="2268" w:type="dxa"/>
            <w:tcBorders>
              <w:top w:val="single" w:sz="4" w:space="0" w:color="auto"/>
              <w:left w:val="nil"/>
              <w:bottom w:val="single" w:sz="4" w:space="0" w:color="auto"/>
              <w:right w:val="single" w:sz="4" w:space="0" w:color="auto"/>
            </w:tcBorders>
          </w:tcPr>
          <w:p w14:paraId="485BF662" w14:textId="52DA9FC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ED psychopathology, BMI, negative affect, therapeutic </w:t>
            </w:r>
            <w:proofErr w:type="gramStart"/>
            <w:r w:rsidRPr="005016A5">
              <w:rPr>
                <w:rFonts w:ascii="Times New Roman" w:hAnsi="Times New Roman" w:cs="Times New Roman"/>
                <w:color w:val="000000"/>
                <w:sz w:val="21"/>
                <w:szCs w:val="21"/>
              </w:rPr>
              <w:t>process</w:t>
            </w:r>
            <w:proofErr w:type="gramEnd"/>
            <w:r w:rsidRPr="005016A5">
              <w:rPr>
                <w:rFonts w:ascii="Times New Roman" w:hAnsi="Times New Roman" w:cs="Times New Roman"/>
                <w:color w:val="000000"/>
                <w:sz w:val="21"/>
                <w:szCs w:val="21"/>
              </w:rPr>
              <w:t xml:space="preserve"> and contentment with therapy at follow-up.</w:t>
            </w:r>
          </w:p>
        </w:tc>
        <w:tc>
          <w:tcPr>
            <w:tcW w:w="709" w:type="dxa"/>
            <w:tcBorders>
              <w:top w:val="single" w:sz="4" w:space="0" w:color="auto"/>
              <w:left w:val="nil"/>
              <w:bottom w:val="single" w:sz="4" w:space="0" w:color="auto"/>
              <w:right w:val="single" w:sz="4" w:space="0" w:color="auto"/>
            </w:tcBorders>
          </w:tcPr>
          <w:p w14:paraId="4F784CEC" w14:textId="20CE597C" w:rsidR="00553D21" w:rsidRPr="005016A5" w:rsidRDefault="00A5315B"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82</w:t>
            </w:r>
          </w:p>
          <w:p w14:paraId="125DD6AA" w14:textId="1585F798" w:rsidR="000E5406" w:rsidRPr="005016A5" w:rsidRDefault="000E5406" w:rsidP="002775D4">
            <w:pPr>
              <w:rPr>
                <w:rFonts w:ascii="Times New Roman" w:hAnsi="Times New Roman" w:cs="Times New Roman"/>
                <w:color w:val="000000"/>
                <w:sz w:val="21"/>
                <w:szCs w:val="21"/>
              </w:rPr>
            </w:pPr>
          </w:p>
        </w:tc>
      </w:tr>
      <w:tr w:rsidR="00553D21" w:rsidRPr="005016A5" w14:paraId="5D7DCAE2" w14:textId="2CF2355E" w:rsidTr="0002675A">
        <w:trPr>
          <w:trHeight w:val="601"/>
        </w:trPr>
        <w:tc>
          <w:tcPr>
            <w:tcW w:w="1268" w:type="dxa"/>
            <w:noWrap/>
          </w:tcPr>
          <w:p w14:paraId="4BD60E3C" w14:textId="11A93EE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Murray et al., 202</w:t>
            </w:r>
            <w:r w:rsidR="00155BED" w:rsidRPr="005016A5">
              <w:rPr>
                <w:rFonts w:ascii="Times New Roman" w:hAnsi="Times New Roman" w:cs="Times New Roman"/>
                <w:color w:val="000000" w:themeColor="text1"/>
                <w:sz w:val="21"/>
                <w:szCs w:val="21"/>
              </w:rPr>
              <w:t>2</w:t>
            </w:r>
          </w:p>
        </w:tc>
        <w:tc>
          <w:tcPr>
            <w:tcW w:w="1279" w:type="dxa"/>
          </w:tcPr>
          <w:p w14:paraId="6DED00AA" w14:textId="459F880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383F770A" w14:textId="1432D57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57FDA8EC" w14:textId="2AC6E6FB" w:rsidR="00553D21" w:rsidRPr="005016A5" w:rsidRDefault="00155BED"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20</w:t>
            </w:r>
          </w:p>
        </w:tc>
        <w:tc>
          <w:tcPr>
            <w:tcW w:w="850" w:type="dxa"/>
          </w:tcPr>
          <w:p w14:paraId="5367A44F"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75C68914" w14:textId="38E20F0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review of the efficacy of stereotactic ablative neurosurgery, DBS, TMS and </w:t>
            </w:r>
            <w:proofErr w:type="spellStart"/>
            <w:r w:rsidRPr="005016A5">
              <w:rPr>
                <w:rFonts w:ascii="Times New Roman" w:hAnsi="Times New Roman" w:cs="Times New Roman"/>
                <w:color w:val="000000"/>
                <w:sz w:val="21"/>
                <w:szCs w:val="21"/>
              </w:rPr>
              <w:t>tDCS</w:t>
            </w:r>
            <w:proofErr w:type="spellEnd"/>
            <w:r w:rsidRPr="005016A5">
              <w:rPr>
                <w:rFonts w:ascii="Times New Roman" w:hAnsi="Times New Roman" w:cs="Times New Roman"/>
                <w:color w:val="000000"/>
                <w:sz w:val="21"/>
                <w:szCs w:val="21"/>
              </w:rPr>
              <w:t>, exclusively in the context of AN</w:t>
            </w:r>
          </w:p>
        </w:tc>
        <w:tc>
          <w:tcPr>
            <w:tcW w:w="1559" w:type="dxa"/>
          </w:tcPr>
          <w:p w14:paraId="5C85CB49" w14:textId="643C3AA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Review (Systematic)</w:t>
            </w:r>
          </w:p>
        </w:tc>
        <w:tc>
          <w:tcPr>
            <w:tcW w:w="2268" w:type="dxa"/>
            <w:tcBorders>
              <w:top w:val="single" w:sz="4" w:space="0" w:color="auto"/>
              <w:left w:val="nil"/>
              <w:bottom w:val="single" w:sz="4" w:space="0" w:color="auto"/>
              <w:right w:val="single" w:sz="4" w:space="0" w:color="auto"/>
            </w:tcBorders>
          </w:tcPr>
          <w:p w14:paraId="13D495A6" w14:textId="75A4311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Weight normalisation and psychological symptom indices post-treatment.</w:t>
            </w:r>
          </w:p>
        </w:tc>
        <w:tc>
          <w:tcPr>
            <w:tcW w:w="709" w:type="dxa"/>
            <w:tcBorders>
              <w:top w:val="single" w:sz="4" w:space="0" w:color="auto"/>
              <w:left w:val="nil"/>
              <w:bottom w:val="single" w:sz="4" w:space="0" w:color="auto"/>
              <w:right w:val="single" w:sz="4" w:space="0" w:color="auto"/>
            </w:tcBorders>
          </w:tcPr>
          <w:p w14:paraId="1BE088FE" w14:textId="24DDC2D6" w:rsidR="00553D21" w:rsidRPr="005016A5" w:rsidRDefault="00151B64" w:rsidP="002775D4">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1</w:t>
            </w:r>
            <w:r w:rsidR="00624959" w:rsidRPr="005016A5">
              <w:rPr>
                <w:rFonts w:ascii="Times New Roman" w:hAnsi="Times New Roman" w:cs="Times New Roman"/>
                <w:color w:val="000000" w:themeColor="text1"/>
                <w:sz w:val="21"/>
                <w:szCs w:val="21"/>
              </w:rPr>
              <w:t>6</w:t>
            </w:r>
            <w:r w:rsidR="001C4C89" w:rsidRPr="005016A5">
              <w:rPr>
                <w:rFonts w:ascii="Times New Roman" w:hAnsi="Times New Roman" w:cs="Times New Roman"/>
                <w:color w:val="000000" w:themeColor="text1"/>
                <w:sz w:val="21"/>
                <w:szCs w:val="21"/>
              </w:rPr>
              <w:t>3</w:t>
            </w:r>
          </w:p>
        </w:tc>
      </w:tr>
      <w:tr w:rsidR="00553D21" w:rsidRPr="005016A5" w14:paraId="2B1F4B0A" w14:textId="46D64848" w:rsidTr="0002675A">
        <w:trPr>
          <w:trHeight w:val="601"/>
        </w:trPr>
        <w:tc>
          <w:tcPr>
            <w:tcW w:w="1268" w:type="dxa"/>
            <w:noWrap/>
          </w:tcPr>
          <w:p w14:paraId="3B19FE21" w14:textId="05B07BD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O'Brien et al., 2017</w:t>
            </w:r>
          </w:p>
        </w:tc>
        <w:tc>
          <w:tcPr>
            <w:tcW w:w="1279" w:type="dxa"/>
          </w:tcPr>
          <w:p w14:paraId="6F370490" w14:textId="41B12EA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USA</w:t>
            </w:r>
          </w:p>
        </w:tc>
        <w:tc>
          <w:tcPr>
            <w:tcW w:w="1700" w:type="dxa"/>
          </w:tcPr>
          <w:p w14:paraId="2CB6FA94" w14:textId="4188E986"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(Adult, Females)</w:t>
            </w:r>
          </w:p>
        </w:tc>
        <w:tc>
          <w:tcPr>
            <w:tcW w:w="710" w:type="dxa"/>
          </w:tcPr>
          <w:p w14:paraId="524E03C2" w14:textId="77777777" w:rsidR="00553D21" w:rsidRPr="005016A5" w:rsidRDefault="00553D21" w:rsidP="002775D4">
            <w:pPr>
              <w:rPr>
                <w:rFonts w:ascii="Times New Roman" w:hAnsi="Times New Roman" w:cs="Times New Roman"/>
                <w:color w:val="000000"/>
                <w:sz w:val="21"/>
                <w:szCs w:val="21"/>
              </w:rPr>
            </w:pPr>
          </w:p>
        </w:tc>
        <w:tc>
          <w:tcPr>
            <w:tcW w:w="850" w:type="dxa"/>
          </w:tcPr>
          <w:p w14:paraId="3E33FEB4" w14:textId="1E3A1EEA" w:rsidR="00553D21" w:rsidRPr="005016A5" w:rsidRDefault="004D6A5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47,</w:t>
            </w:r>
            <w:r w:rsidR="00D43622" w:rsidRPr="005016A5">
              <w:rPr>
                <w:rFonts w:ascii="Times New Roman" w:hAnsi="Times New Roman" w:cs="Times New Roman"/>
                <w:color w:val="000000"/>
                <w:sz w:val="21"/>
                <w:szCs w:val="21"/>
              </w:rPr>
              <w:t>759</w:t>
            </w:r>
          </w:p>
        </w:tc>
        <w:tc>
          <w:tcPr>
            <w:tcW w:w="4820" w:type="dxa"/>
            <w:tcBorders>
              <w:top w:val="single" w:sz="4" w:space="0" w:color="auto"/>
              <w:left w:val="nil"/>
              <w:bottom w:val="single" w:sz="4" w:space="0" w:color="auto"/>
              <w:right w:val="nil"/>
            </w:tcBorders>
          </w:tcPr>
          <w:p w14:paraId="02B7D9C2" w14:textId="5AE5D54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study predictors of self-reported eating disorders and associations with later health events</w:t>
            </w:r>
          </w:p>
        </w:tc>
        <w:tc>
          <w:tcPr>
            <w:tcW w:w="1559" w:type="dxa"/>
          </w:tcPr>
          <w:p w14:paraId="6229A0B8" w14:textId="40B1271C"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 xml:space="preserve">Retrospective cohort study </w:t>
            </w:r>
          </w:p>
        </w:tc>
        <w:tc>
          <w:tcPr>
            <w:tcW w:w="2268" w:type="dxa"/>
            <w:tcBorders>
              <w:top w:val="single" w:sz="4" w:space="0" w:color="auto"/>
              <w:left w:val="nil"/>
              <w:bottom w:val="single" w:sz="4" w:space="0" w:color="auto"/>
              <w:right w:val="single" w:sz="4" w:space="0" w:color="auto"/>
            </w:tcBorders>
          </w:tcPr>
          <w:p w14:paraId="7207AA5B" w14:textId="6736443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 symptomatology, BMI, cigarette smoking, depression, infertility.</w:t>
            </w:r>
          </w:p>
        </w:tc>
        <w:tc>
          <w:tcPr>
            <w:tcW w:w="709" w:type="dxa"/>
            <w:tcBorders>
              <w:top w:val="single" w:sz="4" w:space="0" w:color="auto"/>
              <w:left w:val="nil"/>
              <w:bottom w:val="single" w:sz="4" w:space="0" w:color="auto"/>
              <w:right w:val="single" w:sz="4" w:space="0" w:color="auto"/>
            </w:tcBorders>
          </w:tcPr>
          <w:p w14:paraId="17648F25" w14:textId="684DB0D1" w:rsidR="00553D21" w:rsidRPr="005016A5" w:rsidRDefault="0016700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99</w:t>
            </w:r>
          </w:p>
        </w:tc>
      </w:tr>
      <w:tr w:rsidR="00553D21" w:rsidRPr="005016A5" w14:paraId="4F3B8DEA" w14:textId="2C2D8177" w:rsidTr="0002675A">
        <w:trPr>
          <w:trHeight w:val="601"/>
        </w:trPr>
        <w:tc>
          <w:tcPr>
            <w:tcW w:w="1268" w:type="dxa"/>
            <w:noWrap/>
          </w:tcPr>
          <w:p w14:paraId="6A8E7A59" w14:textId="27E32901"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Opozda</w:t>
            </w:r>
            <w:proofErr w:type="spellEnd"/>
            <w:r w:rsidRPr="005016A5">
              <w:rPr>
                <w:rFonts w:ascii="Times New Roman" w:hAnsi="Times New Roman" w:cs="Times New Roman"/>
                <w:color w:val="000000"/>
                <w:sz w:val="21"/>
                <w:szCs w:val="21"/>
              </w:rPr>
              <w:t xml:space="preserve"> et al., 2016</w:t>
            </w:r>
          </w:p>
        </w:tc>
        <w:tc>
          <w:tcPr>
            <w:tcW w:w="1279" w:type="dxa"/>
          </w:tcPr>
          <w:p w14:paraId="76F89F9D" w14:textId="50A8C1F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3B1050D5" w14:textId="7526CA5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46014665" w14:textId="46332A74" w:rsidR="00553D21" w:rsidRPr="005016A5" w:rsidRDefault="00770FB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23</w:t>
            </w:r>
          </w:p>
        </w:tc>
        <w:tc>
          <w:tcPr>
            <w:tcW w:w="850" w:type="dxa"/>
          </w:tcPr>
          <w:p w14:paraId="316B30C2"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7BF9CC86" w14:textId="2E3B3BA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systematically review and compare the literature on </w:t>
            </w:r>
            <w:proofErr w:type="spellStart"/>
            <w:r w:rsidRPr="005016A5">
              <w:rPr>
                <w:rFonts w:ascii="Times New Roman" w:hAnsi="Times New Roman" w:cs="Times New Roman"/>
                <w:color w:val="000000"/>
                <w:sz w:val="21"/>
                <w:szCs w:val="21"/>
              </w:rPr>
              <w:t>presurgery</w:t>
            </w:r>
            <w:proofErr w:type="spellEnd"/>
            <w:r w:rsidRPr="005016A5">
              <w:rPr>
                <w:rFonts w:ascii="Times New Roman" w:hAnsi="Times New Roman" w:cs="Times New Roman"/>
                <w:color w:val="000000"/>
                <w:sz w:val="21"/>
                <w:szCs w:val="21"/>
              </w:rPr>
              <w:t xml:space="preserve"> to </w:t>
            </w:r>
            <w:proofErr w:type="spellStart"/>
            <w:r w:rsidRPr="005016A5">
              <w:rPr>
                <w:rFonts w:ascii="Times New Roman" w:hAnsi="Times New Roman" w:cs="Times New Roman"/>
                <w:color w:val="000000"/>
                <w:sz w:val="21"/>
                <w:szCs w:val="21"/>
              </w:rPr>
              <w:t>postsurgery</w:t>
            </w:r>
            <w:proofErr w:type="spellEnd"/>
            <w:r w:rsidRPr="005016A5">
              <w:rPr>
                <w:rFonts w:ascii="Times New Roman" w:hAnsi="Times New Roman" w:cs="Times New Roman"/>
                <w:color w:val="000000"/>
                <w:sz w:val="21"/>
                <w:szCs w:val="21"/>
              </w:rPr>
              <w:t xml:space="preserve"> changes in the following problematic and disordered eating behaviours after gastric bypass, banding and sleeve: binge eating disorder and associated behaviours (</w:t>
            </w:r>
            <w:proofErr w:type="gramStart"/>
            <w:r w:rsidRPr="005016A5">
              <w:rPr>
                <w:rFonts w:ascii="Times New Roman" w:hAnsi="Times New Roman" w:cs="Times New Roman"/>
                <w:color w:val="000000"/>
                <w:sz w:val="21"/>
                <w:szCs w:val="21"/>
              </w:rPr>
              <w:t>e.g.</w:t>
            </w:r>
            <w:proofErr w:type="gramEnd"/>
            <w:r w:rsidRPr="005016A5">
              <w:rPr>
                <w:rFonts w:ascii="Times New Roman" w:hAnsi="Times New Roman" w:cs="Times New Roman"/>
                <w:color w:val="000000"/>
                <w:sz w:val="21"/>
                <w:szCs w:val="21"/>
              </w:rPr>
              <w:t xml:space="preserve"> binge episodes and uncontrolled eating); bulimia nervosa and associated behaviours; emotional eating; night eating syndrome; and grazing.</w:t>
            </w:r>
          </w:p>
        </w:tc>
        <w:tc>
          <w:tcPr>
            <w:tcW w:w="1559" w:type="dxa"/>
          </w:tcPr>
          <w:p w14:paraId="39282605" w14:textId="284B1664"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Review (Systematic)</w:t>
            </w:r>
          </w:p>
        </w:tc>
        <w:tc>
          <w:tcPr>
            <w:tcW w:w="2268" w:type="dxa"/>
            <w:tcBorders>
              <w:top w:val="single" w:sz="4" w:space="0" w:color="auto"/>
              <w:left w:val="nil"/>
              <w:bottom w:val="single" w:sz="4" w:space="0" w:color="auto"/>
              <w:right w:val="single" w:sz="4" w:space="0" w:color="auto"/>
            </w:tcBorders>
          </w:tcPr>
          <w:p w14:paraId="544752AD" w14:textId="63A6D2A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Changes to problematic and disordered eating behaviours post weight-loss surgery</w:t>
            </w:r>
          </w:p>
        </w:tc>
        <w:tc>
          <w:tcPr>
            <w:tcW w:w="709" w:type="dxa"/>
            <w:tcBorders>
              <w:top w:val="single" w:sz="4" w:space="0" w:color="auto"/>
              <w:left w:val="nil"/>
              <w:bottom w:val="single" w:sz="4" w:space="0" w:color="auto"/>
              <w:right w:val="single" w:sz="4" w:space="0" w:color="auto"/>
            </w:tcBorders>
          </w:tcPr>
          <w:p w14:paraId="6573838C" w14:textId="19FA3F86" w:rsidR="00553D21" w:rsidRPr="005016A5" w:rsidRDefault="00E402A5"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84</w:t>
            </w:r>
          </w:p>
        </w:tc>
      </w:tr>
      <w:tr w:rsidR="00553D21" w:rsidRPr="005016A5" w14:paraId="5BC817C8" w14:textId="337804A2" w:rsidTr="0002675A">
        <w:trPr>
          <w:trHeight w:val="601"/>
        </w:trPr>
        <w:tc>
          <w:tcPr>
            <w:tcW w:w="1268" w:type="dxa"/>
            <w:noWrap/>
          </w:tcPr>
          <w:p w14:paraId="3AC02665" w14:textId="11ECC9E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Paul et al., 2015</w:t>
            </w:r>
          </w:p>
        </w:tc>
        <w:tc>
          <w:tcPr>
            <w:tcW w:w="1279" w:type="dxa"/>
          </w:tcPr>
          <w:p w14:paraId="788DC91B" w14:textId="44099BD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The Netherland</w:t>
            </w:r>
          </w:p>
        </w:tc>
        <w:tc>
          <w:tcPr>
            <w:tcW w:w="1700" w:type="dxa"/>
          </w:tcPr>
          <w:p w14:paraId="7268F788" w14:textId="03C821B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Community (Adult,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563B8347"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5890AC80" w14:textId="7491E8A1" w:rsidR="00553D21" w:rsidRPr="005016A5" w:rsidRDefault="005D14EF"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128</w:t>
            </w:r>
          </w:p>
        </w:tc>
        <w:tc>
          <w:tcPr>
            <w:tcW w:w="4820" w:type="dxa"/>
            <w:tcBorders>
              <w:top w:val="single" w:sz="4" w:space="0" w:color="auto"/>
              <w:left w:val="nil"/>
              <w:bottom w:val="single" w:sz="4" w:space="0" w:color="auto"/>
              <w:right w:val="nil"/>
            </w:tcBorders>
          </w:tcPr>
          <w:p w14:paraId="3FED1DCF" w14:textId="4BBEE4A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examine the added value of pre-operative cognitive </w:t>
            </w:r>
            <w:r w:rsidR="00A86BA6" w:rsidRPr="005016A5">
              <w:rPr>
                <w:rFonts w:ascii="Times New Roman" w:eastAsia="Times New Roman" w:hAnsi="Times New Roman" w:cs="Times New Roman"/>
                <w:color w:val="000000"/>
                <w:sz w:val="21"/>
                <w:szCs w:val="21"/>
                <w:lang w:eastAsia="en-GB"/>
              </w:rPr>
              <w:t>behavioural</w:t>
            </w:r>
            <w:r w:rsidRPr="005016A5">
              <w:rPr>
                <w:rFonts w:ascii="Times New Roman" w:eastAsia="Times New Roman" w:hAnsi="Times New Roman" w:cs="Times New Roman"/>
                <w:color w:val="000000"/>
                <w:sz w:val="21"/>
                <w:szCs w:val="21"/>
                <w:lang w:eastAsia="en-GB"/>
              </w:rPr>
              <w:t xml:space="preserve"> therapy (CBT) focused on modification of thoughts and </w:t>
            </w:r>
            <w:r w:rsidR="00A86BA6" w:rsidRPr="005016A5">
              <w:rPr>
                <w:rFonts w:ascii="Times New Roman" w:eastAsia="Times New Roman" w:hAnsi="Times New Roman" w:cs="Times New Roman"/>
                <w:color w:val="000000"/>
                <w:sz w:val="21"/>
                <w:szCs w:val="21"/>
                <w:lang w:eastAsia="en-GB"/>
              </w:rPr>
              <w:t>behaviours</w:t>
            </w:r>
            <w:r w:rsidRPr="005016A5">
              <w:rPr>
                <w:rFonts w:ascii="Times New Roman" w:eastAsia="Times New Roman" w:hAnsi="Times New Roman" w:cs="Times New Roman"/>
                <w:color w:val="000000"/>
                <w:sz w:val="21"/>
                <w:szCs w:val="21"/>
                <w:lang w:eastAsia="en-GB"/>
              </w:rPr>
              <w:t xml:space="preserve"> in terms of eating </w:t>
            </w:r>
            <w:r w:rsidR="00A86BA6" w:rsidRPr="005016A5">
              <w:rPr>
                <w:rFonts w:ascii="Times New Roman" w:eastAsia="Times New Roman" w:hAnsi="Times New Roman" w:cs="Times New Roman"/>
                <w:color w:val="000000"/>
                <w:sz w:val="21"/>
                <w:szCs w:val="21"/>
                <w:lang w:eastAsia="en-GB"/>
              </w:rPr>
              <w:t>behaviour</w:t>
            </w:r>
            <w:r w:rsidRPr="005016A5">
              <w:rPr>
                <w:rFonts w:ascii="Times New Roman" w:eastAsia="Times New Roman" w:hAnsi="Times New Roman" w:cs="Times New Roman"/>
                <w:color w:val="000000"/>
                <w:sz w:val="21"/>
                <w:szCs w:val="21"/>
                <w:lang w:eastAsia="en-GB"/>
              </w:rPr>
              <w:t xml:space="preserve"> and physical exercise as well as preparation for surgery and postoperative lifestyle.</w:t>
            </w:r>
          </w:p>
        </w:tc>
        <w:tc>
          <w:tcPr>
            <w:tcW w:w="1559" w:type="dxa"/>
          </w:tcPr>
          <w:p w14:paraId="069D5C5A" w14:textId="1ADABAB0"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color w:val="2E2E2E"/>
                <w:sz w:val="21"/>
                <w:szCs w:val="21"/>
                <w:lang w:eastAsia="en-GB"/>
              </w:rPr>
              <w:t>Methodology paper</w:t>
            </w:r>
          </w:p>
        </w:tc>
        <w:tc>
          <w:tcPr>
            <w:tcW w:w="2268" w:type="dxa"/>
            <w:tcBorders>
              <w:top w:val="single" w:sz="4" w:space="0" w:color="auto"/>
              <w:left w:val="nil"/>
              <w:bottom w:val="single" w:sz="4" w:space="0" w:color="auto"/>
              <w:right w:val="single" w:sz="4" w:space="0" w:color="auto"/>
            </w:tcBorders>
          </w:tcPr>
          <w:p w14:paraId="5DECAD7A" w14:textId="5438AD5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2E2E2E"/>
                <w:sz w:val="21"/>
                <w:szCs w:val="21"/>
                <w:lang w:eastAsia="en-GB"/>
              </w:rPr>
              <w:t xml:space="preserve">Weight loss, eating </w:t>
            </w:r>
            <w:proofErr w:type="spellStart"/>
            <w:r w:rsidRPr="005016A5">
              <w:rPr>
                <w:rFonts w:ascii="Times New Roman" w:eastAsia="Times New Roman" w:hAnsi="Times New Roman" w:cs="Times New Roman"/>
                <w:color w:val="2E2E2E"/>
                <w:sz w:val="21"/>
                <w:szCs w:val="21"/>
                <w:lang w:eastAsia="en-GB"/>
              </w:rPr>
              <w:t>behavior</w:t>
            </w:r>
            <w:proofErr w:type="spellEnd"/>
            <w:r w:rsidRPr="005016A5">
              <w:rPr>
                <w:rFonts w:ascii="Times New Roman" w:eastAsia="Times New Roman" w:hAnsi="Times New Roman" w:cs="Times New Roman"/>
                <w:color w:val="2E2E2E"/>
                <w:sz w:val="21"/>
                <w:szCs w:val="21"/>
                <w:lang w:eastAsia="en-GB"/>
              </w:rPr>
              <w:t xml:space="preserve">, eating disorders, depression, quality of life and psychological distress pre-post treatment and 1, 3, </w:t>
            </w:r>
            <w:proofErr w:type="gramStart"/>
            <w:r w:rsidRPr="005016A5">
              <w:rPr>
                <w:rFonts w:ascii="Times New Roman" w:eastAsia="Times New Roman" w:hAnsi="Times New Roman" w:cs="Times New Roman"/>
                <w:color w:val="2E2E2E"/>
                <w:sz w:val="21"/>
                <w:szCs w:val="21"/>
                <w:lang w:eastAsia="en-GB"/>
              </w:rPr>
              <w:t>5 year</w:t>
            </w:r>
            <w:proofErr w:type="gramEnd"/>
            <w:r w:rsidRPr="005016A5">
              <w:rPr>
                <w:rFonts w:ascii="Times New Roman" w:eastAsia="Times New Roman" w:hAnsi="Times New Roman" w:cs="Times New Roman"/>
                <w:color w:val="2E2E2E"/>
                <w:sz w:val="21"/>
                <w:szCs w:val="21"/>
                <w:lang w:eastAsia="en-GB"/>
              </w:rPr>
              <w:t xml:space="preserve"> follow-up.</w:t>
            </w:r>
          </w:p>
        </w:tc>
        <w:tc>
          <w:tcPr>
            <w:tcW w:w="709" w:type="dxa"/>
            <w:tcBorders>
              <w:top w:val="single" w:sz="4" w:space="0" w:color="auto"/>
              <w:left w:val="nil"/>
              <w:bottom w:val="single" w:sz="4" w:space="0" w:color="auto"/>
              <w:right w:val="single" w:sz="4" w:space="0" w:color="auto"/>
            </w:tcBorders>
          </w:tcPr>
          <w:p w14:paraId="53CB7F34" w14:textId="3A7E0003" w:rsidR="00553D21" w:rsidRPr="005016A5" w:rsidRDefault="00BC411B" w:rsidP="002775D4">
            <w:pPr>
              <w:rPr>
                <w:rFonts w:ascii="Times New Roman" w:eastAsia="Times New Roman" w:hAnsi="Times New Roman" w:cs="Times New Roman"/>
                <w:color w:val="2E2E2E"/>
                <w:sz w:val="21"/>
                <w:szCs w:val="21"/>
                <w:lang w:eastAsia="en-GB"/>
              </w:rPr>
            </w:pPr>
            <w:r w:rsidRPr="005016A5">
              <w:rPr>
                <w:rFonts w:ascii="Times New Roman" w:eastAsia="Times New Roman" w:hAnsi="Times New Roman" w:cs="Times New Roman"/>
                <w:color w:val="2E2E2E"/>
                <w:sz w:val="21"/>
                <w:szCs w:val="21"/>
                <w:lang w:eastAsia="en-GB"/>
              </w:rPr>
              <w:t>90</w:t>
            </w:r>
          </w:p>
        </w:tc>
      </w:tr>
      <w:tr w:rsidR="00553D21" w:rsidRPr="005016A5" w14:paraId="47AFD2DB" w14:textId="249CF67D" w:rsidTr="0002675A">
        <w:trPr>
          <w:trHeight w:val="601"/>
        </w:trPr>
        <w:tc>
          <w:tcPr>
            <w:tcW w:w="1268" w:type="dxa"/>
            <w:noWrap/>
          </w:tcPr>
          <w:p w14:paraId="35F2E606" w14:textId="2E7254B1"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Quadflieg</w:t>
            </w:r>
            <w:proofErr w:type="spellEnd"/>
            <w:r w:rsidRPr="005016A5">
              <w:rPr>
                <w:rFonts w:ascii="Times New Roman" w:eastAsia="Times New Roman" w:hAnsi="Times New Roman" w:cs="Times New Roman"/>
                <w:color w:val="000000"/>
                <w:sz w:val="21"/>
                <w:szCs w:val="21"/>
                <w:lang w:eastAsia="en-GB"/>
              </w:rPr>
              <w:t xml:space="preserve"> et al., 2019</w:t>
            </w:r>
          </w:p>
        </w:tc>
        <w:tc>
          <w:tcPr>
            <w:tcW w:w="1279" w:type="dxa"/>
          </w:tcPr>
          <w:p w14:paraId="426F4F71" w14:textId="7327D11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Germany</w:t>
            </w:r>
          </w:p>
        </w:tc>
        <w:tc>
          <w:tcPr>
            <w:tcW w:w="1700" w:type="dxa"/>
          </w:tcPr>
          <w:p w14:paraId="43478508" w14:textId="13CBD8C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Inpatient (Aged &gt;15,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6E1BA77B"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2B1E8613" w14:textId="39338204" w:rsidR="00553D21" w:rsidRPr="005016A5" w:rsidRDefault="00A2661C"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2033</w:t>
            </w:r>
          </w:p>
        </w:tc>
        <w:tc>
          <w:tcPr>
            <w:tcW w:w="4820" w:type="dxa"/>
            <w:tcBorders>
              <w:top w:val="single" w:sz="4" w:space="0" w:color="auto"/>
              <w:left w:val="nil"/>
              <w:bottom w:val="single" w:sz="4" w:space="0" w:color="auto"/>
              <w:right w:val="nil"/>
            </w:tcBorders>
          </w:tcPr>
          <w:p w14:paraId="29C75BB9" w14:textId="5C93BF4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assess the long-term outcome and identify outcome predictors in a very large sample of inpatients treated for bulimia nervosa (BN).</w:t>
            </w:r>
          </w:p>
        </w:tc>
        <w:tc>
          <w:tcPr>
            <w:tcW w:w="1559" w:type="dxa"/>
          </w:tcPr>
          <w:p w14:paraId="60169D8C" w14:textId="34253CCD"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5EA6FFCA" w14:textId="139A5C5E"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Eating disorder psychopathology and psychiatric comorbidity at follow-up</w:t>
            </w:r>
          </w:p>
        </w:tc>
        <w:tc>
          <w:tcPr>
            <w:tcW w:w="709" w:type="dxa"/>
            <w:tcBorders>
              <w:top w:val="single" w:sz="4" w:space="0" w:color="auto"/>
              <w:left w:val="nil"/>
              <w:bottom w:val="single" w:sz="4" w:space="0" w:color="auto"/>
              <w:right w:val="single" w:sz="4" w:space="0" w:color="auto"/>
            </w:tcBorders>
          </w:tcPr>
          <w:p w14:paraId="20857155" w14:textId="4E5BCBC0" w:rsidR="00553D21" w:rsidRPr="005016A5" w:rsidRDefault="006C47AC"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45</w:t>
            </w:r>
          </w:p>
        </w:tc>
      </w:tr>
      <w:tr w:rsidR="00553D21" w:rsidRPr="005016A5" w14:paraId="4D62A803" w14:textId="327BA9FD" w:rsidTr="0002675A">
        <w:trPr>
          <w:trHeight w:val="601"/>
        </w:trPr>
        <w:tc>
          <w:tcPr>
            <w:tcW w:w="1268" w:type="dxa"/>
            <w:noWrap/>
          </w:tcPr>
          <w:p w14:paraId="3F38F9AB" w14:textId="23D63819"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Radunz</w:t>
            </w:r>
            <w:proofErr w:type="spellEnd"/>
            <w:r w:rsidRPr="005016A5">
              <w:rPr>
                <w:rFonts w:ascii="Times New Roman" w:eastAsia="Times New Roman" w:hAnsi="Times New Roman" w:cs="Times New Roman"/>
                <w:color w:val="000000"/>
                <w:sz w:val="21"/>
                <w:szCs w:val="21"/>
                <w:lang w:eastAsia="en-GB"/>
              </w:rPr>
              <w:t xml:space="preserve"> et al., 2020</w:t>
            </w:r>
          </w:p>
        </w:tc>
        <w:tc>
          <w:tcPr>
            <w:tcW w:w="1279" w:type="dxa"/>
          </w:tcPr>
          <w:p w14:paraId="07CEF45C" w14:textId="6C32E88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Worldwide</w:t>
            </w:r>
          </w:p>
        </w:tc>
        <w:tc>
          <w:tcPr>
            <w:tcW w:w="1700" w:type="dxa"/>
          </w:tcPr>
          <w:p w14:paraId="29811BBB" w14:textId="780F6DE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N/A</w:t>
            </w:r>
          </w:p>
        </w:tc>
        <w:tc>
          <w:tcPr>
            <w:tcW w:w="710" w:type="dxa"/>
          </w:tcPr>
          <w:p w14:paraId="3CC9E698" w14:textId="39C31EF4" w:rsidR="00553D21" w:rsidRPr="005016A5" w:rsidRDefault="00E5181E"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31</w:t>
            </w:r>
          </w:p>
        </w:tc>
        <w:tc>
          <w:tcPr>
            <w:tcW w:w="850" w:type="dxa"/>
          </w:tcPr>
          <w:p w14:paraId="199B6FB3"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4820" w:type="dxa"/>
            <w:tcBorders>
              <w:top w:val="single" w:sz="4" w:space="0" w:color="auto"/>
              <w:left w:val="nil"/>
              <w:bottom w:val="single" w:sz="4" w:space="0" w:color="auto"/>
              <w:right w:val="nil"/>
            </w:tcBorders>
          </w:tcPr>
          <w:p w14:paraId="59119226" w14:textId="34FAEE7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examine the contribution of duration to treatment outcome for eating disorders.</w:t>
            </w:r>
          </w:p>
        </w:tc>
        <w:tc>
          <w:tcPr>
            <w:tcW w:w="1559" w:type="dxa"/>
          </w:tcPr>
          <w:p w14:paraId="1220A502" w14:textId="708AF950"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Systematic Review/ Meta-Analysis (combined)</w:t>
            </w:r>
          </w:p>
        </w:tc>
        <w:tc>
          <w:tcPr>
            <w:tcW w:w="2268" w:type="dxa"/>
            <w:tcBorders>
              <w:top w:val="single" w:sz="4" w:space="0" w:color="auto"/>
              <w:left w:val="nil"/>
              <w:bottom w:val="single" w:sz="4" w:space="0" w:color="auto"/>
              <w:right w:val="single" w:sz="4" w:space="0" w:color="auto"/>
            </w:tcBorders>
          </w:tcPr>
          <w:p w14:paraId="0966F21B" w14:textId="1E8B6DB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Recovery, eating disorder psychopathology, weight gain</w:t>
            </w:r>
          </w:p>
        </w:tc>
        <w:tc>
          <w:tcPr>
            <w:tcW w:w="709" w:type="dxa"/>
            <w:tcBorders>
              <w:top w:val="single" w:sz="4" w:space="0" w:color="auto"/>
              <w:left w:val="nil"/>
              <w:bottom w:val="single" w:sz="4" w:space="0" w:color="auto"/>
              <w:right w:val="single" w:sz="4" w:space="0" w:color="auto"/>
            </w:tcBorders>
          </w:tcPr>
          <w:p w14:paraId="70F43078" w14:textId="77777777" w:rsidR="00553D21" w:rsidRPr="005016A5" w:rsidRDefault="00DA3BDD"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94</w:t>
            </w:r>
          </w:p>
          <w:p w14:paraId="68688C21" w14:textId="706BC1BC" w:rsidR="00DA3BDD" w:rsidRPr="005016A5" w:rsidRDefault="00DA3BDD" w:rsidP="002775D4">
            <w:pPr>
              <w:rPr>
                <w:rFonts w:ascii="Times New Roman" w:eastAsia="Times New Roman" w:hAnsi="Times New Roman" w:cs="Times New Roman"/>
                <w:color w:val="000000"/>
                <w:sz w:val="21"/>
                <w:szCs w:val="21"/>
                <w:lang w:eastAsia="en-GB"/>
              </w:rPr>
            </w:pPr>
          </w:p>
        </w:tc>
      </w:tr>
      <w:tr w:rsidR="00553D21" w:rsidRPr="005016A5" w14:paraId="7EBB1BB3" w14:textId="37A31380" w:rsidTr="0002675A">
        <w:trPr>
          <w:trHeight w:val="601"/>
        </w:trPr>
        <w:tc>
          <w:tcPr>
            <w:tcW w:w="1268" w:type="dxa"/>
            <w:noWrap/>
          </w:tcPr>
          <w:p w14:paraId="5CD44963" w14:textId="65FC2B5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Ricca et al., 2010</w:t>
            </w:r>
          </w:p>
        </w:tc>
        <w:tc>
          <w:tcPr>
            <w:tcW w:w="1279" w:type="dxa"/>
          </w:tcPr>
          <w:p w14:paraId="5710540C" w14:textId="1617951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Italy</w:t>
            </w:r>
          </w:p>
        </w:tc>
        <w:tc>
          <w:tcPr>
            <w:tcW w:w="1700" w:type="dxa"/>
          </w:tcPr>
          <w:p w14:paraId="28753E95" w14:textId="3389C5C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Outpatient (Aged &gt;15, Females)</w:t>
            </w:r>
          </w:p>
        </w:tc>
        <w:tc>
          <w:tcPr>
            <w:tcW w:w="710" w:type="dxa"/>
          </w:tcPr>
          <w:p w14:paraId="02440B6A"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18F09BC9" w14:textId="43CD5668" w:rsidR="00553D21" w:rsidRPr="005016A5" w:rsidRDefault="00B11F29"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103</w:t>
            </w:r>
          </w:p>
        </w:tc>
        <w:tc>
          <w:tcPr>
            <w:tcW w:w="4820" w:type="dxa"/>
            <w:tcBorders>
              <w:top w:val="single" w:sz="4" w:space="0" w:color="auto"/>
              <w:left w:val="nil"/>
              <w:bottom w:val="single" w:sz="4" w:space="0" w:color="auto"/>
              <w:right w:val="nil"/>
            </w:tcBorders>
          </w:tcPr>
          <w:p w14:paraId="34EE9506" w14:textId="45E90EF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evaluate the effects of individual CBT in outpatients with threshold and subthreshold AN at EOT and </w:t>
            </w:r>
            <w:proofErr w:type="gramStart"/>
            <w:r w:rsidRPr="005016A5">
              <w:rPr>
                <w:rFonts w:ascii="Times New Roman" w:eastAsia="Times New Roman" w:hAnsi="Times New Roman" w:cs="Times New Roman"/>
                <w:color w:val="000000"/>
                <w:sz w:val="21"/>
                <w:szCs w:val="21"/>
                <w:lang w:eastAsia="en-GB"/>
              </w:rPr>
              <w:t>3 year</w:t>
            </w:r>
            <w:proofErr w:type="gramEnd"/>
            <w:r w:rsidRPr="005016A5">
              <w:rPr>
                <w:rFonts w:ascii="Times New Roman" w:eastAsia="Times New Roman" w:hAnsi="Times New Roman" w:cs="Times New Roman"/>
                <w:color w:val="000000"/>
                <w:sz w:val="21"/>
                <w:szCs w:val="21"/>
                <w:lang w:eastAsia="en-GB"/>
              </w:rPr>
              <w:t xml:space="preserve"> follow-up; and to identify possible predictors of outcome. </w:t>
            </w:r>
          </w:p>
        </w:tc>
        <w:tc>
          <w:tcPr>
            <w:tcW w:w="1559" w:type="dxa"/>
          </w:tcPr>
          <w:p w14:paraId="3FD7D82D" w14:textId="33BBDA51"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(&lt;5yr)</w:t>
            </w:r>
          </w:p>
        </w:tc>
        <w:tc>
          <w:tcPr>
            <w:tcW w:w="2268" w:type="dxa"/>
            <w:tcBorders>
              <w:top w:val="single" w:sz="4" w:space="0" w:color="auto"/>
              <w:left w:val="nil"/>
              <w:bottom w:val="single" w:sz="4" w:space="0" w:color="auto"/>
              <w:right w:val="single" w:sz="4" w:space="0" w:color="auto"/>
            </w:tcBorders>
          </w:tcPr>
          <w:p w14:paraId="568D1DBF" w14:textId="48B326A6"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ED psychopathology using EDE-Q; body uneasiness and general psychopathology at baseline, EOT and </w:t>
            </w:r>
            <w:proofErr w:type="gramStart"/>
            <w:r w:rsidRPr="005016A5">
              <w:rPr>
                <w:rFonts w:ascii="Times New Roman" w:eastAsia="Times New Roman" w:hAnsi="Times New Roman" w:cs="Times New Roman"/>
                <w:color w:val="000000"/>
                <w:sz w:val="21"/>
                <w:szCs w:val="21"/>
                <w:lang w:eastAsia="en-GB"/>
              </w:rPr>
              <w:t>3 year</w:t>
            </w:r>
            <w:proofErr w:type="gramEnd"/>
            <w:r w:rsidRPr="005016A5">
              <w:rPr>
                <w:rFonts w:ascii="Times New Roman" w:eastAsia="Times New Roman" w:hAnsi="Times New Roman" w:cs="Times New Roman"/>
                <w:color w:val="000000"/>
                <w:sz w:val="21"/>
                <w:szCs w:val="21"/>
                <w:lang w:eastAsia="en-GB"/>
              </w:rPr>
              <w:t xml:space="preserve"> follow-up.</w:t>
            </w:r>
          </w:p>
        </w:tc>
        <w:tc>
          <w:tcPr>
            <w:tcW w:w="709" w:type="dxa"/>
            <w:tcBorders>
              <w:top w:val="single" w:sz="4" w:space="0" w:color="auto"/>
              <w:left w:val="nil"/>
              <w:bottom w:val="single" w:sz="4" w:space="0" w:color="auto"/>
              <w:right w:val="single" w:sz="4" w:space="0" w:color="auto"/>
            </w:tcBorders>
          </w:tcPr>
          <w:p w14:paraId="5E86E86B" w14:textId="7715AAB0" w:rsidR="00553D21" w:rsidRPr="005016A5" w:rsidRDefault="0021443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57</w:t>
            </w:r>
          </w:p>
        </w:tc>
      </w:tr>
      <w:tr w:rsidR="00553D21" w:rsidRPr="005016A5" w14:paraId="3255FA89" w14:textId="24B5EFC5" w:rsidTr="0002675A">
        <w:trPr>
          <w:trHeight w:val="601"/>
        </w:trPr>
        <w:tc>
          <w:tcPr>
            <w:tcW w:w="1268" w:type="dxa"/>
            <w:noWrap/>
          </w:tcPr>
          <w:p w14:paraId="24364934" w14:textId="1BDE844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Rigaud et al., 2011</w:t>
            </w:r>
          </w:p>
        </w:tc>
        <w:tc>
          <w:tcPr>
            <w:tcW w:w="1279" w:type="dxa"/>
          </w:tcPr>
          <w:p w14:paraId="51A31161" w14:textId="42844BD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France</w:t>
            </w:r>
          </w:p>
        </w:tc>
        <w:tc>
          <w:tcPr>
            <w:tcW w:w="1700" w:type="dxa"/>
          </w:tcPr>
          <w:p w14:paraId="77DE86A2" w14:textId="4CE75E5A"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Inpatient (Adult,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3FD49161"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12FA964B" w14:textId="6C7BAF25" w:rsidR="00553D21" w:rsidRPr="005016A5" w:rsidRDefault="000C1057"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484</w:t>
            </w:r>
          </w:p>
        </w:tc>
        <w:tc>
          <w:tcPr>
            <w:tcW w:w="4820" w:type="dxa"/>
            <w:tcBorders>
              <w:top w:val="single" w:sz="4" w:space="0" w:color="auto"/>
              <w:left w:val="nil"/>
              <w:bottom w:val="single" w:sz="4" w:space="0" w:color="auto"/>
              <w:right w:val="nil"/>
            </w:tcBorders>
          </w:tcPr>
          <w:p w14:paraId="2EDFF13C" w14:textId="4EB864A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The aim of our present study was to determine the outcome of 484 purely AN </w:t>
            </w:r>
            <w:proofErr w:type="gramStart"/>
            <w:r w:rsidRPr="005016A5">
              <w:rPr>
                <w:rFonts w:ascii="Times New Roman" w:eastAsia="Times New Roman" w:hAnsi="Times New Roman" w:cs="Times New Roman"/>
                <w:color w:val="000000"/>
                <w:sz w:val="21"/>
                <w:szCs w:val="21"/>
                <w:lang w:eastAsia="en-GB"/>
              </w:rPr>
              <w:t>adult patients</w:t>
            </w:r>
            <w:proofErr w:type="gramEnd"/>
            <w:r w:rsidRPr="005016A5">
              <w:rPr>
                <w:rFonts w:ascii="Times New Roman" w:eastAsia="Times New Roman" w:hAnsi="Times New Roman" w:cs="Times New Roman"/>
                <w:color w:val="000000"/>
                <w:sz w:val="21"/>
                <w:szCs w:val="21"/>
                <w:lang w:eastAsia="en-GB"/>
              </w:rPr>
              <w:t xml:space="preserve"> followed-up for 13 years, and to identify prognostic factors from those recorded at the start of follow-up.</w:t>
            </w:r>
          </w:p>
        </w:tc>
        <w:tc>
          <w:tcPr>
            <w:tcW w:w="1559" w:type="dxa"/>
          </w:tcPr>
          <w:p w14:paraId="6036525A" w14:textId="203C98B8"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1F023272" w14:textId="4FBB942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Long-term outcome: full recovery, 'relatively' good outcome; persistent </w:t>
            </w:r>
            <w:r w:rsidRPr="005016A5">
              <w:rPr>
                <w:rFonts w:ascii="Times New Roman" w:eastAsia="Times New Roman" w:hAnsi="Times New Roman" w:cs="Times New Roman"/>
                <w:color w:val="000000"/>
                <w:sz w:val="21"/>
                <w:szCs w:val="21"/>
                <w:lang w:eastAsia="en-GB"/>
              </w:rPr>
              <w:lastRenderedPageBreak/>
              <w:t>illness ('bad' or 'severe'); death.</w:t>
            </w:r>
          </w:p>
        </w:tc>
        <w:tc>
          <w:tcPr>
            <w:tcW w:w="709" w:type="dxa"/>
            <w:tcBorders>
              <w:top w:val="single" w:sz="4" w:space="0" w:color="auto"/>
              <w:left w:val="nil"/>
              <w:bottom w:val="single" w:sz="4" w:space="0" w:color="auto"/>
              <w:right w:val="single" w:sz="4" w:space="0" w:color="auto"/>
            </w:tcBorders>
          </w:tcPr>
          <w:p w14:paraId="2FE90763" w14:textId="3D2A2CC1" w:rsidR="00553D21" w:rsidRPr="005016A5" w:rsidRDefault="001C0F5E"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lastRenderedPageBreak/>
              <w:t>20</w:t>
            </w:r>
          </w:p>
        </w:tc>
      </w:tr>
      <w:tr w:rsidR="00553D21" w:rsidRPr="005016A5" w14:paraId="65C8FCAB" w14:textId="4945ECC1" w:rsidTr="0002675A">
        <w:trPr>
          <w:trHeight w:val="601"/>
        </w:trPr>
        <w:tc>
          <w:tcPr>
            <w:tcW w:w="1268" w:type="dxa"/>
            <w:noWrap/>
          </w:tcPr>
          <w:p w14:paraId="27791950" w14:textId="47AAADD4"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Sansfaçon</w:t>
            </w:r>
            <w:proofErr w:type="spellEnd"/>
            <w:r w:rsidRPr="005016A5">
              <w:rPr>
                <w:rFonts w:ascii="Times New Roman" w:eastAsia="Times New Roman" w:hAnsi="Times New Roman" w:cs="Times New Roman"/>
                <w:color w:val="000000"/>
                <w:sz w:val="21"/>
                <w:szCs w:val="21"/>
                <w:lang w:eastAsia="en-GB"/>
              </w:rPr>
              <w:t xml:space="preserve"> et al., 2020</w:t>
            </w:r>
          </w:p>
        </w:tc>
        <w:tc>
          <w:tcPr>
            <w:tcW w:w="1279" w:type="dxa"/>
          </w:tcPr>
          <w:p w14:paraId="6BCCC6BC" w14:textId="79DB70A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Worldwide</w:t>
            </w:r>
          </w:p>
        </w:tc>
        <w:tc>
          <w:tcPr>
            <w:tcW w:w="1700" w:type="dxa"/>
          </w:tcPr>
          <w:p w14:paraId="29F10EBD" w14:textId="727DEAA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N/A</w:t>
            </w:r>
          </w:p>
        </w:tc>
        <w:tc>
          <w:tcPr>
            <w:tcW w:w="710" w:type="dxa"/>
          </w:tcPr>
          <w:p w14:paraId="7D3F9A25" w14:textId="7F7C4C23" w:rsidR="00553D21" w:rsidRPr="005016A5" w:rsidRDefault="007B43D8"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42</w:t>
            </w:r>
          </w:p>
        </w:tc>
        <w:tc>
          <w:tcPr>
            <w:tcW w:w="850" w:type="dxa"/>
          </w:tcPr>
          <w:p w14:paraId="14E35B5F"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4820" w:type="dxa"/>
            <w:tcBorders>
              <w:top w:val="single" w:sz="4" w:space="0" w:color="auto"/>
              <w:left w:val="nil"/>
              <w:bottom w:val="single" w:sz="4" w:space="0" w:color="auto"/>
              <w:right w:val="nil"/>
            </w:tcBorders>
          </w:tcPr>
          <w:p w14:paraId="1FCF26A1" w14:textId="5D40AAB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quantify the association between </w:t>
            </w:r>
            <w:proofErr w:type="spellStart"/>
            <w:r w:rsidRPr="005016A5">
              <w:rPr>
                <w:rFonts w:ascii="Times New Roman" w:eastAsia="Times New Roman" w:hAnsi="Times New Roman" w:cs="Times New Roman"/>
                <w:color w:val="000000"/>
                <w:sz w:val="21"/>
                <w:szCs w:val="21"/>
                <w:lang w:eastAsia="en-GB"/>
              </w:rPr>
              <w:t>pretreatment</w:t>
            </w:r>
            <w:proofErr w:type="spellEnd"/>
            <w:r w:rsidRPr="005016A5">
              <w:rPr>
                <w:rFonts w:ascii="Times New Roman" w:eastAsia="Times New Roman" w:hAnsi="Times New Roman" w:cs="Times New Roman"/>
                <w:color w:val="000000"/>
                <w:sz w:val="21"/>
                <w:szCs w:val="21"/>
                <w:lang w:eastAsia="en-GB"/>
              </w:rPr>
              <w:t xml:space="preserve"> motivation and posttreatment changes in eating disorder symptomology.</w:t>
            </w:r>
          </w:p>
        </w:tc>
        <w:tc>
          <w:tcPr>
            <w:tcW w:w="1559" w:type="dxa"/>
          </w:tcPr>
          <w:p w14:paraId="6909AA47" w14:textId="7E02573A"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Systematic Review/ Meta-Analysis (combined)</w:t>
            </w:r>
          </w:p>
        </w:tc>
        <w:tc>
          <w:tcPr>
            <w:tcW w:w="2268" w:type="dxa"/>
            <w:tcBorders>
              <w:top w:val="single" w:sz="4" w:space="0" w:color="auto"/>
              <w:left w:val="nil"/>
              <w:bottom w:val="single" w:sz="4" w:space="0" w:color="auto"/>
              <w:right w:val="single" w:sz="4" w:space="0" w:color="auto"/>
            </w:tcBorders>
          </w:tcPr>
          <w:p w14:paraId="32D6640C" w14:textId="3AD935B8"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ED symptomatology post-treatment</w:t>
            </w:r>
          </w:p>
        </w:tc>
        <w:tc>
          <w:tcPr>
            <w:tcW w:w="709" w:type="dxa"/>
            <w:tcBorders>
              <w:top w:val="single" w:sz="4" w:space="0" w:color="auto"/>
              <w:left w:val="nil"/>
              <w:bottom w:val="single" w:sz="4" w:space="0" w:color="auto"/>
              <w:right w:val="single" w:sz="4" w:space="0" w:color="auto"/>
            </w:tcBorders>
          </w:tcPr>
          <w:p w14:paraId="5F9EFBC3" w14:textId="6253B1E4" w:rsidR="00553D21" w:rsidRPr="005016A5" w:rsidRDefault="005F725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120</w:t>
            </w:r>
          </w:p>
        </w:tc>
      </w:tr>
      <w:tr w:rsidR="00553D21" w:rsidRPr="005016A5" w14:paraId="3FAEBB86" w14:textId="63CAFA74" w:rsidTr="0002675A">
        <w:trPr>
          <w:trHeight w:val="601"/>
        </w:trPr>
        <w:tc>
          <w:tcPr>
            <w:tcW w:w="1268" w:type="dxa"/>
            <w:noWrap/>
          </w:tcPr>
          <w:p w14:paraId="7E0E3CFD" w14:textId="6A884CB4"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eastAsia="Times New Roman" w:hAnsi="Times New Roman" w:cs="Times New Roman"/>
                <w:color w:val="000000"/>
                <w:sz w:val="21"/>
                <w:szCs w:val="21"/>
                <w:lang w:eastAsia="en-GB"/>
              </w:rPr>
              <w:t>Sant</w:t>
            </w:r>
            <w:r w:rsidR="000223DC" w:rsidRPr="005016A5">
              <w:rPr>
                <w:rFonts w:ascii="Times New Roman" w:eastAsia="Times New Roman" w:hAnsi="Times New Roman" w:cs="Times New Roman"/>
                <w:color w:val="000000"/>
                <w:sz w:val="21"/>
                <w:szCs w:val="21"/>
                <w:lang w:eastAsia="en-GB"/>
              </w:rPr>
              <w:t>o</w:t>
            </w:r>
            <w:r w:rsidRPr="005016A5">
              <w:rPr>
                <w:rFonts w:ascii="Times New Roman" w:eastAsia="Times New Roman" w:hAnsi="Times New Roman" w:cs="Times New Roman"/>
                <w:color w:val="000000"/>
                <w:sz w:val="21"/>
                <w:szCs w:val="21"/>
                <w:lang w:eastAsia="en-GB"/>
              </w:rPr>
              <w:t>mauro</w:t>
            </w:r>
            <w:proofErr w:type="spellEnd"/>
            <w:r w:rsidRPr="005016A5">
              <w:rPr>
                <w:rFonts w:ascii="Times New Roman" w:eastAsia="Times New Roman" w:hAnsi="Times New Roman" w:cs="Times New Roman"/>
                <w:color w:val="000000"/>
                <w:sz w:val="21"/>
                <w:szCs w:val="21"/>
                <w:lang w:eastAsia="en-GB"/>
              </w:rPr>
              <w:t xml:space="preserve"> et al. 2021</w:t>
            </w:r>
          </w:p>
        </w:tc>
        <w:tc>
          <w:tcPr>
            <w:tcW w:w="1279" w:type="dxa"/>
          </w:tcPr>
          <w:p w14:paraId="0346AB07" w14:textId="54B99CBD"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Worldwide</w:t>
            </w:r>
          </w:p>
        </w:tc>
        <w:tc>
          <w:tcPr>
            <w:tcW w:w="1700" w:type="dxa"/>
          </w:tcPr>
          <w:p w14:paraId="491BDB6C" w14:textId="75DF6060"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N/A</w:t>
            </w:r>
          </w:p>
        </w:tc>
        <w:tc>
          <w:tcPr>
            <w:tcW w:w="710" w:type="dxa"/>
          </w:tcPr>
          <w:p w14:paraId="4DACA3B4" w14:textId="7DFE59C4" w:rsidR="00553D21" w:rsidRPr="005016A5" w:rsidRDefault="0092138C"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54</w:t>
            </w:r>
          </w:p>
        </w:tc>
        <w:tc>
          <w:tcPr>
            <w:tcW w:w="850" w:type="dxa"/>
          </w:tcPr>
          <w:p w14:paraId="2A7AA817"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4820" w:type="dxa"/>
            <w:tcBorders>
              <w:top w:val="single" w:sz="4" w:space="0" w:color="auto"/>
              <w:left w:val="nil"/>
              <w:bottom w:val="single" w:sz="4" w:space="0" w:color="auto"/>
              <w:right w:val="nil"/>
            </w:tcBorders>
          </w:tcPr>
          <w:p w14:paraId="4CBD9AB3" w14:textId="54931ADE"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To estimate the prevalence and burden of binge-eating disorder and OSFED globally.</w:t>
            </w:r>
          </w:p>
        </w:tc>
        <w:tc>
          <w:tcPr>
            <w:tcW w:w="1559" w:type="dxa"/>
          </w:tcPr>
          <w:p w14:paraId="20E4950E" w14:textId="371D4EEF"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Review (other)</w:t>
            </w:r>
          </w:p>
        </w:tc>
        <w:tc>
          <w:tcPr>
            <w:tcW w:w="2268" w:type="dxa"/>
            <w:tcBorders>
              <w:top w:val="single" w:sz="4" w:space="0" w:color="auto"/>
              <w:left w:val="nil"/>
              <w:bottom w:val="single" w:sz="4" w:space="0" w:color="auto"/>
              <w:right w:val="single" w:sz="4" w:space="0" w:color="auto"/>
            </w:tcBorders>
          </w:tcPr>
          <w:p w14:paraId="7C36ED42" w14:textId="3460A17C"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Prevalence and burden of BED and OSFED globally, disability-adjusted life-year (DALY)</w:t>
            </w:r>
          </w:p>
        </w:tc>
        <w:tc>
          <w:tcPr>
            <w:tcW w:w="709" w:type="dxa"/>
            <w:tcBorders>
              <w:top w:val="single" w:sz="4" w:space="0" w:color="auto"/>
              <w:left w:val="nil"/>
              <w:bottom w:val="single" w:sz="4" w:space="0" w:color="auto"/>
              <w:right w:val="single" w:sz="4" w:space="0" w:color="auto"/>
            </w:tcBorders>
          </w:tcPr>
          <w:p w14:paraId="6238FF80" w14:textId="09F381BE"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themeColor="text1"/>
                <w:sz w:val="21"/>
                <w:szCs w:val="21"/>
                <w:lang w:eastAsia="en-GB"/>
              </w:rPr>
              <w:t>14</w:t>
            </w:r>
            <w:r w:rsidR="00624959" w:rsidRPr="005016A5">
              <w:rPr>
                <w:rFonts w:ascii="Times New Roman" w:eastAsia="Times New Roman" w:hAnsi="Times New Roman" w:cs="Times New Roman"/>
                <w:color w:val="000000" w:themeColor="text1"/>
                <w:sz w:val="21"/>
                <w:szCs w:val="21"/>
                <w:lang w:eastAsia="en-GB"/>
              </w:rPr>
              <w:t>7</w:t>
            </w:r>
          </w:p>
        </w:tc>
      </w:tr>
      <w:tr w:rsidR="00553D21" w:rsidRPr="005016A5" w14:paraId="2A27BB0E" w14:textId="24F1222B" w:rsidTr="0002675A">
        <w:trPr>
          <w:trHeight w:val="601"/>
        </w:trPr>
        <w:tc>
          <w:tcPr>
            <w:tcW w:w="1268" w:type="dxa"/>
            <w:noWrap/>
          </w:tcPr>
          <w:p w14:paraId="6A9223EE" w14:textId="39EEB22E"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Shapiro et al., 2010</w:t>
            </w:r>
          </w:p>
        </w:tc>
        <w:tc>
          <w:tcPr>
            <w:tcW w:w="1279" w:type="dxa"/>
          </w:tcPr>
          <w:p w14:paraId="03794C50" w14:textId="3CD13A2A"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5F714D49" w14:textId="1DB7ABA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Community (Adult, Females)</w:t>
            </w:r>
          </w:p>
        </w:tc>
        <w:tc>
          <w:tcPr>
            <w:tcW w:w="710" w:type="dxa"/>
          </w:tcPr>
          <w:p w14:paraId="021777D4"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4C8F90FB" w14:textId="6A79896C" w:rsidR="00553D21" w:rsidRPr="005016A5" w:rsidRDefault="00663445"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31</w:t>
            </w:r>
          </w:p>
        </w:tc>
        <w:tc>
          <w:tcPr>
            <w:tcW w:w="4820" w:type="dxa"/>
            <w:tcBorders>
              <w:top w:val="single" w:sz="4" w:space="0" w:color="auto"/>
              <w:left w:val="nil"/>
              <w:bottom w:val="single" w:sz="4" w:space="0" w:color="auto"/>
              <w:right w:val="nil"/>
            </w:tcBorders>
          </w:tcPr>
          <w:p w14:paraId="18AEDA84" w14:textId="42CFA7BE"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examine a text-messaging program for self-monitoring symptoms of bulimia nervosa (BN) within the context of cognitive-</w:t>
            </w:r>
            <w:r w:rsidR="00A86BA6" w:rsidRPr="005016A5">
              <w:rPr>
                <w:rFonts w:ascii="Times New Roman" w:eastAsia="Times New Roman" w:hAnsi="Times New Roman" w:cs="Times New Roman"/>
                <w:color w:val="000000"/>
                <w:sz w:val="21"/>
                <w:szCs w:val="21"/>
                <w:lang w:eastAsia="en-GB"/>
              </w:rPr>
              <w:t>behavioural</w:t>
            </w:r>
            <w:r w:rsidRPr="005016A5">
              <w:rPr>
                <w:rFonts w:ascii="Times New Roman" w:eastAsia="Times New Roman" w:hAnsi="Times New Roman" w:cs="Times New Roman"/>
                <w:color w:val="000000"/>
                <w:sz w:val="21"/>
                <w:szCs w:val="21"/>
                <w:lang w:eastAsia="en-GB"/>
              </w:rPr>
              <w:t xml:space="preserve"> therapy (CBT).</w:t>
            </w:r>
          </w:p>
        </w:tc>
        <w:tc>
          <w:tcPr>
            <w:tcW w:w="1559" w:type="dxa"/>
          </w:tcPr>
          <w:p w14:paraId="0701AA23" w14:textId="7723FDB5"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Quasi-experimental (intervention)</w:t>
            </w:r>
          </w:p>
        </w:tc>
        <w:tc>
          <w:tcPr>
            <w:tcW w:w="2268" w:type="dxa"/>
            <w:tcBorders>
              <w:top w:val="single" w:sz="4" w:space="0" w:color="auto"/>
              <w:left w:val="nil"/>
              <w:bottom w:val="single" w:sz="4" w:space="0" w:color="auto"/>
              <w:right w:val="single" w:sz="4" w:space="0" w:color="auto"/>
            </w:tcBorders>
          </w:tcPr>
          <w:p w14:paraId="65E8AC52" w14:textId="3AC8F26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Self-reported binge and purge episodes</w:t>
            </w:r>
          </w:p>
        </w:tc>
        <w:tc>
          <w:tcPr>
            <w:tcW w:w="709" w:type="dxa"/>
            <w:tcBorders>
              <w:top w:val="single" w:sz="4" w:space="0" w:color="auto"/>
              <w:left w:val="nil"/>
              <w:bottom w:val="single" w:sz="4" w:space="0" w:color="auto"/>
              <w:right w:val="single" w:sz="4" w:space="0" w:color="auto"/>
            </w:tcBorders>
          </w:tcPr>
          <w:p w14:paraId="3D94CC26" w14:textId="118E4D7D"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w:t>
            </w:r>
            <w:r w:rsidR="0070135D" w:rsidRPr="005016A5">
              <w:rPr>
                <w:rFonts w:ascii="Times New Roman" w:eastAsia="Times New Roman" w:hAnsi="Times New Roman" w:cs="Times New Roman"/>
                <w:color w:val="000000"/>
                <w:sz w:val="21"/>
                <w:szCs w:val="21"/>
                <w:lang w:eastAsia="en-GB"/>
              </w:rPr>
              <w:t>26</w:t>
            </w:r>
          </w:p>
        </w:tc>
      </w:tr>
      <w:tr w:rsidR="00553D21" w:rsidRPr="005016A5" w14:paraId="76A76760" w14:textId="7F83066C" w:rsidTr="0002675A">
        <w:trPr>
          <w:trHeight w:val="601"/>
        </w:trPr>
        <w:tc>
          <w:tcPr>
            <w:tcW w:w="1268" w:type="dxa"/>
            <w:noWrap/>
          </w:tcPr>
          <w:p w14:paraId="788BFF48" w14:textId="60A247F8"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eastAsia="Times New Roman" w:hAnsi="Times New Roman" w:cs="Times New Roman"/>
                <w:color w:val="000000"/>
                <w:sz w:val="21"/>
                <w:szCs w:val="21"/>
                <w:lang w:eastAsia="en-GB"/>
              </w:rPr>
              <w:t>Sollid</w:t>
            </w:r>
            <w:proofErr w:type="spellEnd"/>
            <w:r w:rsidRPr="005016A5">
              <w:rPr>
                <w:rFonts w:ascii="Times New Roman" w:eastAsia="Times New Roman" w:hAnsi="Times New Roman" w:cs="Times New Roman"/>
                <w:color w:val="000000"/>
                <w:sz w:val="21"/>
                <w:szCs w:val="21"/>
                <w:lang w:eastAsia="en-GB"/>
              </w:rPr>
              <w:t xml:space="preserve"> et al., 2021</w:t>
            </w:r>
          </w:p>
        </w:tc>
        <w:tc>
          <w:tcPr>
            <w:tcW w:w="1279" w:type="dxa"/>
          </w:tcPr>
          <w:p w14:paraId="2DCD5E99" w14:textId="5957F6B0"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Denmark</w:t>
            </w:r>
          </w:p>
        </w:tc>
        <w:tc>
          <w:tcPr>
            <w:tcW w:w="1700" w:type="dxa"/>
          </w:tcPr>
          <w:p w14:paraId="3AB2EDB9" w14:textId="758CB29C"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Community (Adult, Females)</w:t>
            </w:r>
          </w:p>
        </w:tc>
        <w:tc>
          <w:tcPr>
            <w:tcW w:w="710" w:type="dxa"/>
          </w:tcPr>
          <w:p w14:paraId="07EEB8C1"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6E657DC2" w14:textId="12EC0874" w:rsidR="00553D21" w:rsidRPr="005016A5" w:rsidRDefault="00BD00A0"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122</w:t>
            </w:r>
          </w:p>
        </w:tc>
        <w:tc>
          <w:tcPr>
            <w:tcW w:w="4820" w:type="dxa"/>
            <w:tcBorders>
              <w:top w:val="single" w:sz="4" w:space="0" w:color="auto"/>
              <w:left w:val="nil"/>
              <w:bottom w:val="single" w:sz="4" w:space="0" w:color="auto"/>
              <w:right w:val="nil"/>
            </w:tcBorders>
          </w:tcPr>
          <w:p w14:paraId="7D569963" w14:textId="24EB3538"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To investigate the occurrence of perinatal ED relapse and obstetric and postpartum outcome in women with at least 6-month ED remission before pregnancy.</w:t>
            </w:r>
          </w:p>
        </w:tc>
        <w:tc>
          <w:tcPr>
            <w:tcW w:w="1559" w:type="dxa"/>
          </w:tcPr>
          <w:p w14:paraId="7E475A3B" w14:textId="02BF0ACE"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Cross-sectional</w:t>
            </w:r>
          </w:p>
        </w:tc>
        <w:tc>
          <w:tcPr>
            <w:tcW w:w="2268" w:type="dxa"/>
            <w:tcBorders>
              <w:top w:val="single" w:sz="4" w:space="0" w:color="auto"/>
              <w:left w:val="nil"/>
              <w:bottom w:val="single" w:sz="4" w:space="0" w:color="auto"/>
              <w:right w:val="single" w:sz="4" w:space="0" w:color="auto"/>
            </w:tcBorders>
          </w:tcPr>
          <w:p w14:paraId="125D7F99" w14:textId="68908CA1"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Relapse, clinical outcomes (hyperemesis gravidarum, body image, psychiatric disorders, postpartum depression)</w:t>
            </w:r>
          </w:p>
        </w:tc>
        <w:tc>
          <w:tcPr>
            <w:tcW w:w="709" w:type="dxa"/>
            <w:tcBorders>
              <w:top w:val="single" w:sz="4" w:space="0" w:color="auto"/>
              <w:left w:val="nil"/>
              <w:bottom w:val="single" w:sz="4" w:space="0" w:color="auto"/>
              <w:right w:val="single" w:sz="4" w:space="0" w:color="auto"/>
            </w:tcBorders>
          </w:tcPr>
          <w:p w14:paraId="27F4D54B" w14:textId="5DC4FC29"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themeColor="text1"/>
                <w:sz w:val="21"/>
                <w:szCs w:val="21"/>
                <w:lang w:eastAsia="en-GB"/>
              </w:rPr>
              <w:t>1</w:t>
            </w:r>
            <w:r w:rsidR="00861778" w:rsidRPr="005016A5">
              <w:rPr>
                <w:rFonts w:ascii="Times New Roman" w:eastAsia="Times New Roman" w:hAnsi="Times New Roman" w:cs="Times New Roman"/>
                <w:color w:val="000000" w:themeColor="text1"/>
                <w:sz w:val="21"/>
                <w:szCs w:val="21"/>
                <w:lang w:eastAsia="en-GB"/>
              </w:rPr>
              <w:t>06</w:t>
            </w:r>
          </w:p>
        </w:tc>
      </w:tr>
      <w:tr w:rsidR="00553D21" w:rsidRPr="005016A5" w14:paraId="35484FDF" w14:textId="5AF2C66E" w:rsidTr="0002675A">
        <w:trPr>
          <w:trHeight w:val="601"/>
        </w:trPr>
        <w:tc>
          <w:tcPr>
            <w:tcW w:w="1268" w:type="dxa"/>
            <w:noWrap/>
          </w:tcPr>
          <w:p w14:paraId="61A2985C" w14:textId="4A0837C1"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Steinhausen</w:t>
            </w:r>
            <w:proofErr w:type="spellEnd"/>
            <w:r w:rsidRPr="005016A5">
              <w:rPr>
                <w:rFonts w:ascii="Times New Roman" w:eastAsia="Times New Roman" w:hAnsi="Times New Roman" w:cs="Times New Roman"/>
                <w:color w:val="000000"/>
                <w:sz w:val="21"/>
                <w:szCs w:val="21"/>
                <w:lang w:eastAsia="en-GB"/>
              </w:rPr>
              <w:t xml:space="preserve"> et al., 2009</w:t>
            </w:r>
          </w:p>
        </w:tc>
        <w:tc>
          <w:tcPr>
            <w:tcW w:w="1279" w:type="dxa"/>
          </w:tcPr>
          <w:p w14:paraId="35BBDAE3" w14:textId="384FB4E4"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Worldwide</w:t>
            </w:r>
          </w:p>
        </w:tc>
        <w:tc>
          <w:tcPr>
            <w:tcW w:w="1700" w:type="dxa"/>
          </w:tcPr>
          <w:p w14:paraId="02C90BAA" w14:textId="64DB572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N/A</w:t>
            </w:r>
          </w:p>
        </w:tc>
        <w:tc>
          <w:tcPr>
            <w:tcW w:w="710" w:type="dxa"/>
          </w:tcPr>
          <w:p w14:paraId="081B49D0" w14:textId="6EA44E86" w:rsidR="00553D21" w:rsidRPr="005016A5" w:rsidRDefault="007838E3"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79</w:t>
            </w:r>
          </w:p>
        </w:tc>
        <w:tc>
          <w:tcPr>
            <w:tcW w:w="850" w:type="dxa"/>
          </w:tcPr>
          <w:p w14:paraId="6D137AF2" w14:textId="173718C2" w:rsidR="00553D21" w:rsidRPr="005016A5" w:rsidRDefault="007838E3"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5653</w:t>
            </w:r>
          </w:p>
        </w:tc>
        <w:tc>
          <w:tcPr>
            <w:tcW w:w="4820" w:type="dxa"/>
            <w:tcBorders>
              <w:top w:val="single" w:sz="4" w:space="0" w:color="auto"/>
              <w:left w:val="nil"/>
              <w:bottom w:val="single" w:sz="4" w:space="0" w:color="auto"/>
              <w:right w:val="nil"/>
            </w:tcBorders>
          </w:tcPr>
          <w:p w14:paraId="75D11A06" w14:textId="129B5B8A"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broadly assess the outcome of bulimia nervosa, effect variables, and prognostic factors. </w:t>
            </w:r>
          </w:p>
        </w:tc>
        <w:tc>
          <w:tcPr>
            <w:tcW w:w="1559" w:type="dxa"/>
          </w:tcPr>
          <w:p w14:paraId="71E04AE5" w14:textId="24982FB9"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Systematic Review/ Meta-Analysis (combined)</w:t>
            </w:r>
          </w:p>
        </w:tc>
        <w:tc>
          <w:tcPr>
            <w:tcW w:w="2268" w:type="dxa"/>
            <w:tcBorders>
              <w:top w:val="single" w:sz="4" w:space="0" w:color="auto"/>
              <w:left w:val="nil"/>
              <w:bottom w:val="single" w:sz="4" w:space="0" w:color="auto"/>
              <w:right w:val="single" w:sz="4" w:space="0" w:color="auto"/>
            </w:tcBorders>
          </w:tcPr>
          <w:p w14:paraId="44A6278E" w14:textId="7D6B8F7D"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Clinical outcome of bulimia nervosa: recovery, improvement, chronicity, crossover to another eating disorder, mortality, and comorbid psychiatric disorders at outcome. </w:t>
            </w:r>
          </w:p>
        </w:tc>
        <w:tc>
          <w:tcPr>
            <w:tcW w:w="709" w:type="dxa"/>
            <w:tcBorders>
              <w:top w:val="single" w:sz="4" w:space="0" w:color="auto"/>
              <w:left w:val="nil"/>
              <w:bottom w:val="single" w:sz="4" w:space="0" w:color="auto"/>
              <w:right w:val="single" w:sz="4" w:space="0" w:color="auto"/>
            </w:tcBorders>
          </w:tcPr>
          <w:p w14:paraId="15B1AEA3" w14:textId="3FD75A11" w:rsidR="00553D21" w:rsidRPr="005016A5" w:rsidRDefault="007E1B60"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63</w:t>
            </w:r>
          </w:p>
        </w:tc>
      </w:tr>
      <w:tr w:rsidR="00553D21" w:rsidRPr="005016A5" w14:paraId="6F362464" w14:textId="29015CAC" w:rsidTr="0002675A">
        <w:trPr>
          <w:trHeight w:val="601"/>
        </w:trPr>
        <w:tc>
          <w:tcPr>
            <w:tcW w:w="1268" w:type="dxa"/>
            <w:noWrap/>
          </w:tcPr>
          <w:p w14:paraId="322CFD52" w14:textId="226CB2F6"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Stice</w:t>
            </w:r>
            <w:proofErr w:type="spellEnd"/>
            <w:r w:rsidRPr="005016A5">
              <w:rPr>
                <w:rFonts w:ascii="Times New Roman" w:eastAsia="Times New Roman" w:hAnsi="Times New Roman" w:cs="Times New Roman"/>
                <w:color w:val="000000"/>
                <w:sz w:val="21"/>
                <w:szCs w:val="21"/>
                <w:lang w:eastAsia="en-GB"/>
              </w:rPr>
              <w:t xml:space="preserve"> et al., 2013</w:t>
            </w:r>
          </w:p>
        </w:tc>
        <w:tc>
          <w:tcPr>
            <w:tcW w:w="1279" w:type="dxa"/>
          </w:tcPr>
          <w:p w14:paraId="02FF0E6E" w14:textId="5D6312B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0DD94B0F" w14:textId="70DC0F9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Community (Children, Young females)</w:t>
            </w:r>
          </w:p>
        </w:tc>
        <w:tc>
          <w:tcPr>
            <w:tcW w:w="710" w:type="dxa"/>
          </w:tcPr>
          <w:p w14:paraId="7C2AD5B1"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13B61AFB" w14:textId="1AB6340A" w:rsidR="00553D21" w:rsidRPr="005016A5" w:rsidRDefault="004146F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496</w:t>
            </w:r>
          </w:p>
        </w:tc>
        <w:tc>
          <w:tcPr>
            <w:tcW w:w="4820" w:type="dxa"/>
            <w:tcBorders>
              <w:top w:val="single" w:sz="4" w:space="0" w:color="auto"/>
              <w:left w:val="nil"/>
              <w:bottom w:val="single" w:sz="4" w:space="0" w:color="auto"/>
              <w:right w:val="nil"/>
            </w:tcBorders>
          </w:tcPr>
          <w:p w14:paraId="642141A9" w14:textId="0F3F8AA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examine the lifetime prevalence and annual incidence of DSM-5 eating disorders by age 20 and the peak periods of risk for onset of these disorders (Aim 1); whether individuals with DSM-5 eating disorders show impairment relative to eating disorder-free youth in terms of functioning, emotional distress, suicidality, mental health treatment, and an unhealthy body mass (Aim 2); and the episode duration, </w:t>
            </w:r>
            <w:r w:rsidRPr="005016A5">
              <w:rPr>
                <w:rFonts w:ascii="Times New Roman" w:eastAsia="Times New Roman" w:hAnsi="Times New Roman" w:cs="Times New Roman"/>
                <w:color w:val="000000"/>
                <w:sz w:val="21"/>
                <w:szCs w:val="21"/>
                <w:lang w:eastAsia="en-GB"/>
              </w:rPr>
              <w:lastRenderedPageBreak/>
              <w:t>remission rates, recurrence rates, diagnostic progression, and diagnostic crossover for DSM-5 eating disorders (Aim 3).</w:t>
            </w:r>
          </w:p>
        </w:tc>
        <w:tc>
          <w:tcPr>
            <w:tcW w:w="1559" w:type="dxa"/>
          </w:tcPr>
          <w:p w14:paraId="6AE0DE9D" w14:textId="532D238D"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lastRenderedPageBreak/>
              <w:t>Longitudinal (&gt;5yr) prospective cohort study</w:t>
            </w:r>
          </w:p>
        </w:tc>
        <w:tc>
          <w:tcPr>
            <w:tcW w:w="2268" w:type="dxa"/>
            <w:tcBorders>
              <w:top w:val="single" w:sz="4" w:space="0" w:color="auto"/>
              <w:left w:val="nil"/>
              <w:bottom w:val="single" w:sz="4" w:space="0" w:color="auto"/>
              <w:right w:val="single" w:sz="4" w:space="0" w:color="auto"/>
            </w:tcBorders>
          </w:tcPr>
          <w:p w14:paraId="4FC90E4B" w14:textId="05B9C82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ED psychopathology, functional impairment, emotional distress, suicidality mental health service utilisation and BMI at baseline and consecutive follow-up. </w:t>
            </w:r>
          </w:p>
        </w:tc>
        <w:tc>
          <w:tcPr>
            <w:tcW w:w="709" w:type="dxa"/>
            <w:tcBorders>
              <w:top w:val="single" w:sz="4" w:space="0" w:color="auto"/>
              <w:left w:val="nil"/>
              <w:bottom w:val="single" w:sz="4" w:space="0" w:color="auto"/>
              <w:right w:val="single" w:sz="4" w:space="0" w:color="auto"/>
            </w:tcBorders>
          </w:tcPr>
          <w:p w14:paraId="49B6F852" w14:textId="2C8586FA" w:rsidR="00553D21" w:rsidRPr="005016A5" w:rsidRDefault="00AB61C1"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27</w:t>
            </w:r>
          </w:p>
        </w:tc>
      </w:tr>
      <w:tr w:rsidR="00553D21" w:rsidRPr="005016A5" w14:paraId="4FFDD4F1" w14:textId="5E10E6FD" w:rsidTr="0002675A">
        <w:trPr>
          <w:trHeight w:val="601"/>
        </w:trPr>
        <w:tc>
          <w:tcPr>
            <w:tcW w:w="1268" w:type="dxa"/>
            <w:noWrap/>
          </w:tcPr>
          <w:p w14:paraId="0B1F05AB" w14:textId="4340DB55"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Stice</w:t>
            </w:r>
            <w:proofErr w:type="spellEnd"/>
            <w:r w:rsidRPr="005016A5">
              <w:rPr>
                <w:rFonts w:ascii="Times New Roman" w:eastAsia="Times New Roman" w:hAnsi="Times New Roman" w:cs="Times New Roman"/>
                <w:color w:val="000000"/>
                <w:sz w:val="21"/>
                <w:szCs w:val="21"/>
                <w:lang w:eastAsia="en-GB"/>
              </w:rPr>
              <w:t xml:space="preserve"> et al., 2009</w:t>
            </w:r>
          </w:p>
        </w:tc>
        <w:tc>
          <w:tcPr>
            <w:tcW w:w="1279" w:type="dxa"/>
          </w:tcPr>
          <w:p w14:paraId="402935FB" w14:textId="3D07556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0808B541" w14:textId="1F9836B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Community (Adolescents, Females)</w:t>
            </w:r>
          </w:p>
        </w:tc>
        <w:tc>
          <w:tcPr>
            <w:tcW w:w="710" w:type="dxa"/>
          </w:tcPr>
          <w:p w14:paraId="4702CF97"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1A9816A3" w14:textId="0A3DC5BF" w:rsidR="00553D21" w:rsidRPr="005016A5" w:rsidRDefault="000E663F"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496</w:t>
            </w:r>
          </w:p>
        </w:tc>
        <w:tc>
          <w:tcPr>
            <w:tcW w:w="4820" w:type="dxa"/>
            <w:tcBorders>
              <w:top w:val="single" w:sz="4" w:space="0" w:color="auto"/>
              <w:left w:val="nil"/>
              <w:bottom w:val="single" w:sz="4" w:space="0" w:color="auto"/>
              <w:right w:val="nil"/>
            </w:tcBorders>
          </w:tcPr>
          <w:p w14:paraId="511E34A3" w14:textId="0CBBC598"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examine the (a) lifetime prevalence and incidence of threshold and subthreshold AN, BN, BED, and PD by age 20 years; (b) peak periods of risk for onset of these disorders; (c) duration and relapse rates for these eating disturbances; and (d) progression from subthreshold to threshold diagnoses of the same disorder and crossover from one eating disorder to another.</w:t>
            </w:r>
          </w:p>
        </w:tc>
        <w:tc>
          <w:tcPr>
            <w:tcW w:w="1559" w:type="dxa"/>
          </w:tcPr>
          <w:p w14:paraId="0ED629A2" w14:textId="0DC0A738"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(&gt;5yr)</w:t>
            </w:r>
          </w:p>
        </w:tc>
        <w:tc>
          <w:tcPr>
            <w:tcW w:w="2268" w:type="dxa"/>
            <w:tcBorders>
              <w:top w:val="single" w:sz="4" w:space="0" w:color="auto"/>
              <w:left w:val="nil"/>
              <w:bottom w:val="single" w:sz="4" w:space="0" w:color="auto"/>
              <w:right w:val="single" w:sz="4" w:space="0" w:color="auto"/>
            </w:tcBorders>
          </w:tcPr>
          <w:p w14:paraId="4907EC37" w14:textId="32DBD97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ED course and diagnostic crossover</w:t>
            </w:r>
          </w:p>
        </w:tc>
        <w:tc>
          <w:tcPr>
            <w:tcW w:w="709" w:type="dxa"/>
            <w:tcBorders>
              <w:top w:val="single" w:sz="4" w:space="0" w:color="auto"/>
              <w:left w:val="nil"/>
              <w:bottom w:val="single" w:sz="4" w:space="0" w:color="auto"/>
              <w:right w:val="single" w:sz="4" w:space="0" w:color="auto"/>
            </w:tcBorders>
          </w:tcPr>
          <w:p w14:paraId="263E64D3" w14:textId="3ADC528E" w:rsidR="00553D21" w:rsidRPr="005016A5" w:rsidRDefault="00F74B37"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33</w:t>
            </w:r>
          </w:p>
        </w:tc>
      </w:tr>
      <w:tr w:rsidR="00553D21" w:rsidRPr="005016A5" w14:paraId="6FE141D1" w14:textId="6550366E" w:rsidTr="0002675A">
        <w:trPr>
          <w:trHeight w:val="601"/>
        </w:trPr>
        <w:tc>
          <w:tcPr>
            <w:tcW w:w="1268" w:type="dxa"/>
            <w:noWrap/>
          </w:tcPr>
          <w:p w14:paraId="635022B2" w14:textId="3731DCE8"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Støving</w:t>
            </w:r>
            <w:proofErr w:type="spellEnd"/>
            <w:r w:rsidRPr="005016A5">
              <w:rPr>
                <w:rFonts w:ascii="Times New Roman" w:eastAsia="Times New Roman" w:hAnsi="Times New Roman" w:cs="Times New Roman"/>
                <w:color w:val="000000"/>
                <w:sz w:val="21"/>
                <w:szCs w:val="21"/>
                <w:lang w:eastAsia="en-GB"/>
              </w:rPr>
              <w:t xml:space="preserve"> et al., 2020</w:t>
            </w:r>
          </w:p>
        </w:tc>
        <w:tc>
          <w:tcPr>
            <w:tcW w:w="1279" w:type="dxa"/>
          </w:tcPr>
          <w:p w14:paraId="144FF915" w14:textId="0EF478BD"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Denmark</w:t>
            </w:r>
          </w:p>
        </w:tc>
        <w:tc>
          <w:tcPr>
            <w:tcW w:w="1700" w:type="dxa"/>
          </w:tcPr>
          <w:p w14:paraId="5B135C1D" w14:textId="576EC99E"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Inpatient and Outpatient (All Ages,</w:t>
            </w:r>
            <w:r w:rsidRPr="005016A5">
              <w:rPr>
                <w:rFonts w:ascii="Times New Roman" w:hAnsi="Times New Roman" w:cs="Times New Roman"/>
                <w:color w:val="000000"/>
                <w:sz w:val="21"/>
                <w:szCs w:val="21"/>
              </w:rPr>
              <w:t xml:space="preserve"> Both Sexes</w:t>
            </w:r>
            <w:r w:rsidRPr="005016A5">
              <w:rPr>
                <w:rFonts w:ascii="Times New Roman" w:eastAsia="Times New Roman" w:hAnsi="Times New Roman" w:cs="Times New Roman"/>
                <w:color w:val="000000"/>
                <w:sz w:val="21"/>
                <w:szCs w:val="21"/>
                <w:lang w:eastAsia="en-GB"/>
              </w:rPr>
              <w:t>)</w:t>
            </w:r>
          </w:p>
        </w:tc>
        <w:tc>
          <w:tcPr>
            <w:tcW w:w="710" w:type="dxa"/>
          </w:tcPr>
          <w:p w14:paraId="2FF73AC1"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4A254CE4" w14:textId="6B98CFB1" w:rsidR="00553D21" w:rsidRPr="005016A5" w:rsidRDefault="00CA4303"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7505</w:t>
            </w:r>
          </w:p>
        </w:tc>
        <w:tc>
          <w:tcPr>
            <w:tcW w:w="4820" w:type="dxa"/>
            <w:tcBorders>
              <w:top w:val="single" w:sz="4" w:space="0" w:color="auto"/>
              <w:left w:val="nil"/>
              <w:bottom w:val="single" w:sz="4" w:space="0" w:color="auto"/>
              <w:right w:val="nil"/>
            </w:tcBorders>
          </w:tcPr>
          <w:p w14:paraId="10C1BB4D" w14:textId="018443A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explore time-trends in treatment modes of patients with free and equal access to health services.</w:t>
            </w:r>
          </w:p>
        </w:tc>
        <w:tc>
          <w:tcPr>
            <w:tcW w:w="1559" w:type="dxa"/>
          </w:tcPr>
          <w:p w14:paraId="733B28A0" w14:textId="7B407729"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(&lt;5yr)</w:t>
            </w:r>
          </w:p>
        </w:tc>
        <w:tc>
          <w:tcPr>
            <w:tcW w:w="2268" w:type="dxa"/>
            <w:tcBorders>
              <w:top w:val="single" w:sz="4" w:space="0" w:color="auto"/>
              <w:left w:val="nil"/>
              <w:bottom w:val="single" w:sz="4" w:space="0" w:color="auto"/>
              <w:right w:val="single" w:sz="4" w:space="0" w:color="auto"/>
            </w:tcBorders>
          </w:tcPr>
          <w:p w14:paraId="3F92700C" w14:textId="73285D66"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Per patient number of hospital admissions, cumulated number of days of hospitalization and number of outpatient visits during the first 5 years after initial diagnosis.</w:t>
            </w:r>
          </w:p>
        </w:tc>
        <w:tc>
          <w:tcPr>
            <w:tcW w:w="709" w:type="dxa"/>
            <w:tcBorders>
              <w:top w:val="single" w:sz="4" w:space="0" w:color="auto"/>
              <w:left w:val="nil"/>
              <w:bottom w:val="single" w:sz="4" w:space="0" w:color="auto"/>
              <w:right w:val="single" w:sz="4" w:space="0" w:color="auto"/>
            </w:tcBorders>
          </w:tcPr>
          <w:p w14:paraId="7D1F07FE" w14:textId="1D44CE49" w:rsidR="00553D21" w:rsidRPr="005016A5" w:rsidRDefault="006C5462"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113</w:t>
            </w:r>
          </w:p>
        </w:tc>
      </w:tr>
      <w:tr w:rsidR="00553D21" w:rsidRPr="005016A5" w14:paraId="13F13136" w14:textId="2F9F4A5E" w:rsidTr="0002675A">
        <w:trPr>
          <w:trHeight w:val="601"/>
        </w:trPr>
        <w:tc>
          <w:tcPr>
            <w:tcW w:w="1268" w:type="dxa"/>
            <w:noWrap/>
          </w:tcPr>
          <w:p w14:paraId="2FA6D761" w14:textId="6E93F57B"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Strandjord</w:t>
            </w:r>
            <w:proofErr w:type="spellEnd"/>
            <w:r w:rsidRPr="005016A5">
              <w:rPr>
                <w:rFonts w:ascii="Times New Roman" w:eastAsia="Times New Roman" w:hAnsi="Times New Roman" w:cs="Times New Roman"/>
                <w:color w:val="000000"/>
                <w:sz w:val="21"/>
                <w:szCs w:val="21"/>
                <w:lang w:eastAsia="en-GB"/>
              </w:rPr>
              <w:t xml:space="preserve"> et al., 2015</w:t>
            </w:r>
          </w:p>
        </w:tc>
        <w:tc>
          <w:tcPr>
            <w:tcW w:w="1279" w:type="dxa"/>
          </w:tcPr>
          <w:p w14:paraId="2EA15FCF" w14:textId="078CBBA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7FE54B2E" w14:textId="626896F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Inpatient (Young People,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06091D07"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5D7AA733" w14:textId="5F27799E" w:rsidR="00553D21" w:rsidRPr="005016A5" w:rsidRDefault="001B3769"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244</w:t>
            </w:r>
          </w:p>
        </w:tc>
        <w:tc>
          <w:tcPr>
            <w:tcW w:w="4820" w:type="dxa"/>
            <w:tcBorders>
              <w:top w:val="single" w:sz="4" w:space="0" w:color="auto"/>
              <w:left w:val="nil"/>
              <w:bottom w:val="single" w:sz="4" w:space="0" w:color="auto"/>
              <w:right w:val="nil"/>
            </w:tcBorders>
          </w:tcPr>
          <w:p w14:paraId="1A8232C0" w14:textId="1FAD7BF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compare hospitalized ARFID and AN </w:t>
            </w:r>
            <w:proofErr w:type="gramStart"/>
            <w:r w:rsidRPr="005016A5">
              <w:rPr>
                <w:rFonts w:ascii="Times New Roman" w:eastAsia="Times New Roman" w:hAnsi="Times New Roman" w:cs="Times New Roman"/>
                <w:color w:val="000000"/>
                <w:sz w:val="21"/>
                <w:szCs w:val="21"/>
                <w:lang w:eastAsia="en-GB"/>
              </w:rPr>
              <w:t>patients</w:t>
            </w:r>
            <w:proofErr w:type="gramEnd"/>
            <w:r w:rsidRPr="005016A5">
              <w:rPr>
                <w:rFonts w:ascii="Times New Roman" w:eastAsia="Times New Roman" w:hAnsi="Times New Roman" w:cs="Times New Roman"/>
                <w:color w:val="000000"/>
                <w:sz w:val="21"/>
                <w:szCs w:val="21"/>
                <w:lang w:eastAsia="en-GB"/>
              </w:rPr>
              <w:t xml:space="preserve"> at presentation, during hospitalization, and 1 year after discharge.</w:t>
            </w:r>
          </w:p>
        </w:tc>
        <w:tc>
          <w:tcPr>
            <w:tcW w:w="1559" w:type="dxa"/>
          </w:tcPr>
          <w:p w14:paraId="0FE1C027" w14:textId="141F7122"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Review (Other)</w:t>
            </w:r>
          </w:p>
        </w:tc>
        <w:tc>
          <w:tcPr>
            <w:tcW w:w="2268" w:type="dxa"/>
            <w:tcBorders>
              <w:top w:val="single" w:sz="4" w:space="0" w:color="auto"/>
              <w:left w:val="nil"/>
              <w:bottom w:val="single" w:sz="4" w:space="0" w:color="auto"/>
              <w:right w:val="single" w:sz="4" w:space="0" w:color="auto"/>
            </w:tcBorders>
          </w:tcPr>
          <w:p w14:paraId="629547D2" w14:textId="1543DF5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Remission</w:t>
            </w:r>
          </w:p>
        </w:tc>
        <w:tc>
          <w:tcPr>
            <w:tcW w:w="709" w:type="dxa"/>
            <w:tcBorders>
              <w:top w:val="single" w:sz="4" w:space="0" w:color="auto"/>
              <w:left w:val="nil"/>
              <w:bottom w:val="single" w:sz="4" w:space="0" w:color="auto"/>
              <w:right w:val="single" w:sz="4" w:space="0" w:color="auto"/>
            </w:tcBorders>
          </w:tcPr>
          <w:p w14:paraId="5C5EC4B3" w14:textId="67350918" w:rsidR="00553D21" w:rsidRPr="005016A5" w:rsidRDefault="00CE4132"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25</w:t>
            </w:r>
          </w:p>
        </w:tc>
      </w:tr>
      <w:tr w:rsidR="00553D21" w:rsidRPr="005016A5" w14:paraId="529DC781" w14:textId="4974C664" w:rsidTr="0002675A">
        <w:trPr>
          <w:trHeight w:val="601"/>
        </w:trPr>
        <w:tc>
          <w:tcPr>
            <w:tcW w:w="1268" w:type="dxa"/>
            <w:noWrap/>
          </w:tcPr>
          <w:p w14:paraId="26F9AA01" w14:textId="45A3352A"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Tasca</w:t>
            </w:r>
            <w:proofErr w:type="spellEnd"/>
            <w:r w:rsidRPr="005016A5">
              <w:rPr>
                <w:rFonts w:ascii="Times New Roman" w:eastAsia="Times New Roman" w:hAnsi="Times New Roman" w:cs="Times New Roman"/>
                <w:color w:val="000000"/>
                <w:sz w:val="21"/>
                <w:szCs w:val="21"/>
                <w:lang w:eastAsia="en-GB"/>
              </w:rPr>
              <w:t xml:space="preserve"> et al., 2012</w:t>
            </w:r>
          </w:p>
        </w:tc>
        <w:tc>
          <w:tcPr>
            <w:tcW w:w="1279" w:type="dxa"/>
          </w:tcPr>
          <w:p w14:paraId="52FBA37B" w14:textId="213B741C"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Canada</w:t>
            </w:r>
          </w:p>
        </w:tc>
        <w:tc>
          <w:tcPr>
            <w:tcW w:w="1700" w:type="dxa"/>
          </w:tcPr>
          <w:p w14:paraId="1ABB8B97" w14:textId="45184C0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Inpatient and Outpatient (All Ages,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7E12951C"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0D4423C0" w14:textId="39256E65" w:rsidR="00553D21" w:rsidRPr="005016A5" w:rsidRDefault="00BE3A02"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837</w:t>
            </w:r>
          </w:p>
        </w:tc>
        <w:tc>
          <w:tcPr>
            <w:tcW w:w="4820" w:type="dxa"/>
            <w:tcBorders>
              <w:top w:val="single" w:sz="4" w:space="0" w:color="auto"/>
              <w:left w:val="nil"/>
              <w:bottom w:val="single" w:sz="4" w:space="0" w:color="auto"/>
              <w:right w:val="nil"/>
            </w:tcBorders>
          </w:tcPr>
          <w:p w14:paraId="27E6D488" w14:textId="6C22C74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characterise a tertiary care treatment-seeking sample and assess post-treatment remission and completion rates for purging disorder (PD).</w:t>
            </w:r>
          </w:p>
        </w:tc>
        <w:tc>
          <w:tcPr>
            <w:tcW w:w="1559" w:type="dxa"/>
          </w:tcPr>
          <w:p w14:paraId="5D74337B" w14:textId="1F735802"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Cross-sectional cohort study</w:t>
            </w:r>
          </w:p>
        </w:tc>
        <w:tc>
          <w:tcPr>
            <w:tcW w:w="2268" w:type="dxa"/>
            <w:tcBorders>
              <w:top w:val="single" w:sz="4" w:space="0" w:color="auto"/>
              <w:left w:val="nil"/>
              <w:bottom w:val="single" w:sz="4" w:space="0" w:color="auto"/>
              <w:right w:val="single" w:sz="4" w:space="0" w:color="auto"/>
            </w:tcBorders>
          </w:tcPr>
          <w:p w14:paraId="4DE7D9DD" w14:textId="270415BA"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Eating disorder-specific and general psychopathology; post treatment remission and completion</w:t>
            </w:r>
          </w:p>
        </w:tc>
        <w:tc>
          <w:tcPr>
            <w:tcW w:w="709" w:type="dxa"/>
            <w:tcBorders>
              <w:top w:val="single" w:sz="4" w:space="0" w:color="auto"/>
              <w:left w:val="nil"/>
              <w:bottom w:val="single" w:sz="4" w:space="0" w:color="auto"/>
              <w:right w:val="single" w:sz="4" w:space="0" w:color="auto"/>
            </w:tcBorders>
          </w:tcPr>
          <w:p w14:paraId="29AEED28" w14:textId="579A46A9" w:rsidR="00553D21" w:rsidRPr="005016A5" w:rsidRDefault="0032685D"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9</w:t>
            </w:r>
            <w:r w:rsidR="00553D21" w:rsidRPr="005016A5">
              <w:rPr>
                <w:rFonts w:ascii="Times New Roman" w:eastAsia="Times New Roman" w:hAnsi="Times New Roman" w:cs="Times New Roman"/>
                <w:color w:val="000000"/>
                <w:sz w:val="21"/>
                <w:szCs w:val="21"/>
                <w:lang w:eastAsia="en-GB"/>
              </w:rPr>
              <w:t>1</w:t>
            </w:r>
          </w:p>
        </w:tc>
      </w:tr>
      <w:tr w:rsidR="00553D21" w:rsidRPr="005016A5" w14:paraId="059737CD" w14:textId="39AABF14" w:rsidTr="0002675A">
        <w:trPr>
          <w:trHeight w:val="601"/>
        </w:trPr>
        <w:tc>
          <w:tcPr>
            <w:tcW w:w="1268" w:type="dxa"/>
            <w:noWrap/>
          </w:tcPr>
          <w:p w14:paraId="09FB8000" w14:textId="62C2419B"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Thompson-Brenner et al., 2021</w:t>
            </w:r>
          </w:p>
        </w:tc>
        <w:tc>
          <w:tcPr>
            <w:tcW w:w="1279" w:type="dxa"/>
          </w:tcPr>
          <w:p w14:paraId="106A3534" w14:textId="37F3303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5587BE04" w14:textId="49792481"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Inpatient (All Ages, Gender not reported)</w:t>
            </w:r>
          </w:p>
        </w:tc>
        <w:tc>
          <w:tcPr>
            <w:tcW w:w="710" w:type="dxa"/>
          </w:tcPr>
          <w:p w14:paraId="61C15D44"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4EEF99EE" w14:textId="21E79E75" w:rsidR="00553D21" w:rsidRPr="005016A5" w:rsidRDefault="003D5B33"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345</w:t>
            </w:r>
          </w:p>
        </w:tc>
        <w:tc>
          <w:tcPr>
            <w:tcW w:w="4820" w:type="dxa"/>
            <w:tcBorders>
              <w:top w:val="single" w:sz="4" w:space="0" w:color="auto"/>
              <w:left w:val="nil"/>
              <w:bottom w:val="single" w:sz="4" w:space="0" w:color="auto"/>
              <w:right w:val="nil"/>
            </w:tcBorders>
          </w:tcPr>
          <w:p w14:paraId="53918D26" w14:textId="1B88173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examine the effect of the Renfrew Unified Treatment for ED and Comorbidity (UT) implementation across five years of treatment delivery.</w:t>
            </w:r>
          </w:p>
        </w:tc>
        <w:tc>
          <w:tcPr>
            <w:tcW w:w="1559" w:type="dxa"/>
          </w:tcPr>
          <w:p w14:paraId="11E0C1A6" w14:textId="3B09E649"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RCT</w:t>
            </w:r>
          </w:p>
        </w:tc>
        <w:tc>
          <w:tcPr>
            <w:tcW w:w="2268" w:type="dxa"/>
            <w:tcBorders>
              <w:top w:val="single" w:sz="4" w:space="0" w:color="auto"/>
              <w:left w:val="nil"/>
              <w:bottom w:val="single" w:sz="4" w:space="0" w:color="auto"/>
              <w:right w:val="single" w:sz="4" w:space="0" w:color="auto"/>
            </w:tcBorders>
          </w:tcPr>
          <w:p w14:paraId="7671C4C9" w14:textId="05D4422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ED symptom severity (using EDE-Q), Depressive symptoms, experiential avoidance, anxiety sensitivity, clinical diagnosis</w:t>
            </w:r>
          </w:p>
        </w:tc>
        <w:tc>
          <w:tcPr>
            <w:tcW w:w="709" w:type="dxa"/>
            <w:tcBorders>
              <w:top w:val="single" w:sz="4" w:space="0" w:color="auto"/>
              <w:left w:val="nil"/>
              <w:bottom w:val="single" w:sz="4" w:space="0" w:color="auto"/>
              <w:right w:val="single" w:sz="4" w:space="0" w:color="auto"/>
            </w:tcBorders>
          </w:tcPr>
          <w:p w14:paraId="632AC378" w14:textId="54D2A5DA" w:rsidR="00553D21" w:rsidRPr="005016A5" w:rsidRDefault="008A2619"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117</w:t>
            </w:r>
          </w:p>
        </w:tc>
      </w:tr>
      <w:tr w:rsidR="00553D21" w:rsidRPr="005016A5" w14:paraId="6D862E52" w14:textId="61D2BD9E" w:rsidTr="0002675A">
        <w:trPr>
          <w:trHeight w:val="601"/>
        </w:trPr>
        <w:tc>
          <w:tcPr>
            <w:tcW w:w="1268" w:type="dxa"/>
            <w:noWrap/>
          </w:tcPr>
          <w:p w14:paraId="154472CA" w14:textId="3AFBB960"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Tomba</w:t>
            </w:r>
            <w:proofErr w:type="spellEnd"/>
            <w:r w:rsidRPr="005016A5">
              <w:rPr>
                <w:rFonts w:ascii="Times New Roman" w:eastAsia="Times New Roman" w:hAnsi="Times New Roman" w:cs="Times New Roman"/>
                <w:color w:val="000000"/>
                <w:sz w:val="21"/>
                <w:szCs w:val="21"/>
                <w:lang w:eastAsia="en-GB"/>
              </w:rPr>
              <w:t xml:space="preserve"> et al., 2017</w:t>
            </w:r>
          </w:p>
        </w:tc>
        <w:tc>
          <w:tcPr>
            <w:tcW w:w="1279" w:type="dxa"/>
          </w:tcPr>
          <w:p w14:paraId="7DF47583" w14:textId="66036978"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Italy</w:t>
            </w:r>
          </w:p>
        </w:tc>
        <w:tc>
          <w:tcPr>
            <w:tcW w:w="1700" w:type="dxa"/>
          </w:tcPr>
          <w:p w14:paraId="264D2365" w14:textId="3F6E793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Outpatient (Adult, Females)</w:t>
            </w:r>
          </w:p>
        </w:tc>
        <w:tc>
          <w:tcPr>
            <w:tcW w:w="710" w:type="dxa"/>
          </w:tcPr>
          <w:p w14:paraId="37B4FB0D"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603AB0C2" w14:textId="0D198598" w:rsidR="00553D21" w:rsidRPr="005016A5" w:rsidRDefault="000475C5"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185</w:t>
            </w:r>
          </w:p>
        </w:tc>
        <w:tc>
          <w:tcPr>
            <w:tcW w:w="4820" w:type="dxa"/>
            <w:tcBorders>
              <w:top w:val="single" w:sz="4" w:space="0" w:color="auto"/>
              <w:left w:val="nil"/>
              <w:bottom w:val="single" w:sz="4" w:space="0" w:color="auto"/>
              <w:right w:val="nil"/>
            </w:tcBorders>
          </w:tcPr>
          <w:p w14:paraId="78539675" w14:textId="2740138C"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examine whether dimensions of psychological well-being in ED out-patients change after CBT-based and nutritional rehabilitation treatment and whether </w:t>
            </w:r>
            <w:r w:rsidRPr="005016A5">
              <w:rPr>
                <w:rFonts w:ascii="Times New Roman" w:eastAsia="Times New Roman" w:hAnsi="Times New Roman" w:cs="Times New Roman"/>
                <w:color w:val="000000"/>
                <w:sz w:val="21"/>
                <w:szCs w:val="21"/>
                <w:lang w:eastAsia="en-GB"/>
              </w:rPr>
              <w:lastRenderedPageBreak/>
              <w:t>any observed gains in remitted patients reach optimal levels found in matched healthy controls.</w:t>
            </w:r>
          </w:p>
        </w:tc>
        <w:tc>
          <w:tcPr>
            <w:tcW w:w="1559" w:type="dxa"/>
          </w:tcPr>
          <w:p w14:paraId="39BFEC42" w14:textId="681FF5DE"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lastRenderedPageBreak/>
              <w:t>Quasi-experimental (intervention)</w:t>
            </w:r>
          </w:p>
        </w:tc>
        <w:tc>
          <w:tcPr>
            <w:tcW w:w="2268" w:type="dxa"/>
            <w:tcBorders>
              <w:top w:val="single" w:sz="4" w:space="0" w:color="auto"/>
              <w:left w:val="nil"/>
              <w:bottom w:val="single" w:sz="4" w:space="0" w:color="auto"/>
              <w:right w:val="single" w:sz="4" w:space="0" w:color="auto"/>
            </w:tcBorders>
          </w:tcPr>
          <w:p w14:paraId="12D76D3B" w14:textId="2D283B84"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Psychological well-being</w:t>
            </w:r>
          </w:p>
        </w:tc>
        <w:tc>
          <w:tcPr>
            <w:tcW w:w="709" w:type="dxa"/>
            <w:tcBorders>
              <w:top w:val="single" w:sz="4" w:space="0" w:color="auto"/>
              <w:left w:val="nil"/>
              <w:bottom w:val="single" w:sz="4" w:space="0" w:color="auto"/>
              <w:right w:val="single" w:sz="4" w:space="0" w:color="auto"/>
            </w:tcBorders>
          </w:tcPr>
          <w:p w14:paraId="347A6322" w14:textId="52C68EAB" w:rsidR="00553D21" w:rsidRPr="005016A5" w:rsidRDefault="00726B7C"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43</w:t>
            </w:r>
          </w:p>
        </w:tc>
      </w:tr>
      <w:tr w:rsidR="00553D21" w:rsidRPr="005016A5" w14:paraId="0A6F2DBE" w14:textId="6736A195" w:rsidTr="0002675A">
        <w:trPr>
          <w:trHeight w:val="601"/>
        </w:trPr>
        <w:tc>
          <w:tcPr>
            <w:tcW w:w="1268" w:type="dxa"/>
            <w:noWrap/>
          </w:tcPr>
          <w:p w14:paraId="4FAC0157" w14:textId="5716E1D6"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Villa</w:t>
            </w:r>
            <w:r w:rsidR="00BA6F71" w:rsidRPr="005016A5">
              <w:rPr>
                <w:rFonts w:ascii="Times New Roman" w:eastAsia="Times New Roman" w:hAnsi="Times New Roman" w:cs="Times New Roman"/>
                <w:color w:val="000000"/>
                <w:sz w:val="21"/>
                <w:szCs w:val="21"/>
                <w:lang w:eastAsia="en-GB"/>
              </w:rPr>
              <w:t>r</w:t>
            </w:r>
            <w:r w:rsidRPr="005016A5">
              <w:rPr>
                <w:rFonts w:ascii="Times New Roman" w:eastAsia="Times New Roman" w:hAnsi="Times New Roman" w:cs="Times New Roman"/>
                <w:color w:val="000000"/>
                <w:sz w:val="21"/>
                <w:szCs w:val="21"/>
                <w:lang w:eastAsia="en-GB"/>
              </w:rPr>
              <w:t>e</w:t>
            </w:r>
            <w:r w:rsidR="00BA6F71" w:rsidRPr="005016A5">
              <w:rPr>
                <w:rFonts w:ascii="Times New Roman" w:eastAsia="Times New Roman" w:hAnsi="Times New Roman" w:cs="Times New Roman"/>
                <w:color w:val="000000"/>
                <w:sz w:val="21"/>
                <w:szCs w:val="21"/>
                <w:lang w:eastAsia="en-GB"/>
              </w:rPr>
              <w:t>j</w:t>
            </w:r>
            <w:r w:rsidRPr="005016A5">
              <w:rPr>
                <w:rFonts w:ascii="Times New Roman" w:eastAsia="Times New Roman" w:hAnsi="Times New Roman" w:cs="Times New Roman"/>
                <w:color w:val="000000"/>
                <w:sz w:val="21"/>
                <w:szCs w:val="21"/>
                <w:lang w:eastAsia="en-GB"/>
              </w:rPr>
              <w:t>o</w:t>
            </w:r>
            <w:proofErr w:type="spellEnd"/>
            <w:r w:rsidRPr="005016A5">
              <w:rPr>
                <w:rFonts w:ascii="Times New Roman" w:eastAsia="Times New Roman" w:hAnsi="Times New Roman" w:cs="Times New Roman"/>
                <w:color w:val="000000"/>
                <w:sz w:val="21"/>
                <w:szCs w:val="21"/>
                <w:lang w:eastAsia="en-GB"/>
              </w:rPr>
              <w:t xml:space="preserve"> et al., 2012</w:t>
            </w:r>
          </w:p>
        </w:tc>
        <w:tc>
          <w:tcPr>
            <w:tcW w:w="1279" w:type="dxa"/>
          </w:tcPr>
          <w:p w14:paraId="14BC42B2" w14:textId="3E5A22B1"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Spain</w:t>
            </w:r>
          </w:p>
        </w:tc>
        <w:tc>
          <w:tcPr>
            <w:tcW w:w="1700" w:type="dxa"/>
          </w:tcPr>
          <w:p w14:paraId="15576336" w14:textId="7B15D1F6"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Inpatient (Adult, Females)</w:t>
            </w:r>
          </w:p>
        </w:tc>
        <w:tc>
          <w:tcPr>
            <w:tcW w:w="710" w:type="dxa"/>
          </w:tcPr>
          <w:p w14:paraId="642EBDA2"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21F1BCF7" w14:textId="11457B8E" w:rsidR="00553D21" w:rsidRPr="005016A5" w:rsidRDefault="00BF7504"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1383</w:t>
            </w:r>
          </w:p>
        </w:tc>
        <w:tc>
          <w:tcPr>
            <w:tcW w:w="4820" w:type="dxa"/>
            <w:tcBorders>
              <w:top w:val="single" w:sz="4" w:space="0" w:color="auto"/>
              <w:left w:val="nil"/>
              <w:bottom w:val="single" w:sz="4" w:space="0" w:color="auto"/>
              <w:right w:val="nil"/>
            </w:tcBorders>
          </w:tcPr>
          <w:p w14:paraId="5485B91A" w14:textId="50FA007E"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examine the lifetime prevalence of obesity rate in eating disorders (ED) subtypes and to examine whether there have been temporal changes among the last 10 years and to explore clinical differences between ED with and without lifetime obesity.</w:t>
            </w:r>
          </w:p>
        </w:tc>
        <w:tc>
          <w:tcPr>
            <w:tcW w:w="1559" w:type="dxa"/>
          </w:tcPr>
          <w:p w14:paraId="291AF3E9" w14:textId="3142E30D"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Retrospective cohort study</w:t>
            </w:r>
          </w:p>
        </w:tc>
        <w:tc>
          <w:tcPr>
            <w:tcW w:w="2268" w:type="dxa"/>
            <w:tcBorders>
              <w:top w:val="single" w:sz="4" w:space="0" w:color="auto"/>
              <w:left w:val="nil"/>
              <w:bottom w:val="single" w:sz="4" w:space="0" w:color="auto"/>
              <w:right w:val="single" w:sz="4" w:space="0" w:color="auto"/>
            </w:tcBorders>
          </w:tcPr>
          <w:p w14:paraId="0A0C06D7" w14:textId="6E0D2D4E"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Lifetime presence of obesity; ED symptoms, general </w:t>
            </w:r>
            <w:proofErr w:type="gramStart"/>
            <w:r w:rsidRPr="005016A5">
              <w:rPr>
                <w:rFonts w:ascii="Times New Roman" w:eastAsia="Times New Roman" w:hAnsi="Times New Roman" w:cs="Times New Roman"/>
                <w:color w:val="000000"/>
                <w:sz w:val="21"/>
                <w:szCs w:val="21"/>
                <w:lang w:eastAsia="en-GB"/>
              </w:rPr>
              <w:t>psychopathology</w:t>
            </w:r>
            <w:proofErr w:type="gramEnd"/>
            <w:r w:rsidRPr="005016A5">
              <w:rPr>
                <w:rFonts w:ascii="Times New Roman" w:eastAsia="Times New Roman" w:hAnsi="Times New Roman" w:cs="Times New Roman"/>
                <w:color w:val="000000"/>
                <w:sz w:val="21"/>
                <w:szCs w:val="21"/>
                <w:lang w:eastAsia="en-GB"/>
              </w:rPr>
              <w:t xml:space="preserve"> and personality. </w:t>
            </w:r>
          </w:p>
        </w:tc>
        <w:tc>
          <w:tcPr>
            <w:tcW w:w="709" w:type="dxa"/>
            <w:tcBorders>
              <w:top w:val="single" w:sz="4" w:space="0" w:color="auto"/>
              <w:left w:val="nil"/>
              <w:bottom w:val="single" w:sz="4" w:space="0" w:color="auto"/>
              <w:right w:val="single" w:sz="4" w:space="0" w:color="auto"/>
            </w:tcBorders>
          </w:tcPr>
          <w:p w14:paraId="2FB66840" w14:textId="3A991615" w:rsidR="00553D21" w:rsidRPr="005016A5" w:rsidRDefault="00A23792"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81</w:t>
            </w:r>
          </w:p>
        </w:tc>
      </w:tr>
      <w:tr w:rsidR="00553D21" w:rsidRPr="005016A5" w14:paraId="0C712B65" w14:textId="433D2A01" w:rsidTr="0002675A">
        <w:trPr>
          <w:trHeight w:val="601"/>
        </w:trPr>
        <w:tc>
          <w:tcPr>
            <w:tcW w:w="1268" w:type="dxa"/>
            <w:noWrap/>
          </w:tcPr>
          <w:p w14:paraId="1AFD10EA" w14:textId="0A900366"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Wadden</w:t>
            </w:r>
            <w:proofErr w:type="spellEnd"/>
            <w:r w:rsidRPr="005016A5">
              <w:rPr>
                <w:rFonts w:ascii="Times New Roman" w:eastAsia="Times New Roman" w:hAnsi="Times New Roman" w:cs="Times New Roman"/>
                <w:color w:val="000000"/>
                <w:sz w:val="21"/>
                <w:szCs w:val="21"/>
                <w:lang w:eastAsia="en-GB"/>
              </w:rPr>
              <w:t xml:space="preserve"> et al., 2011</w:t>
            </w:r>
          </w:p>
        </w:tc>
        <w:tc>
          <w:tcPr>
            <w:tcW w:w="1279" w:type="dxa"/>
          </w:tcPr>
          <w:p w14:paraId="797EA5CA" w14:textId="36CB7FD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0AAB2CD9" w14:textId="3954E07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Community (Adult,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2F342171"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0A99C985" w14:textId="6D35649F" w:rsidR="00553D21" w:rsidRPr="005016A5" w:rsidRDefault="003164C9"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59</w:t>
            </w:r>
          </w:p>
        </w:tc>
        <w:tc>
          <w:tcPr>
            <w:tcW w:w="4820" w:type="dxa"/>
            <w:tcBorders>
              <w:top w:val="single" w:sz="4" w:space="0" w:color="auto"/>
              <w:left w:val="nil"/>
              <w:bottom w:val="single" w:sz="4" w:space="0" w:color="auto"/>
              <w:right w:val="nil"/>
            </w:tcBorders>
          </w:tcPr>
          <w:p w14:paraId="63E43B0D" w14:textId="143D315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determine whether bariatric surgery candidates who were diagnosed with BED would lose significantly less weight 1-year post-surgery than would patients who were free of this condition.</w:t>
            </w:r>
          </w:p>
        </w:tc>
        <w:tc>
          <w:tcPr>
            <w:tcW w:w="1559" w:type="dxa"/>
          </w:tcPr>
          <w:p w14:paraId="45BA40BB" w14:textId="7DC9F261"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(&lt;5yr)</w:t>
            </w:r>
          </w:p>
        </w:tc>
        <w:tc>
          <w:tcPr>
            <w:tcW w:w="2268" w:type="dxa"/>
            <w:tcBorders>
              <w:top w:val="single" w:sz="4" w:space="0" w:color="auto"/>
              <w:left w:val="nil"/>
              <w:bottom w:val="single" w:sz="4" w:space="0" w:color="auto"/>
              <w:right w:val="single" w:sz="4" w:space="0" w:color="auto"/>
            </w:tcBorders>
          </w:tcPr>
          <w:p w14:paraId="15522C10" w14:textId="47646AAD"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Body weight, frequency of binge eating and cardiovascular disease risk.</w:t>
            </w:r>
          </w:p>
        </w:tc>
        <w:tc>
          <w:tcPr>
            <w:tcW w:w="709" w:type="dxa"/>
            <w:tcBorders>
              <w:top w:val="single" w:sz="4" w:space="0" w:color="auto"/>
              <w:left w:val="nil"/>
              <w:bottom w:val="single" w:sz="4" w:space="0" w:color="auto"/>
              <w:right w:val="single" w:sz="4" w:space="0" w:color="auto"/>
            </w:tcBorders>
          </w:tcPr>
          <w:p w14:paraId="6D78082A" w14:textId="391EBBA1" w:rsidR="00553D21" w:rsidRPr="005016A5" w:rsidRDefault="00CA626D"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87</w:t>
            </w:r>
          </w:p>
        </w:tc>
      </w:tr>
      <w:tr w:rsidR="00553D21" w:rsidRPr="005016A5" w14:paraId="462556FF" w14:textId="73FCD0AD" w:rsidTr="0002675A">
        <w:trPr>
          <w:trHeight w:val="601"/>
        </w:trPr>
        <w:tc>
          <w:tcPr>
            <w:tcW w:w="1268" w:type="dxa"/>
            <w:noWrap/>
          </w:tcPr>
          <w:p w14:paraId="6C9A8367" w14:textId="725D370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Wade et al., 2021 </w:t>
            </w:r>
          </w:p>
        </w:tc>
        <w:tc>
          <w:tcPr>
            <w:tcW w:w="1279" w:type="dxa"/>
          </w:tcPr>
          <w:p w14:paraId="7EAFEBB8" w14:textId="7D13F820"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UK</w:t>
            </w:r>
          </w:p>
        </w:tc>
        <w:tc>
          <w:tcPr>
            <w:tcW w:w="1700" w:type="dxa"/>
          </w:tcPr>
          <w:p w14:paraId="3DF2E1DD" w14:textId="0222F10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Outpatient (Adult, Gender not reported)</w:t>
            </w:r>
          </w:p>
        </w:tc>
        <w:tc>
          <w:tcPr>
            <w:tcW w:w="710" w:type="dxa"/>
          </w:tcPr>
          <w:p w14:paraId="3A79ECDA"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307B6286" w14:textId="7DD048D7" w:rsidR="00553D21" w:rsidRPr="005016A5" w:rsidRDefault="003E270C"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187</w:t>
            </w:r>
          </w:p>
        </w:tc>
        <w:tc>
          <w:tcPr>
            <w:tcW w:w="4820" w:type="dxa"/>
            <w:tcBorders>
              <w:top w:val="single" w:sz="4" w:space="0" w:color="auto"/>
              <w:left w:val="nil"/>
              <w:bottom w:val="single" w:sz="4" w:space="0" w:color="auto"/>
              <w:right w:val="nil"/>
            </w:tcBorders>
          </w:tcPr>
          <w:p w14:paraId="29CFA40B" w14:textId="76442CE6"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better understand those patients with anorexia nervosa who do not show early response to treatment and are likely to have poorer outcome.</w:t>
            </w:r>
          </w:p>
        </w:tc>
        <w:tc>
          <w:tcPr>
            <w:tcW w:w="1559" w:type="dxa"/>
          </w:tcPr>
          <w:p w14:paraId="1DD4FBC9" w14:textId="35049EF5"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Repeated Measure (with follow-up)</w:t>
            </w:r>
          </w:p>
        </w:tc>
        <w:tc>
          <w:tcPr>
            <w:tcW w:w="2268" w:type="dxa"/>
            <w:tcBorders>
              <w:top w:val="single" w:sz="4" w:space="0" w:color="auto"/>
              <w:left w:val="nil"/>
              <w:bottom w:val="single" w:sz="4" w:space="0" w:color="auto"/>
              <w:right w:val="single" w:sz="4" w:space="0" w:color="auto"/>
            </w:tcBorders>
          </w:tcPr>
          <w:p w14:paraId="0ECC13EE" w14:textId="0D52F35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ED psychopathology using EDE-Q, depression and anxiety symptomatology, functional impairment.</w:t>
            </w:r>
          </w:p>
        </w:tc>
        <w:tc>
          <w:tcPr>
            <w:tcW w:w="709" w:type="dxa"/>
            <w:tcBorders>
              <w:top w:val="single" w:sz="4" w:space="0" w:color="auto"/>
              <w:left w:val="nil"/>
              <w:bottom w:val="single" w:sz="4" w:space="0" w:color="auto"/>
              <w:right w:val="single" w:sz="4" w:space="0" w:color="auto"/>
            </w:tcBorders>
          </w:tcPr>
          <w:p w14:paraId="74742DF9" w14:textId="6054DF67" w:rsidR="00553D21" w:rsidRPr="005016A5" w:rsidRDefault="00B2097A"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47</w:t>
            </w:r>
          </w:p>
        </w:tc>
      </w:tr>
      <w:tr w:rsidR="00553D21" w:rsidRPr="005016A5" w14:paraId="2D06AF90" w14:textId="788E046B" w:rsidTr="0002675A">
        <w:trPr>
          <w:trHeight w:val="601"/>
        </w:trPr>
        <w:tc>
          <w:tcPr>
            <w:tcW w:w="1268" w:type="dxa"/>
            <w:noWrap/>
          </w:tcPr>
          <w:p w14:paraId="21873DB2" w14:textId="424D7438"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Walker et al., 2021</w:t>
            </w:r>
          </w:p>
        </w:tc>
        <w:tc>
          <w:tcPr>
            <w:tcW w:w="1279" w:type="dxa"/>
          </w:tcPr>
          <w:p w14:paraId="5C568CF6" w14:textId="7F7B432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USA</w:t>
            </w:r>
          </w:p>
        </w:tc>
        <w:tc>
          <w:tcPr>
            <w:tcW w:w="1700" w:type="dxa"/>
          </w:tcPr>
          <w:p w14:paraId="7F6A9527" w14:textId="0278BD74"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Outpatient (All Ages,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73A783DF"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78BBAF69" w14:textId="6D028E2F" w:rsidR="00553D21" w:rsidRPr="005016A5" w:rsidRDefault="004D28BD"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210</w:t>
            </w:r>
          </w:p>
        </w:tc>
        <w:tc>
          <w:tcPr>
            <w:tcW w:w="4820" w:type="dxa"/>
            <w:tcBorders>
              <w:top w:val="single" w:sz="4" w:space="0" w:color="auto"/>
              <w:left w:val="nil"/>
              <w:bottom w:val="single" w:sz="4" w:space="0" w:color="auto"/>
              <w:right w:val="nil"/>
            </w:tcBorders>
          </w:tcPr>
          <w:p w14:paraId="36E8E690" w14:textId="33A269A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replicate findings from randomized controlled research trials and inpatient samples, identifying treatment outcome predictors in a transdiagnostic ED IOP sample.</w:t>
            </w:r>
          </w:p>
        </w:tc>
        <w:tc>
          <w:tcPr>
            <w:tcW w:w="1559" w:type="dxa"/>
          </w:tcPr>
          <w:p w14:paraId="1FE203A6" w14:textId="747AD25E"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Repeated Measure (without follow-up)</w:t>
            </w:r>
          </w:p>
        </w:tc>
        <w:tc>
          <w:tcPr>
            <w:tcW w:w="2268" w:type="dxa"/>
            <w:tcBorders>
              <w:top w:val="single" w:sz="4" w:space="0" w:color="auto"/>
              <w:left w:val="nil"/>
              <w:bottom w:val="single" w:sz="4" w:space="0" w:color="auto"/>
              <w:right w:val="single" w:sz="4" w:space="0" w:color="auto"/>
            </w:tcBorders>
          </w:tcPr>
          <w:p w14:paraId="3CB2A8E8" w14:textId="26E55C15"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ED psychopathology; rapid response to treatment; individual, interpersonal, social, and overall well-being; and physical status.</w:t>
            </w:r>
          </w:p>
        </w:tc>
        <w:tc>
          <w:tcPr>
            <w:tcW w:w="709" w:type="dxa"/>
            <w:tcBorders>
              <w:top w:val="single" w:sz="4" w:space="0" w:color="auto"/>
              <w:left w:val="nil"/>
              <w:bottom w:val="single" w:sz="4" w:space="0" w:color="auto"/>
              <w:right w:val="single" w:sz="4" w:space="0" w:color="auto"/>
            </w:tcBorders>
          </w:tcPr>
          <w:p w14:paraId="0E1014B2" w14:textId="4A0AAB86" w:rsidR="00553D21" w:rsidRPr="005016A5" w:rsidRDefault="00C74A27"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37</w:t>
            </w:r>
          </w:p>
        </w:tc>
      </w:tr>
      <w:tr w:rsidR="00553D21" w:rsidRPr="005016A5" w14:paraId="12BE0FF6" w14:textId="7515FC57" w:rsidTr="0002675A">
        <w:trPr>
          <w:trHeight w:val="601"/>
        </w:trPr>
        <w:tc>
          <w:tcPr>
            <w:tcW w:w="1268" w:type="dxa"/>
            <w:noWrap/>
          </w:tcPr>
          <w:p w14:paraId="1ED05CEC" w14:textId="0622C333"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Wild et al., 2016</w:t>
            </w:r>
          </w:p>
        </w:tc>
        <w:tc>
          <w:tcPr>
            <w:tcW w:w="1279" w:type="dxa"/>
          </w:tcPr>
          <w:p w14:paraId="3A8992DD" w14:textId="7EA723A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Germany</w:t>
            </w:r>
          </w:p>
        </w:tc>
        <w:tc>
          <w:tcPr>
            <w:tcW w:w="1700" w:type="dxa"/>
          </w:tcPr>
          <w:p w14:paraId="4AD40CEA" w14:textId="25DC3D7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Outpatient (Adult, Females)</w:t>
            </w:r>
          </w:p>
        </w:tc>
        <w:tc>
          <w:tcPr>
            <w:tcW w:w="710" w:type="dxa"/>
          </w:tcPr>
          <w:p w14:paraId="592BA3E6"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27ABE2BF" w14:textId="7B7B1578" w:rsidR="00553D21" w:rsidRPr="005016A5" w:rsidRDefault="00853E89"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169</w:t>
            </w:r>
          </w:p>
        </w:tc>
        <w:tc>
          <w:tcPr>
            <w:tcW w:w="4820" w:type="dxa"/>
            <w:tcBorders>
              <w:top w:val="single" w:sz="4" w:space="0" w:color="auto"/>
              <w:left w:val="nil"/>
              <w:bottom w:val="single" w:sz="4" w:space="0" w:color="auto"/>
              <w:right w:val="nil"/>
            </w:tcBorders>
          </w:tcPr>
          <w:p w14:paraId="440044AD" w14:textId="6ACBCE07"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determine predictors of BMI and recovery for outpatients with anorexia nervosa (AN).</w:t>
            </w:r>
          </w:p>
        </w:tc>
        <w:tc>
          <w:tcPr>
            <w:tcW w:w="1559" w:type="dxa"/>
          </w:tcPr>
          <w:p w14:paraId="59576841" w14:textId="43FC7FF3"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RCT</w:t>
            </w:r>
          </w:p>
        </w:tc>
        <w:tc>
          <w:tcPr>
            <w:tcW w:w="2268" w:type="dxa"/>
            <w:tcBorders>
              <w:top w:val="single" w:sz="4" w:space="0" w:color="auto"/>
              <w:left w:val="nil"/>
              <w:bottom w:val="single" w:sz="4" w:space="0" w:color="auto"/>
              <w:right w:val="single" w:sz="4" w:space="0" w:color="auto"/>
            </w:tcBorders>
          </w:tcPr>
          <w:p w14:paraId="0947636D" w14:textId="48C5568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BMI, ED psychopathology, disorder severity, psychiatric comorbidity, </w:t>
            </w:r>
            <w:proofErr w:type="gramStart"/>
            <w:r w:rsidRPr="005016A5">
              <w:rPr>
                <w:rFonts w:ascii="Times New Roman" w:eastAsia="Times New Roman" w:hAnsi="Times New Roman" w:cs="Times New Roman"/>
                <w:color w:val="000000"/>
                <w:sz w:val="21"/>
                <w:szCs w:val="21"/>
                <w:lang w:eastAsia="en-GB"/>
              </w:rPr>
              <w:t>self-esteem</w:t>
            </w:r>
            <w:proofErr w:type="gramEnd"/>
            <w:r w:rsidRPr="005016A5">
              <w:rPr>
                <w:rFonts w:ascii="Times New Roman" w:eastAsia="Times New Roman" w:hAnsi="Times New Roman" w:cs="Times New Roman"/>
                <w:color w:val="000000"/>
                <w:sz w:val="21"/>
                <w:szCs w:val="21"/>
                <w:lang w:eastAsia="en-GB"/>
              </w:rPr>
              <w:t xml:space="preserve"> and health-related quality of life at 1-year follow-up</w:t>
            </w:r>
          </w:p>
        </w:tc>
        <w:tc>
          <w:tcPr>
            <w:tcW w:w="709" w:type="dxa"/>
            <w:tcBorders>
              <w:top w:val="single" w:sz="4" w:space="0" w:color="auto"/>
              <w:left w:val="nil"/>
              <w:bottom w:val="single" w:sz="4" w:space="0" w:color="auto"/>
              <w:right w:val="single" w:sz="4" w:space="0" w:color="auto"/>
            </w:tcBorders>
          </w:tcPr>
          <w:p w14:paraId="6BE59609" w14:textId="641B0B8D" w:rsidR="00553D21" w:rsidRPr="005016A5" w:rsidRDefault="00377B8C"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55</w:t>
            </w:r>
          </w:p>
        </w:tc>
      </w:tr>
      <w:tr w:rsidR="00553D21" w:rsidRPr="005016A5" w14:paraId="43073FAA" w14:textId="363FF7EB" w:rsidTr="0002675A">
        <w:trPr>
          <w:trHeight w:val="601"/>
        </w:trPr>
        <w:tc>
          <w:tcPr>
            <w:tcW w:w="1268" w:type="dxa"/>
            <w:noWrap/>
          </w:tcPr>
          <w:p w14:paraId="20770F29" w14:textId="55967826"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Winkler, 2017</w:t>
            </w:r>
          </w:p>
        </w:tc>
        <w:tc>
          <w:tcPr>
            <w:tcW w:w="1279" w:type="dxa"/>
          </w:tcPr>
          <w:p w14:paraId="128D539E" w14:textId="088C3F98"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Denmark</w:t>
            </w:r>
          </w:p>
        </w:tc>
        <w:tc>
          <w:tcPr>
            <w:tcW w:w="1700" w:type="dxa"/>
          </w:tcPr>
          <w:p w14:paraId="52CD7EF5" w14:textId="42080AB4"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Inpatient and Outpatient (All Ages,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1904C7B7" w14:textId="03790A26" w:rsidR="00553D21" w:rsidRPr="005016A5" w:rsidRDefault="00037A7B"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7</w:t>
            </w:r>
          </w:p>
        </w:tc>
        <w:tc>
          <w:tcPr>
            <w:tcW w:w="850" w:type="dxa"/>
          </w:tcPr>
          <w:p w14:paraId="4E8F95D5" w14:textId="341894C0" w:rsidR="00553D21" w:rsidRPr="005016A5" w:rsidRDefault="001E7110"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383</w:t>
            </w:r>
            <w:r w:rsidR="0073775D">
              <w:rPr>
                <w:rFonts w:ascii="Times New Roman" w:eastAsia="Times New Roman" w:hAnsi="Times New Roman" w:cs="Times New Roman"/>
                <w:color w:val="000000"/>
                <w:sz w:val="21"/>
                <w:szCs w:val="21"/>
                <w:lang w:eastAsia="en-GB"/>
              </w:rPr>
              <w:t>,</w:t>
            </w:r>
            <w:r w:rsidRPr="005016A5">
              <w:rPr>
                <w:rFonts w:ascii="Times New Roman" w:eastAsia="Times New Roman" w:hAnsi="Times New Roman" w:cs="Times New Roman"/>
                <w:color w:val="000000"/>
                <w:sz w:val="21"/>
                <w:szCs w:val="21"/>
                <w:lang w:eastAsia="en-GB"/>
              </w:rPr>
              <w:t xml:space="preserve"> </w:t>
            </w:r>
            <w:r w:rsidR="000B11DC" w:rsidRPr="005016A5">
              <w:rPr>
                <w:rFonts w:ascii="Times New Roman" w:eastAsia="Times New Roman" w:hAnsi="Times New Roman" w:cs="Times New Roman"/>
                <w:color w:val="000000"/>
                <w:sz w:val="21"/>
                <w:szCs w:val="21"/>
                <w:lang w:eastAsia="en-GB"/>
              </w:rPr>
              <w:t>998</w:t>
            </w:r>
            <w:r w:rsidR="0073775D">
              <w:rPr>
                <w:rFonts w:ascii="Times New Roman" w:eastAsia="Times New Roman" w:hAnsi="Times New Roman" w:cs="Times New Roman"/>
                <w:color w:val="000000"/>
                <w:sz w:val="21"/>
                <w:szCs w:val="21"/>
                <w:lang w:eastAsia="en-GB"/>
              </w:rPr>
              <w:t xml:space="preserve">, </w:t>
            </w:r>
            <w:r w:rsidR="008E2729" w:rsidRPr="005016A5">
              <w:rPr>
                <w:rFonts w:ascii="Times New Roman" w:eastAsia="Times New Roman" w:hAnsi="Times New Roman" w:cs="Times New Roman"/>
                <w:color w:val="000000"/>
                <w:sz w:val="21"/>
                <w:szCs w:val="21"/>
                <w:lang w:eastAsia="en-GB"/>
              </w:rPr>
              <w:t>113</w:t>
            </w:r>
          </w:p>
        </w:tc>
        <w:tc>
          <w:tcPr>
            <w:tcW w:w="4820" w:type="dxa"/>
            <w:tcBorders>
              <w:top w:val="single" w:sz="4" w:space="0" w:color="auto"/>
              <w:left w:val="nil"/>
              <w:bottom w:val="single" w:sz="4" w:space="0" w:color="auto"/>
              <w:right w:val="nil"/>
            </w:tcBorders>
          </w:tcPr>
          <w:p w14:paraId="308C5D70" w14:textId="2B614B3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report on and determine predictors of </w:t>
            </w:r>
            <w:proofErr w:type="spellStart"/>
            <w:r w:rsidRPr="005016A5">
              <w:rPr>
                <w:rFonts w:ascii="Times New Roman" w:eastAsia="Times New Roman" w:hAnsi="Times New Roman" w:cs="Times New Roman"/>
                <w:color w:val="000000"/>
                <w:sz w:val="21"/>
                <w:szCs w:val="21"/>
                <w:lang w:eastAsia="en-GB"/>
              </w:rPr>
              <w:t>HRQoL</w:t>
            </w:r>
            <w:proofErr w:type="spellEnd"/>
            <w:r w:rsidRPr="005016A5">
              <w:rPr>
                <w:rFonts w:ascii="Times New Roman" w:eastAsia="Times New Roman" w:hAnsi="Times New Roman" w:cs="Times New Roman"/>
                <w:color w:val="000000"/>
                <w:sz w:val="21"/>
                <w:szCs w:val="21"/>
                <w:lang w:eastAsia="en-GB"/>
              </w:rPr>
              <w:t xml:space="preserve"> in ED; to report ED pathology and determine predictors of clinical outcome; to evaluate the correlation between patient-reported outcome and clinical characteristics; to examine mortality rates; and to </w:t>
            </w:r>
            <w:r w:rsidRPr="005016A5">
              <w:rPr>
                <w:rFonts w:ascii="Times New Roman" w:eastAsia="Times New Roman" w:hAnsi="Times New Roman" w:cs="Times New Roman"/>
                <w:color w:val="000000"/>
                <w:sz w:val="21"/>
                <w:szCs w:val="21"/>
                <w:lang w:eastAsia="en-GB"/>
              </w:rPr>
              <w:lastRenderedPageBreak/>
              <w:t xml:space="preserve">investigate the association between body composition and menstrual status.  </w:t>
            </w:r>
          </w:p>
        </w:tc>
        <w:tc>
          <w:tcPr>
            <w:tcW w:w="1559" w:type="dxa"/>
          </w:tcPr>
          <w:p w14:paraId="13E962C3" w14:textId="67F2B174"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lastRenderedPageBreak/>
              <w:t>Cross sectional cohort study; meta-analysis; retrospective cohort study</w:t>
            </w:r>
          </w:p>
        </w:tc>
        <w:tc>
          <w:tcPr>
            <w:tcW w:w="2268" w:type="dxa"/>
            <w:tcBorders>
              <w:top w:val="single" w:sz="4" w:space="0" w:color="auto"/>
              <w:left w:val="nil"/>
              <w:bottom w:val="single" w:sz="4" w:space="0" w:color="auto"/>
              <w:right w:val="single" w:sz="4" w:space="0" w:color="auto"/>
            </w:tcBorders>
          </w:tcPr>
          <w:p w14:paraId="7B7E9AD8" w14:textId="648E981D"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HRQoL</w:t>
            </w:r>
            <w:proofErr w:type="spellEnd"/>
            <w:r w:rsidRPr="005016A5">
              <w:rPr>
                <w:rFonts w:ascii="Times New Roman" w:eastAsia="Times New Roman" w:hAnsi="Times New Roman" w:cs="Times New Roman"/>
                <w:color w:val="000000"/>
                <w:sz w:val="21"/>
                <w:szCs w:val="21"/>
                <w:lang w:eastAsia="en-GB"/>
              </w:rPr>
              <w:t>; EDI-2 symptom score; mortality; resumption of menses; body fat %; BMI.</w:t>
            </w:r>
          </w:p>
        </w:tc>
        <w:tc>
          <w:tcPr>
            <w:tcW w:w="709" w:type="dxa"/>
            <w:tcBorders>
              <w:top w:val="single" w:sz="4" w:space="0" w:color="auto"/>
              <w:left w:val="nil"/>
              <w:bottom w:val="single" w:sz="4" w:space="0" w:color="auto"/>
              <w:right w:val="single" w:sz="4" w:space="0" w:color="auto"/>
            </w:tcBorders>
          </w:tcPr>
          <w:p w14:paraId="210CC0FC" w14:textId="1E39F9A4" w:rsidR="00553D21" w:rsidRPr="005016A5" w:rsidRDefault="00A54919"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109</w:t>
            </w:r>
          </w:p>
        </w:tc>
      </w:tr>
      <w:tr w:rsidR="00553D21" w:rsidRPr="005016A5" w14:paraId="6E8B69D7" w14:textId="4B2CAD77" w:rsidTr="0002675A">
        <w:trPr>
          <w:trHeight w:val="601"/>
        </w:trPr>
        <w:tc>
          <w:tcPr>
            <w:tcW w:w="1268" w:type="dxa"/>
            <w:noWrap/>
          </w:tcPr>
          <w:p w14:paraId="08222584" w14:textId="04DB50E0"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eastAsia="Times New Roman" w:hAnsi="Times New Roman" w:cs="Times New Roman"/>
                <w:color w:val="000000"/>
                <w:sz w:val="21"/>
                <w:szCs w:val="21"/>
                <w:lang w:eastAsia="en-GB"/>
              </w:rPr>
              <w:t>Zerwas</w:t>
            </w:r>
            <w:proofErr w:type="spellEnd"/>
            <w:r w:rsidRPr="005016A5">
              <w:rPr>
                <w:rFonts w:ascii="Times New Roman" w:eastAsia="Times New Roman" w:hAnsi="Times New Roman" w:cs="Times New Roman"/>
                <w:color w:val="000000"/>
                <w:sz w:val="21"/>
                <w:szCs w:val="21"/>
                <w:lang w:eastAsia="en-GB"/>
              </w:rPr>
              <w:t xml:space="preserve"> et al., 2013</w:t>
            </w:r>
          </w:p>
        </w:tc>
        <w:tc>
          <w:tcPr>
            <w:tcW w:w="1279" w:type="dxa"/>
          </w:tcPr>
          <w:p w14:paraId="2105FABE" w14:textId="6CBA573F"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North America &amp; Europe</w:t>
            </w:r>
          </w:p>
        </w:tc>
        <w:tc>
          <w:tcPr>
            <w:tcW w:w="1700" w:type="dxa"/>
          </w:tcPr>
          <w:p w14:paraId="7D7110EE" w14:textId="00CE2569"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Inpatient and Outpatient (Aged &gt;13, Females)</w:t>
            </w:r>
          </w:p>
        </w:tc>
        <w:tc>
          <w:tcPr>
            <w:tcW w:w="710" w:type="dxa"/>
          </w:tcPr>
          <w:p w14:paraId="21D8985C" w14:textId="77777777" w:rsidR="00553D21" w:rsidRPr="005016A5" w:rsidRDefault="00553D21" w:rsidP="002775D4">
            <w:pPr>
              <w:rPr>
                <w:rFonts w:ascii="Times New Roman" w:eastAsia="Times New Roman" w:hAnsi="Times New Roman" w:cs="Times New Roman"/>
                <w:color w:val="000000"/>
                <w:sz w:val="21"/>
                <w:szCs w:val="21"/>
                <w:lang w:eastAsia="en-GB"/>
              </w:rPr>
            </w:pPr>
          </w:p>
        </w:tc>
        <w:tc>
          <w:tcPr>
            <w:tcW w:w="850" w:type="dxa"/>
          </w:tcPr>
          <w:p w14:paraId="28F1F349" w14:textId="7621DD12" w:rsidR="00553D21" w:rsidRPr="005016A5" w:rsidRDefault="004F0F20"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680</w:t>
            </w:r>
          </w:p>
        </w:tc>
        <w:tc>
          <w:tcPr>
            <w:tcW w:w="4820" w:type="dxa"/>
            <w:tcBorders>
              <w:top w:val="single" w:sz="4" w:space="0" w:color="auto"/>
              <w:left w:val="nil"/>
              <w:bottom w:val="single" w:sz="4" w:space="0" w:color="auto"/>
              <w:right w:val="nil"/>
            </w:tcBorders>
          </w:tcPr>
          <w:p w14:paraId="75A3665B" w14:textId="17977862"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examine the association between prognostic factors—eating disorder features, personality traits, and psychiatric comorbidity—and likelihood of recovery in a large sample of women with AN </w:t>
            </w:r>
          </w:p>
        </w:tc>
        <w:tc>
          <w:tcPr>
            <w:tcW w:w="1559" w:type="dxa"/>
          </w:tcPr>
          <w:p w14:paraId="189AA07B" w14:textId="1958FA17" w:rsidR="00553D21" w:rsidRPr="005016A5" w:rsidRDefault="00553D21" w:rsidP="002775D4">
            <w:pPr>
              <w:rPr>
                <w:rFonts w:ascii="Times New Roman" w:hAnsi="Times New Roman" w:cs="Times New Roman"/>
                <w:sz w:val="21"/>
                <w:szCs w:val="21"/>
              </w:rPr>
            </w:pPr>
            <w:r w:rsidRPr="005016A5">
              <w:rPr>
                <w:rFonts w:ascii="Times New Roman" w:eastAsia="Times New Roman" w:hAnsi="Times New Roman" w:cs="Times New Roman"/>
                <w:sz w:val="21"/>
                <w:szCs w:val="21"/>
                <w:lang w:eastAsia="en-GB"/>
              </w:rPr>
              <w:t>Longitudinal (&gt;5yr)</w:t>
            </w:r>
          </w:p>
        </w:tc>
        <w:tc>
          <w:tcPr>
            <w:tcW w:w="2268" w:type="dxa"/>
            <w:tcBorders>
              <w:top w:val="single" w:sz="4" w:space="0" w:color="auto"/>
              <w:left w:val="nil"/>
              <w:bottom w:val="single" w:sz="4" w:space="0" w:color="auto"/>
              <w:right w:val="single" w:sz="4" w:space="0" w:color="auto"/>
            </w:tcBorders>
          </w:tcPr>
          <w:p w14:paraId="7F0B460D" w14:textId="057F0A44" w:rsidR="00553D21" w:rsidRPr="005016A5" w:rsidRDefault="00553D21" w:rsidP="002775D4">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Full recovery from AN (at least one year with no symptoms)</w:t>
            </w:r>
          </w:p>
        </w:tc>
        <w:tc>
          <w:tcPr>
            <w:tcW w:w="709" w:type="dxa"/>
            <w:tcBorders>
              <w:top w:val="single" w:sz="4" w:space="0" w:color="auto"/>
              <w:left w:val="nil"/>
              <w:bottom w:val="single" w:sz="4" w:space="0" w:color="auto"/>
              <w:right w:val="single" w:sz="4" w:space="0" w:color="auto"/>
            </w:tcBorders>
          </w:tcPr>
          <w:p w14:paraId="41BCC156" w14:textId="00AE441B" w:rsidR="00553D21" w:rsidRPr="005016A5" w:rsidRDefault="004F5CC3" w:rsidP="002775D4">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56</w:t>
            </w:r>
          </w:p>
        </w:tc>
      </w:tr>
      <w:tr w:rsidR="00553D21" w:rsidRPr="005016A5" w14:paraId="1AE3A2D6" w14:textId="3015076B" w:rsidTr="0002675A">
        <w:trPr>
          <w:trHeight w:val="601"/>
        </w:trPr>
        <w:tc>
          <w:tcPr>
            <w:tcW w:w="1268" w:type="dxa"/>
            <w:noWrap/>
          </w:tcPr>
          <w:p w14:paraId="7489F4A3" w14:textId="77C3F3D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Kelly et al., 2014</w:t>
            </w:r>
          </w:p>
        </w:tc>
        <w:tc>
          <w:tcPr>
            <w:tcW w:w="1279" w:type="dxa"/>
          </w:tcPr>
          <w:p w14:paraId="6B7AFC6F" w14:textId="2BDDCDD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Canada</w:t>
            </w:r>
          </w:p>
        </w:tc>
        <w:tc>
          <w:tcPr>
            <w:tcW w:w="1700" w:type="dxa"/>
          </w:tcPr>
          <w:p w14:paraId="68332BD4" w14:textId="6300883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and Outpatient (Adult, Females)</w:t>
            </w:r>
          </w:p>
        </w:tc>
        <w:tc>
          <w:tcPr>
            <w:tcW w:w="710" w:type="dxa"/>
          </w:tcPr>
          <w:p w14:paraId="31E3CD46" w14:textId="77777777" w:rsidR="00553D21" w:rsidRPr="005016A5" w:rsidRDefault="00553D21" w:rsidP="002775D4">
            <w:pPr>
              <w:rPr>
                <w:rFonts w:ascii="Times New Roman" w:hAnsi="Times New Roman" w:cs="Times New Roman"/>
                <w:color w:val="000000"/>
                <w:sz w:val="21"/>
                <w:szCs w:val="21"/>
              </w:rPr>
            </w:pPr>
          </w:p>
        </w:tc>
        <w:tc>
          <w:tcPr>
            <w:tcW w:w="850" w:type="dxa"/>
          </w:tcPr>
          <w:p w14:paraId="050FD7A8" w14:textId="7EEA2B0B" w:rsidR="00553D21" w:rsidRPr="005016A5" w:rsidRDefault="00AB315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252</w:t>
            </w:r>
          </w:p>
        </w:tc>
        <w:tc>
          <w:tcPr>
            <w:tcW w:w="4820" w:type="dxa"/>
            <w:tcBorders>
              <w:top w:val="single" w:sz="4" w:space="0" w:color="auto"/>
              <w:left w:val="nil"/>
              <w:bottom w:val="single" w:sz="4" w:space="0" w:color="auto"/>
              <w:right w:val="nil"/>
            </w:tcBorders>
          </w:tcPr>
          <w:p w14:paraId="0E254773" w14:textId="398A2DE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relative contributions of self-compassion, fear of self-compassion, and self-esteem in eating disorder pathology between undergraduate students and females diagnosed with an eating disorder entering treatment.</w:t>
            </w:r>
          </w:p>
        </w:tc>
        <w:tc>
          <w:tcPr>
            <w:tcW w:w="1559" w:type="dxa"/>
          </w:tcPr>
          <w:p w14:paraId="4732BBAD" w14:textId="09FB1F8D"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Cross-sectional cohort study</w:t>
            </w:r>
          </w:p>
        </w:tc>
        <w:tc>
          <w:tcPr>
            <w:tcW w:w="2268" w:type="dxa"/>
            <w:tcBorders>
              <w:top w:val="single" w:sz="4" w:space="0" w:color="auto"/>
              <w:left w:val="nil"/>
              <w:bottom w:val="single" w:sz="4" w:space="0" w:color="auto"/>
              <w:right w:val="single" w:sz="4" w:space="0" w:color="auto"/>
            </w:tcBorders>
          </w:tcPr>
          <w:p w14:paraId="0056BED5" w14:textId="4726842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EDE-Q, self-compassion, fear of self-compassion, self-esteem</w:t>
            </w:r>
          </w:p>
        </w:tc>
        <w:tc>
          <w:tcPr>
            <w:tcW w:w="709" w:type="dxa"/>
            <w:tcBorders>
              <w:top w:val="single" w:sz="4" w:space="0" w:color="auto"/>
              <w:left w:val="nil"/>
              <w:bottom w:val="single" w:sz="4" w:space="0" w:color="auto"/>
              <w:right w:val="single" w:sz="4" w:space="0" w:color="auto"/>
            </w:tcBorders>
          </w:tcPr>
          <w:p w14:paraId="109992A3" w14:textId="23E2A702" w:rsidR="00553D21" w:rsidRPr="005016A5" w:rsidRDefault="005B3613"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119</w:t>
            </w:r>
          </w:p>
        </w:tc>
      </w:tr>
      <w:tr w:rsidR="00553D21" w:rsidRPr="005016A5" w14:paraId="3083B12B" w14:textId="77777777" w:rsidTr="0002675A">
        <w:trPr>
          <w:trHeight w:val="325"/>
        </w:trPr>
        <w:tc>
          <w:tcPr>
            <w:tcW w:w="15163" w:type="dxa"/>
            <w:gridSpan w:val="9"/>
            <w:tcBorders>
              <w:right w:val="single" w:sz="4" w:space="0" w:color="auto"/>
            </w:tcBorders>
            <w:shd w:val="clear" w:color="auto" w:fill="BFBFBF" w:themeFill="background1" w:themeFillShade="BF"/>
          </w:tcPr>
          <w:p w14:paraId="65C77941" w14:textId="1177120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Relapse prevention programs</w:t>
            </w:r>
          </w:p>
        </w:tc>
      </w:tr>
      <w:tr w:rsidR="00553D21" w:rsidRPr="005016A5" w14:paraId="671386B4" w14:textId="6EC9F226" w:rsidTr="0002675A">
        <w:trPr>
          <w:trHeight w:val="601"/>
        </w:trPr>
        <w:tc>
          <w:tcPr>
            <w:tcW w:w="1268" w:type="dxa"/>
            <w:noWrap/>
          </w:tcPr>
          <w:p w14:paraId="47309071" w14:textId="1A18F741"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Anastasiadou</w:t>
            </w:r>
            <w:proofErr w:type="spellEnd"/>
            <w:r w:rsidRPr="005016A5">
              <w:rPr>
                <w:rFonts w:ascii="Times New Roman" w:hAnsi="Times New Roman" w:cs="Times New Roman"/>
                <w:color w:val="000000"/>
                <w:sz w:val="21"/>
                <w:szCs w:val="21"/>
              </w:rPr>
              <w:t xml:space="preserve"> et al., 2018</w:t>
            </w:r>
          </w:p>
        </w:tc>
        <w:tc>
          <w:tcPr>
            <w:tcW w:w="1279" w:type="dxa"/>
          </w:tcPr>
          <w:p w14:paraId="2D222661" w14:textId="4AD22BF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Spain</w:t>
            </w:r>
          </w:p>
        </w:tc>
        <w:tc>
          <w:tcPr>
            <w:tcW w:w="1700" w:type="dxa"/>
          </w:tcPr>
          <w:p w14:paraId="12271D39" w14:textId="7BEC804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48AE17E9" w14:textId="71C60648" w:rsidR="00553D21" w:rsidRPr="005016A5" w:rsidRDefault="002626C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15</w:t>
            </w:r>
          </w:p>
        </w:tc>
        <w:tc>
          <w:tcPr>
            <w:tcW w:w="850" w:type="dxa"/>
          </w:tcPr>
          <w:p w14:paraId="47F553D5"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0198E037" w14:textId="124A504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systematically review the existing evidence of mobile health (mHealth) tools for the treatment of eating disorders (ED).</w:t>
            </w:r>
          </w:p>
        </w:tc>
        <w:tc>
          <w:tcPr>
            <w:tcW w:w="1559" w:type="dxa"/>
          </w:tcPr>
          <w:p w14:paraId="60DE3C8D" w14:textId="63166FB8"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Review (Systematic)</w:t>
            </w:r>
          </w:p>
        </w:tc>
        <w:tc>
          <w:tcPr>
            <w:tcW w:w="2268" w:type="dxa"/>
            <w:tcBorders>
              <w:top w:val="single" w:sz="4" w:space="0" w:color="auto"/>
              <w:left w:val="nil"/>
              <w:bottom w:val="single" w:sz="4" w:space="0" w:color="auto"/>
              <w:right w:val="single" w:sz="4" w:space="0" w:color="auto"/>
            </w:tcBorders>
          </w:tcPr>
          <w:p w14:paraId="48C5CB42" w14:textId="6EC8BF9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Efficacy of mobile health (mHealth) tools for the treatment of eating disorders (ED)</w:t>
            </w:r>
          </w:p>
        </w:tc>
        <w:tc>
          <w:tcPr>
            <w:tcW w:w="709" w:type="dxa"/>
            <w:tcBorders>
              <w:top w:val="single" w:sz="4" w:space="0" w:color="auto"/>
              <w:left w:val="nil"/>
              <w:bottom w:val="single" w:sz="4" w:space="0" w:color="auto"/>
              <w:right w:val="single" w:sz="4" w:space="0" w:color="auto"/>
            </w:tcBorders>
          </w:tcPr>
          <w:p w14:paraId="512ADA18" w14:textId="2C1C5C8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AE2A7E" w:rsidRPr="005016A5">
              <w:rPr>
                <w:rFonts w:ascii="Times New Roman" w:hAnsi="Times New Roman" w:cs="Times New Roman"/>
                <w:color w:val="000000"/>
                <w:sz w:val="21"/>
                <w:szCs w:val="21"/>
              </w:rPr>
              <w:t>28</w:t>
            </w:r>
          </w:p>
        </w:tc>
      </w:tr>
      <w:tr w:rsidR="00553D21" w:rsidRPr="005016A5" w14:paraId="21C30E35" w14:textId="7D04872B" w:rsidTr="0002675A">
        <w:trPr>
          <w:trHeight w:val="601"/>
        </w:trPr>
        <w:tc>
          <w:tcPr>
            <w:tcW w:w="1268" w:type="dxa"/>
            <w:noWrap/>
          </w:tcPr>
          <w:p w14:paraId="6E43EAC4" w14:textId="40AFE1E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Bauer et al., 2012</w:t>
            </w:r>
          </w:p>
        </w:tc>
        <w:tc>
          <w:tcPr>
            <w:tcW w:w="1279" w:type="dxa"/>
          </w:tcPr>
          <w:p w14:paraId="3E925C29" w14:textId="367B0AC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Germany</w:t>
            </w:r>
          </w:p>
        </w:tc>
        <w:tc>
          <w:tcPr>
            <w:tcW w:w="1700" w:type="dxa"/>
          </w:tcPr>
          <w:p w14:paraId="0FE66D96" w14:textId="6250A9F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545913B6" w14:textId="77777777" w:rsidR="00553D21" w:rsidRPr="005016A5" w:rsidRDefault="00553D21" w:rsidP="002775D4">
            <w:pPr>
              <w:rPr>
                <w:rFonts w:ascii="Times New Roman" w:hAnsi="Times New Roman" w:cs="Times New Roman"/>
                <w:color w:val="000000"/>
                <w:sz w:val="21"/>
                <w:szCs w:val="21"/>
              </w:rPr>
            </w:pPr>
          </w:p>
        </w:tc>
        <w:tc>
          <w:tcPr>
            <w:tcW w:w="850" w:type="dxa"/>
          </w:tcPr>
          <w:p w14:paraId="5996D09A" w14:textId="6216723C" w:rsidR="00553D21" w:rsidRPr="005016A5" w:rsidRDefault="00AA39E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165</w:t>
            </w:r>
          </w:p>
        </w:tc>
        <w:tc>
          <w:tcPr>
            <w:tcW w:w="4820" w:type="dxa"/>
            <w:tcBorders>
              <w:top w:val="single" w:sz="4" w:space="0" w:color="auto"/>
              <w:left w:val="nil"/>
              <w:bottom w:val="single" w:sz="4" w:space="0" w:color="auto"/>
              <w:right w:val="nil"/>
            </w:tcBorders>
          </w:tcPr>
          <w:p w14:paraId="1606BB0F" w14:textId="3CBA7E9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efficacy of a technology enhanced program to support patients after their discharge from inpatient treatment against a control condition (treatment as usual; TAU).</w:t>
            </w:r>
          </w:p>
        </w:tc>
        <w:tc>
          <w:tcPr>
            <w:tcW w:w="1559" w:type="dxa"/>
          </w:tcPr>
          <w:p w14:paraId="1B42DE55" w14:textId="3F0C967E"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RCT</w:t>
            </w:r>
          </w:p>
        </w:tc>
        <w:tc>
          <w:tcPr>
            <w:tcW w:w="2268" w:type="dxa"/>
            <w:tcBorders>
              <w:top w:val="single" w:sz="4" w:space="0" w:color="auto"/>
              <w:left w:val="nil"/>
              <w:bottom w:val="single" w:sz="4" w:space="0" w:color="auto"/>
              <w:right w:val="single" w:sz="4" w:space="0" w:color="auto"/>
            </w:tcBorders>
          </w:tcPr>
          <w:p w14:paraId="6F5818F9" w14:textId="60F624E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Partial remission (or better) at 8 months </w:t>
            </w:r>
            <w:proofErr w:type="gramStart"/>
            <w:r w:rsidRPr="005016A5">
              <w:rPr>
                <w:rFonts w:ascii="Times New Roman" w:hAnsi="Times New Roman" w:cs="Times New Roman"/>
                <w:color w:val="000000"/>
                <w:sz w:val="21"/>
                <w:szCs w:val="21"/>
              </w:rPr>
              <w:t>follow</w:t>
            </w:r>
            <w:proofErr w:type="gramEnd"/>
            <w:r w:rsidRPr="005016A5">
              <w:rPr>
                <w:rFonts w:ascii="Times New Roman" w:hAnsi="Times New Roman" w:cs="Times New Roman"/>
                <w:color w:val="000000"/>
                <w:sz w:val="21"/>
                <w:szCs w:val="21"/>
              </w:rPr>
              <w:t xml:space="preserve"> up; abstinence from bulimic behaviours</w:t>
            </w:r>
          </w:p>
        </w:tc>
        <w:tc>
          <w:tcPr>
            <w:tcW w:w="709" w:type="dxa"/>
            <w:tcBorders>
              <w:top w:val="single" w:sz="4" w:space="0" w:color="auto"/>
              <w:left w:val="nil"/>
              <w:bottom w:val="single" w:sz="4" w:space="0" w:color="auto"/>
              <w:right w:val="single" w:sz="4" w:space="0" w:color="auto"/>
            </w:tcBorders>
          </w:tcPr>
          <w:p w14:paraId="0A1C79C5" w14:textId="603EFCB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940B96" w:rsidRPr="005016A5">
              <w:rPr>
                <w:rFonts w:ascii="Times New Roman" w:hAnsi="Times New Roman" w:cs="Times New Roman"/>
                <w:color w:val="000000"/>
                <w:sz w:val="21"/>
                <w:szCs w:val="21"/>
              </w:rPr>
              <w:t>27</w:t>
            </w:r>
          </w:p>
        </w:tc>
      </w:tr>
      <w:tr w:rsidR="00553D21" w:rsidRPr="005016A5" w14:paraId="650516EF" w14:textId="17445B81" w:rsidTr="0002675A">
        <w:trPr>
          <w:trHeight w:val="601"/>
        </w:trPr>
        <w:tc>
          <w:tcPr>
            <w:tcW w:w="1268" w:type="dxa"/>
            <w:noWrap/>
          </w:tcPr>
          <w:p w14:paraId="5304C392" w14:textId="492DD08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Berends et al., 2016</w:t>
            </w:r>
          </w:p>
        </w:tc>
        <w:tc>
          <w:tcPr>
            <w:tcW w:w="1279" w:type="dxa"/>
          </w:tcPr>
          <w:p w14:paraId="78CF9A58" w14:textId="517A15F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The Netherlands</w:t>
            </w:r>
          </w:p>
        </w:tc>
        <w:tc>
          <w:tcPr>
            <w:tcW w:w="1700" w:type="dxa"/>
          </w:tcPr>
          <w:p w14:paraId="4F6107CC" w14:textId="53AA7A7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11237C79" w14:textId="77777777" w:rsidR="00553D21" w:rsidRPr="005016A5" w:rsidRDefault="00553D21" w:rsidP="002775D4">
            <w:pPr>
              <w:rPr>
                <w:rFonts w:ascii="Times New Roman" w:hAnsi="Times New Roman" w:cs="Times New Roman"/>
                <w:color w:val="000000"/>
                <w:sz w:val="21"/>
                <w:szCs w:val="21"/>
              </w:rPr>
            </w:pPr>
          </w:p>
        </w:tc>
        <w:tc>
          <w:tcPr>
            <w:tcW w:w="850" w:type="dxa"/>
          </w:tcPr>
          <w:p w14:paraId="032D2E01" w14:textId="64759140" w:rsidR="00553D21" w:rsidRPr="005016A5" w:rsidRDefault="008D7057"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83</w:t>
            </w:r>
          </w:p>
        </w:tc>
        <w:tc>
          <w:tcPr>
            <w:tcW w:w="4820" w:type="dxa"/>
            <w:tcBorders>
              <w:top w:val="single" w:sz="4" w:space="0" w:color="auto"/>
              <w:left w:val="nil"/>
              <w:bottom w:val="single" w:sz="4" w:space="0" w:color="auto"/>
              <w:right w:val="nil"/>
            </w:tcBorders>
          </w:tcPr>
          <w:p w14:paraId="5874F141" w14:textId="256DDFB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examine the rate, </w:t>
            </w:r>
            <w:proofErr w:type="gramStart"/>
            <w:r w:rsidRPr="005016A5">
              <w:rPr>
                <w:rFonts w:ascii="Times New Roman" w:hAnsi="Times New Roman" w:cs="Times New Roman"/>
                <w:color w:val="000000"/>
                <w:sz w:val="21"/>
                <w:szCs w:val="21"/>
              </w:rPr>
              <w:t>timing</w:t>
            </w:r>
            <w:proofErr w:type="gramEnd"/>
            <w:r w:rsidRPr="005016A5">
              <w:rPr>
                <w:rFonts w:ascii="Times New Roman" w:hAnsi="Times New Roman" w:cs="Times New Roman"/>
                <w:color w:val="000000"/>
                <w:sz w:val="21"/>
                <w:szCs w:val="21"/>
              </w:rPr>
              <w:t xml:space="preserve"> and predictors of relapse of patients who were treated with the Guideline Relapse Prevention for AN program.</w:t>
            </w:r>
          </w:p>
        </w:tc>
        <w:tc>
          <w:tcPr>
            <w:tcW w:w="1559" w:type="dxa"/>
          </w:tcPr>
          <w:p w14:paraId="195823C8" w14:textId="7DA53B28" w:rsidR="00553D21" w:rsidRPr="005016A5" w:rsidRDefault="003C47F7" w:rsidP="002775D4">
            <w:pPr>
              <w:rPr>
                <w:rFonts w:ascii="Times New Roman" w:hAnsi="Times New Roman" w:cs="Times New Roman"/>
                <w:sz w:val="21"/>
                <w:szCs w:val="21"/>
              </w:rPr>
            </w:pPr>
            <w:r w:rsidRPr="005016A5">
              <w:rPr>
                <w:rFonts w:ascii="Times New Roman" w:hAnsi="Times New Roman" w:cs="Times New Roman"/>
                <w:sz w:val="21"/>
                <w:szCs w:val="21"/>
              </w:rPr>
              <w:t>Cohort</w:t>
            </w:r>
          </w:p>
        </w:tc>
        <w:tc>
          <w:tcPr>
            <w:tcW w:w="2268" w:type="dxa"/>
            <w:tcBorders>
              <w:top w:val="single" w:sz="4" w:space="0" w:color="auto"/>
              <w:left w:val="nil"/>
              <w:bottom w:val="single" w:sz="4" w:space="0" w:color="auto"/>
              <w:right w:val="single" w:sz="4" w:space="0" w:color="auto"/>
            </w:tcBorders>
          </w:tcPr>
          <w:p w14:paraId="656168F9" w14:textId="5DEA0E2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Rate of relapse, timing of relapse, factors associated with relapse</w:t>
            </w:r>
          </w:p>
        </w:tc>
        <w:tc>
          <w:tcPr>
            <w:tcW w:w="709" w:type="dxa"/>
            <w:tcBorders>
              <w:top w:val="single" w:sz="4" w:space="0" w:color="auto"/>
              <w:left w:val="nil"/>
              <w:bottom w:val="single" w:sz="4" w:space="0" w:color="auto"/>
              <w:right w:val="single" w:sz="4" w:space="0" w:color="auto"/>
            </w:tcBorders>
          </w:tcPr>
          <w:p w14:paraId="4701760E" w14:textId="7BF70AD9" w:rsidR="00553D21" w:rsidRPr="005016A5" w:rsidRDefault="00A67AC5"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36</w:t>
            </w:r>
          </w:p>
        </w:tc>
      </w:tr>
      <w:tr w:rsidR="00553D21" w:rsidRPr="005016A5" w14:paraId="052C2878" w14:textId="7DC973B5" w:rsidTr="0002675A">
        <w:trPr>
          <w:trHeight w:val="601"/>
        </w:trPr>
        <w:tc>
          <w:tcPr>
            <w:tcW w:w="1268" w:type="dxa"/>
            <w:noWrap/>
          </w:tcPr>
          <w:p w14:paraId="34F55D2B" w14:textId="46DB5A41"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Fichter</w:t>
            </w:r>
            <w:proofErr w:type="spellEnd"/>
            <w:r w:rsidRPr="005016A5">
              <w:rPr>
                <w:rFonts w:ascii="Times New Roman" w:hAnsi="Times New Roman" w:cs="Times New Roman"/>
                <w:color w:val="000000"/>
                <w:sz w:val="21"/>
                <w:szCs w:val="21"/>
              </w:rPr>
              <w:t xml:space="preserve"> et al., 201</w:t>
            </w:r>
            <w:r w:rsidR="00C051AD" w:rsidRPr="005016A5">
              <w:rPr>
                <w:rFonts w:ascii="Times New Roman" w:hAnsi="Times New Roman" w:cs="Times New Roman"/>
                <w:color w:val="000000"/>
                <w:sz w:val="21"/>
                <w:szCs w:val="21"/>
              </w:rPr>
              <w:t>3</w:t>
            </w:r>
          </w:p>
        </w:tc>
        <w:tc>
          <w:tcPr>
            <w:tcW w:w="1279" w:type="dxa"/>
          </w:tcPr>
          <w:p w14:paraId="4404137C" w14:textId="296F90F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Germany</w:t>
            </w:r>
          </w:p>
        </w:tc>
        <w:tc>
          <w:tcPr>
            <w:tcW w:w="1700" w:type="dxa"/>
          </w:tcPr>
          <w:p w14:paraId="6B6C6638" w14:textId="12EFE63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21D9E7B6" w14:textId="77777777" w:rsidR="00553D21" w:rsidRPr="005016A5" w:rsidRDefault="00553D21" w:rsidP="002775D4">
            <w:pPr>
              <w:rPr>
                <w:rFonts w:ascii="Times New Roman" w:hAnsi="Times New Roman" w:cs="Times New Roman"/>
                <w:color w:val="000000"/>
                <w:sz w:val="21"/>
                <w:szCs w:val="21"/>
              </w:rPr>
            </w:pPr>
          </w:p>
        </w:tc>
        <w:tc>
          <w:tcPr>
            <w:tcW w:w="850" w:type="dxa"/>
          </w:tcPr>
          <w:p w14:paraId="15363B1E" w14:textId="739632DC" w:rsidR="00553D21" w:rsidRPr="005016A5" w:rsidRDefault="00BE494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258</w:t>
            </w:r>
          </w:p>
        </w:tc>
        <w:tc>
          <w:tcPr>
            <w:tcW w:w="4820" w:type="dxa"/>
            <w:tcBorders>
              <w:top w:val="single" w:sz="4" w:space="0" w:color="auto"/>
              <w:left w:val="nil"/>
              <w:bottom w:val="single" w:sz="4" w:space="0" w:color="auto"/>
              <w:right w:val="nil"/>
            </w:tcBorders>
          </w:tcPr>
          <w:p w14:paraId="389A5AF2" w14:textId="17B4FC0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evaluate the efficacy of a 9-month internet-based intervention program for AN, compared to a group of AN patients receiving treatment as usual (TAU) following discharge from inpatient therapy. </w:t>
            </w:r>
          </w:p>
        </w:tc>
        <w:tc>
          <w:tcPr>
            <w:tcW w:w="1559" w:type="dxa"/>
          </w:tcPr>
          <w:p w14:paraId="149FBF46" w14:textId="437AB43D"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RCT</w:t>
            </w:r>
          </w:p>
        </w:tc>
        <w:tc>
          <w:tcPr>
            <w:tcW w:w="2268" w:type="dxa"/>
            <w:tcBorders>
              <w:top w:val="single" w:sz="4" w:space="0" w:color="auto"/>
              <w:left w:val="nil"/>
              <w:bottom w:val="single" w:sz="4" w:space="0" w:color="auto"/>
              <w:right w:val="single" w:sz="4" w:space="0" w:color="auto"/>
            </w:tcBorders>
          </w:tcPr>
          <w:p w14:paraId="4F798D3C" w14:textId="5561578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Efficacy of VIA in relapse prevention measured primarily via change in BMI</w:t>
            </w:r>
          </w:p>
        </w:tc>
        <w:tc>
          <w:tcPr>
            <w:tcW w:w="709" w:type="dxa"/>
            <w:tcBorders>
              <w:top w:val="single" w:sz="4" w:space="0" w:color="auto"/>
              <w:left w:val="nil"/>
              <w:bottom w:val="single" w:sz="4" w:space="0" w:color="auto"/>
              <w:right w:val="single" w:sz="4" w:space="0" w:color="auto"/>
            </w:tcBorders>
          </w:tcPr>
          <w:p w14:paraId="65E92332" w14:textId="515AD13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C051AD" w:rsidRPr="005016A5">
              <w:rPr>
                <w:rFonts w:ascii="Times New Roman" w:hAnsi="Times New Roman" w:cs="Times New Roman"/>
                <w:color w:val="000000"/>
                <w:sz w:val="21"/>
                <w:szCs w:val="21"/>
              </w:rPr>
              <w:t>9</w:t>
            </w:r>
          </w:p>
        </w:tc>
      </w:tr>
      <w:tr w:rsidR="00553D21" w:rsidRPr="005016A5" w14:paraId="481C81A1" w14:textId="6B59DB02" w:rsidTr="0002675A">
        <w:trPr>
          <w:trHeight w:val="601"/>
        </w:trPr>
        <w:tc>
          <w:tcPr>
            <w:tcW w:w="1268" w:type="dxa"/>
            <w:noWrap/>
          </w:tcPr>
          <w:p w14:paraId="0A1925C4" w14:textId="1B21F44B"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Gulec</w:t>
            </w:r>
            <w:proofErr w:type="spellEnd"/>
            <w:r w:rsidRPr="005016A5">
              <w:rPr>
                <w:rFonts w:ascii="Times New Roman" w:hAnsi="Times New Roman" w:cs="Times New Roman"/>
                <w:color w:val="000000"/>
                <w:sz w:val="21"/>
                <w:szCs w:val="21"/>
              </w:rPr>
              <w:t xml:space="preserve"> et al., 2014</w:t>
            </w:r>
          </w:p>
        </w:tc>
        <w:tc>
          <w:tcPr>
            <w:tcW w:w="1279" w:type="dxa"/>
          </w:tcPr>
          <w:p w14:paraId="01CA7D17" w14:textId="00A59EC4"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Hungary</w:t>
            </w:r>
          </w:p>
        </w:tc>
        <w:tc>
          <w:tcPr>
            <w:tcW w:w="1700" w:type="dxa"/>
          </w:tcPr>
          <w:p w14:paraId="502D8743" w14:textId="6F00E80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Outpatient (Adult, Females)</w:t>
            </w:r>
          </w:p>
        </w:tc>
        <w:tc>
          <w:tcPr>
            <w:tcW w:w="710" w:type="dxa"/>
          </w:tcPr>
          <w:p w14:paraId="5A046DBD" w14:textId="77777777" w:rsidR="00553D21" w:rsidRPr="005016A5" w:rsidRDefault="00553D21" w:rsidP="002775D4">
            <w:pPr>
              <w:rPr>
                <w:rFonts w:ascii="Times New Roman" w:hAnsi="Times New Roman" w:cs="Times New Roman"/>
                <w:color w:val="000000"/>
                <w:sz w:val="21"/>
                <w:szCs w:val="21"/>
              </w:rPr>
            </w:pPr>
          </w:p>
        </w:tc>
        <w:tc>
          <w:tcPr>
            <w:tcW w:w="850" w:type="dxa"/>
          </w:tcPr>
          <w:p w14:paraId="7C69EC3E" w14:textId="5CD233F8" w:rsidR="00553D21" w:rsidRPr="005016A5" w:rsidRDefault="008125D0"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105</w:t>
            </w:r>
          </w:p>
        </w:tc>
        <w:tc>
          <w:tcPr>
            <w:tcW w:w="4820" w:type="dxa"/>
            <w:tcBorders>
              <w:top w:val="single" w:sz="4" w:space="0" w:color="auto"/>
              <w:left w:val="nil"/>
              <w:bottom w:val="single" w:sz="4" w:space="0" w:color="auto"/>
              <w:right w:val="nil"/>
            </w:tcBorders>
          </w:tcPr>
          <w:p w14:paraId="7DAB001D" w14:textId="63F656B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the preliminary use and acceptance of an internet-based post-care support program in maintaining and/or enhancing treatment gains against a wait-list TAU control condition.</w:t>
            </w:r>
          </w:p>
        </w:tc>
        <w:tc>
          <w:tcPr>
            <w:tcW w:w="1559" w:type="dxa"/>
          </w:tcPr>
          <w:p w14:paraId="24304329" w14:textId="3006B200"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RCT</w:t>
            </w:r>
          </w:p>
        </w:tc>
        <w:tc>
          <w:tcPr>
            <w:tcW w:w="2268" w:type="dxa"/>
            <w:tcBorders>
              <w:top w:val="single" w:sz="4" w:space="0" w:color="auto"/>
              <w:left w:val="nil"/>
              <w:bottom w:val="single" w:sz="4" w:space="0" w:color="auto"/>
              <w:right w:val="single" w:sz="4" w:space="0" w:color="auto"/>
            </w:tcBorders>
          </w:tcPr>
          <w:p w14:paraId="6A8D41A7" w14:textId="0BE7702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Eating disorder related attitudes via Eating Disorder Examination Questionnaire (EDE-Q)</w:t>
            </w:r>
          </w:p>
        </w:tc>
        <w:tc>
          <w:tcPr>
            <w:tcW w:w="709" w:type="dxa"/>
            <w:tcBorders>
              <w:top w:val="single" w:sz="4" w:space="0" w:color="auto"/>
              <w:left w:val="nil"/>
              <w:bottom w:val="single" w:sz="4" w:space="0" w:color="auto"/>
              <w:right w:val="single" w:sz="4" w:space="0" w:color="auto"/>
            </w:tcBorders>
          </w:tcPr>
          <w:p w14:paraId="03414AA0" w14:textId="5A926C2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8250FC" w:rsidRPr="005016A5">
              <w:rPr>
                <w:rFonts w:ascii="Times New Roman" w:hAnsi="Times New Roman" w:cs="Times New Roman"/>
                <w:color w:val="000000"/>
                <w:sz w:val="21"/>
                <w:szCs w:val="21"/>
              </w:rPr>
              <w:t>25</w:t>
            </w:r>
          </w:p>
        </w:tc>
      </w:tr>
      <w:tr w:rsidR="00553D21" w:rsidRPr="005016A5" w14:paraId="37366380" w14:textId="280F69D5" w:rsidTr="0002675A">
        <w:trPr>
          <w:trHeight w:val="601"/>
        </w:trPr>
        <w:tc>
          <w:tcPr>
            <w:tcW w:w="1268" w:type="dxa"/>
            <w:noWrap/>
          </w:tcPr>
          <w:p w14:paraId="1B84B69C" w14:textId="6B5C128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Jacobi et al., 2017</w:t>
            </w:r>
          </w:p>
        </w:tc>
        <w:tc>
          <w:tcPr>
            <w:tcW w:w="1279" w:type="dxa"/>
          </w:tcPr>
          <w:p w14:paraId="4D5E4ED8" w14:textId="463EB9E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Germany</w:t>
            </w:r>
          </w:p>
        </w:tc>
        <w:tc>
          <w:tcPr>
            <w:tcW w:w="1700" w:type="dxa"/>
          </w:tcPr>
          <w:p w14:paraId="36039BF2" w14:textId="5E98850C"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(Adult, Females)</w:t>
            </w:r>
          </w:p>
        </w:tc>
        <w:tc>
          <w:tcPr>
            <w:tcW w:w="710" w:type="dxa"/>
          </w:tcPr>
          <w:p w14:paraId="4C645992" w14:textId="77777777" w:rsidR="00553D21" w:rsidRPr="005016A5" w:rsidRDefault="00553D21" w:rsidP="002775D4">
            <w:pPr>
              <w:rPr>
                <w:rFonts w:ascii="Times New Roman" w:hAnsi="Times New Roman" w:cs="Times New Roman"/>
                <w:color w:val="000000"/>
                <w:sz w:val="21"/>
                <w:szCs w:val="21"/>
              </w:rPr>
            </w:pPr>
          </w:p>
        </w:tc>
        <w:tc>
          <w:tcPr>
            <w:tcW w:w="850" w:type="dxa"/>
          </w:tcPr>
          <w:p w14:paraId="61AB9A54" w14:textId="2956620B" w:rsidR="00553D21" w:rsidRPr="005016A5" w:rsidRDefault="001B482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253</w:t>
            </w:r>
          </w:p>
        </w:tc>
        <w:tc>
          <w:tcPr>
            <w:tcW w:w="4820" w:type="dxa"/>
            <w:tcBorders>
              <w:top w:val="single" w:sz="4" w:space="0" w:color="auto"/>
              <w:left w:val="nil"/>
              <w:bottom w:val="single" w:sz="4" w:space="0" w:color="auto"/>
              <w:right w:val="nil"/>
            </w:tcBorders>
          </w:tcPr>
          <w:p w14:paraId="438266D5" w14:textId="79AC4A4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determine the efficacy of an internet-based aftercare program in maintaining treatment gains for women with BN following inpatient treatment.</w:t>
            </w:r>
          </w:p>
        </w:tc>
        <w:tc>
          <w:tcPr>
            <w:tcW w:w="1559" w:type="dxa"/>
          </w:tcPr>
          <w:p w14:paraId="7CAFE400" w14:textId="051AE468"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RCT</w:t>
            </w:r>
          </w:p>
        </w:tc>
        <w:tc>
          <w:tcPr>
            <w:tcW w:w="2268" w:type="dxa"/>
            <w:tcBorders>
              <w:top w:val="single" w:sz="4" w:space="0" w:color="auto"/>
              <w:left w:val="nil"/>
              <w:bottom w:val="single" w:sz="4" w:space="0" w:color="auto"/>
              <w:right w:val="single" w:sz="4" w:space="0" w:color="auto"/>
            </w:tcBorders>
          </w:tcPr>
          <w:p w14:paraId="02CAC00D" w14:textId="73B90B8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Abstinence from any core BN symptoms </w:t>
            </w:r>
          </w:p>
        </w:tc>
        <w:tc>
          <w:tcPr>
            <w:tcW w:w="709" w:type="dxa"/>
            <w:tcBorders>
              <w:top w:val="single" w:sz="4" w:space="0" w:color="auto"/>
              <w:left w:val="nil"/>
              <w:bottom w:val="single" w:sz="4" w:space="0" w:color="auto"/>
              <w:right w:val="single" w:sz="4" w:space="0" w:color="auto"/>
            </w:tcBorders>
          </w:tcPr>
          <w:p w14:paraId="1F26C41A" w14:textId="161DF1C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DC0A25" w:rsidRPr="005016A5">
              <w:rPr>
                <w:rFonts w:ascii="Times New Roman" w:hAnsi="Times New Roman" w:cs="Times New Roman"/>
                <w:color w:val="000000"/>
                <w:sz w:val="21"/>
                <w:szCs w:val="21"/>
              </w:rPr>
              <w:t>24</w:t>
            </w:r>
          </w:p>
        </w:tc>
      </w:tr>
      <w:tr w:rsidR="00553D21" w:rsidRPr="005016A5" w14:paraId="2814D0BA" w14:textId="77777777" w:rsidTr="0002675A">
        <w:trPr>
          <w:trHeight w:val="269"/>
        </w:trPr>
        <w:tc>
          <w:tcPr>
            <w:tcW w:w="15163" w:type="dxa"/>
            <w:gridSpan w:val="9"/>
            <w:tcBorders>
              <w:right w:val="single" w:sz="4" w:space="0" w:color="auto"/>
            </w:tcBorders>
            <w:shd w:val="clear" w:color="auto" w:fill="BFBFBF" w:themeFill="background1" w:themeFillShade="BF"/>
          </w:tcPr>
          <w:p w14:paraId="4F4513C8" w14:textId="6147EC0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lastRenderedPageBreak/>
              <w:t>Mortality</w:t>
            </w:r>
          </w:p>
        </w:tc>
      </w:tr>
      <w:tr w:rsidR="00553D21" w:rsidRPr="005016A5" w14:paraId="045CFBFD" w14:textId="72E8BD0D" w:rsidTr="0002675A">
        <w:trPr>
          <w:trHeight w:val="601"/>
        </w:trPr>
        <w:tc>
          <w:tcPr>
            <w:tcW w:w="1268" w:type="dxa"/>
            <w:noWrap/>
          </w:tcPr>
          <w:p w14:paraId="419826B8" w14:textId="5AE1E9D9"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Ackard</w:t>
            </w:r>
            <w:proofErr w:type="spellEnd"/>
            <w:r w:rsidRPr="005016A5">
              <w:rPr>
                <w:rFonts w:ascii="Times New Roman" w:hAnsi="Times New Roman" w:cs="Times New Roman"/>
                <w:color w:val="000000"/>
                <w:sz w:val="21"/>
                <w:szCs w:val="21"/>
              </w:rPr>
              <w:t xml:space="preserve"> et al., 2014</w:t>
            </w:r>
          </w:p>
        </w:tc>
        <w:tc>
          <w:tcPr>
            <w:tcW w:w="1279" w:type="dxa"/>
          </w:tcPr>
          <w:p w14:paraId="05122EB3" w14:textId="27D50A6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US</w:t>
            </w:r>
          </w:p>
        </w:tc>
        <w:tc>
          <w:tcPr>
            <w:tcW w:w="1700" w:type="dxa"/>
          </w:tcPr>
          <w:p w14:paraId="259631F1" w14:textId="40ECAE0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Inpatient (All ages, Females)</w:t>
            </w:r>
          </w:p>
        </w:tc>
        <w:tc>
          <w:tcPr>
            <w:tcW w:w="710" w:type="dxa"/>
          </w:tcPr>
          <w:p w14:paraId="07045ECA" w14:textId="77777777" w:rsidR="00553D21" w:rsidRPr="005016A5" w:rsidRDefault="00553D21" w:rsidP="002775D4">
            <w:pPr>
              <w:rPr>
                <w:rFonts w:ascii="Times New Roman" w:hAnsi="Times New Roman" w:cs="Times New Roman"/>
                <w:color w:val="000000"/>
                <w:sz w:val="21"/>
                <w:szCs w:val="21"/>
              </w:rPr>
            </w:pPr>
          </w:p>
        </w:tc>
        <w:tc>
          <w:tcPr>
            <w:tcW w:w="850" w:type="dxa"/>
          </w:tcPr>
          <w:p w14:paraId="775D652F" w14:textId="7490FBD4" w:rsidR="00553D21" w:rsidRPr="005016A5" w:rsidRDefault="001A1C70"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219</w:t>
            </w:r>
          </w:p>
        </w:tc>
        <w:tc>
          <w:tcPr>
            <w:tcW w:w="4820" w:type="dxa"/>
            <w:tcBorders>
              <w:top w:val="single" w:sz="4" w:space="0" w:color="auto"/>
              <w:left w:val="nil"/>
              <w:bottom w:val="single" w:sz="4" w:space="0" w:color="auto"/>
              <w:right w:val="nil"/>
            </w:tcBorders>
          </w:tcPr>
          <w:p w14:paraId="0E06A4C6" w14:textId="27AEC8E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(1) discern sociodemographic and clinical differences, (2) determine outcome rates, and (3) identify predictors of poor outcome including death. </w:t>
            </w:r>
          </w:p>
        </w:tc>
        <w:tc>
          <w:tcPr>
            <w:tcW w:w="1559" w:type="dxa"/>
          </w:tcPr>
          <w:p w14:paraId="2FEBF894" w14:textId="47CCE035"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0AAC0588" w14:textId="19C2395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Clinical outcome including mortality; predictors of poor outcome</w:t>
            </w:r>
          </w:p>
        </w:tc>
        <w:tc>
          <w:tcPr>
            <w:tcW w:w="709" w:type="dxa"/>
            <w:tcBorders>
              <w:top w:val="single" w:sz="4" w:space="0" w:color="auto"/>
              <w:left w:val="nil"/>
              <w:bottom w:val="single" w:sz="4" w:space="0" w:color="auto"/>
              <w:right w:val="single" w:sz="4" w:space="0" w:color="auto"/>
            </w:tcBorders>
          </w:tcPr>
          <w:p w14:paraId="347838C3" w14:textId="52725452" w:rsidR="00553D21" w:rsidRPr="005016A5" w:rsidRDefault="00256EA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28</w:t>
            </w:r>
          </w:p>
        </w:tc>
      </w:tr>
      <w:tr w:rsidR="00553D21" w:rsidRPr="005016A5" w14:paraId="02900B44" w14:textId="041233D1" w:rsidTr="0002675A">
        <w:trPr>
          <w:trHeight w:val="601"/>
        </w:trPr>
        <w:tc>
          <w:tcPr>
            <w:tcW w:w="1268" w:type="dxa"/>
            <w:noWrap/>
          </w:tcPr>
          <w:p w14:paraId="7E3BDA9E" w14:textId="1742C0BC" w:rsidR="00553D21" w:rsidRPr="005016A5" w:rsidRDefault="00553D21" w:rsidP="002775D4">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Arcelus</w:t>
            </w:r>
            <w:proofErr w:type="spellEnd"/>
            <w:r w:rsidRPr="005016A5">
              <w:rPr>
                <w:rFonts w:ascii="Times New Roman" w:hAnsi="Times New Roman" w:cs="Times New Roman"/>
                <w:color w:val="000000"/>
                <w:sz w:val="21"/>
                <w:szCs w:val="21"/>
              </w:rPr>
              <w:t xml:space="preserve"> et al., 2011</w:t>
            </w:r>
          </w:p>
        </w:tc>
        <w:tc>
          <w:tcPr>
            <w:tcW w:w="1279" w:type="dxa"/>
          </w:tcPr>
          <w:p w14:paraId="593EEB10" w14:textId="76E8B2CD"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5DCCB4D4" w14:textId="58205FC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08DDB451" w14:textId="6A999E00" w:rsidR="00553D21" w:rsidRPr="005016A5" w:rsidRDefault="00092ACB"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36</w:t>
            </w:r>
          </w:p>
        </w:tc>
        <w:tc>
          <w:tcPr>
            <w:tcW w:w="850" w:type="dxa"/>
          </w:tcPr>
          <w:p w14:paraId="03C47D6F"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11421810" w14:textId="78B76D2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systematically compile and </w:t>
            </w:r>
            <w:r w:rsidR="00A86BA6" w:rsidRPr="005016A5">
              <w:rPr>
                <w:rFonts w:ascii="Times New Roman" w:hAnsi="Times New Roman" w:cs="Times New Roman"/>
                <w:color w:val="000000"/>
                <w:sz w:val="21"/>
                <w:szCs w:val="21"/>
              </w:rPr>
              <w:t>analyse</w:t>
            </w:r>
            <w:r w:rsidRPr="005016A5">
              <w:rPr>
                <w:rFonts w:ascii="Times New Roman" w:hAnsi="Times New Roman" w:cs="Times New Roman"/>
                <w:color w:val="000000"/>
                <w:sz w:val="21"/>
                <w:szCs w:val="21"/>
              </w:rPr>
              <w:t xml:space="preserve"> the mortality rates in individuals with anorexia nervosa (AN), bulimia nervosa (BN), and eating disorder not otherwise specified (EDNOS).</w:t>
            </w:r>
          </w:p>
        </w:tc>
        <w:tc>
          <w:tcPr>
            <w:tcW w:w="1559" w:type="dxa"/>
          </w:tcPr>
          <w:p w14:paraId="2FA1D8A2" w14:textId="23749DF9"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sz w:val="21"/>
                <w:szCs w:val="21"/>
              </w:rPr>
              <w:t>Meta-Analysis</w:t>
            </w:r>
          </w:p>
        </w:tc>
        <w:tc>
          <w:tcPr>
            <w:tcW w:w="2268" w:type="dxa"/>
            <w:tcBorders>
              <w:top w:val="single" w:sz="4" w:space="0" w:color="auto"/>
              <w:left w:val="nil"/>
              <w:bottom w:val="single" w:sz="4" w:space="0" w:color="auto"/>
              <w:right w:val="single" w:sz="4" w:space="0" w:color="auto"/>
            </w:tcBorders>
          </w:tcPr>
          <w:p w14:paraId="6F0088E1" w14:textId="4BDD1938"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Mortality </w:t>
            </w:r>
          </w:p>
        </w:tc>
        <w:tc>
          <w:tcPr>
            <w:tcW w:w="709" w:type="dxa"/>
            <w:tcBorders>
              <w:top w:val="single" w:sz="4" w:space="0" w:color="auto"/>
              <w:left w:val="nil"/>
              <w:bottom w:val="single" w:sz="4" w:space="0" w:color="auto"/>
              <w:right w:val="single" w:sz="4" w:space="0" w:color="auto"/>
            </w:tcBorders>
          </w:tcPr>
          <w:p w14:paraId="28EF32BB" w14:textId="57B2982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w:t>
            </w:r>
          </w:p>
        </w:tc>
      </w:tr>
      <w:tr w:rsidR="00553D21" w:rsidRPr="005016A5" w14:paraId="315F3426" w14:textId="12C8016E" w:rsidTr="0002675A">
        <w:trPr>
          <w:trHeight w:val="601"/>
        </w:trPr>
        <w:tc>
          <w:tcPr>
            <w:tcW w:w="1268" w:type="dxa"/>
            <w:noWrap/>
          </w:tcPr>
          <w:p w14:paraId="299E1A2F" w14:textId="03E4D5C9"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hAnsi="Times New Roman" w:cs="Times New Roman"/>
                <w:color w:val="000000"/>
                <w:sz w:val="21"/>
                <w:szCs w:val="21"/>
              </w:rPr>
              <w:t>Button et al., 200</w:t>
            </w:r>
            <w:r w:rsidR="00F66AAE" w:rsidRPr="005016A5">
              <w:rPr>
                <w:rFonts w:ascii="Times New Roman" w:hAnsi="Times New Roman" w:cs="Times New Roman"/>
                <w:color w:val="000000"/>
                <w:sz w:val="21"/>
                <w:szCs w:val="21"/>
              </w:rPr>
              <w:t>9</w:t>
            </w:r>
          </w:p>
        </w:tc>
        <w:tc>
          <w:tcPr>
            <w:tcW w:w="1279" w:type="dxa"/>
          </w:tcPr>
          <w:p w14:paraId="4CA0C345" w14:textId="799DA9B8"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UK</w:t>
            </w:r>
          </w:p>
        </w:tc>
        <w:tc>
          <w:tcPr>
            <w:tcW w:w="1700" w:type="dxa"/>
          </w:tcPr>
          <w:p w14:paraId="74E82226" w14:textId="3015D5F3"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Outpatient (Adult, Both Sexes)</w:t>
            </w:r>
          </w:p>
        </w:tc>
        <w:tc>
          <w:tcPr>
            <w:tcW w:w="710" w:type="dxa"/>
          </w:tcPr>
          <w:p w14:paraId="6A8675BC" w14:textId="77777777" w:rsidR="00553D21" w:rsidRPr="005016A5" w:rsidRDefault="00553D21" w:rsidP="002775D4">
            <w:pPr>
              <w:rPr>
                <w:rFonts w:ascii="Times New Roman" w:hAnsi="Times New Roman" w:cs="Times New Roman"/>
                <w:color w:val="000000"/>
                <w:sz w:val="21"/>
                <w:szCs w:val="21"/>
              </w:rPr>
            </w:pPr>
          </w:p>
        </w:tc>
        <w:tc>
          <w:tcPr>
            <w:tcW w:w="850" w:type="dxa"/>
          </w:tcPr>
          <w:p w14:paraId="0928F795" w14:textId="147A2346" w:rsidR="00553D21" w:rsidRPr="005016A5" w:rsidRDefault="00C346EA"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1892</w:t>
            </w:r>
          </w:p>
        </w:tc>
        <w:tc>
          <w:tcPr>
            <w:tcW w:w="4820" w:type="dxa"/>
            <w:tcBorders>
              <w:top w:val="single" w:sz="4" w:space="0" w:color="auto"/>
              <w:left w:val="nil"/>
              <w:bottom w:val="single" w:sz="4" w:space="0" w:color="auto"/>
              <w:right w:val="nil"/>
            </w:tcBorders>
          </w:tcPr>
          <w:p w14:paraId="54677C4F" w14:textId="1396543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mortality across the spectrum of eating disorders; and to explore whether any clinical and demographic factors may be associated with increased risk.</w:t>
            </w:r>
          </w:p>
        </w:tc>
        <w:tc>
          <w:tcPr>
            <w:tcW w:w="1559" w:type="dxa"/>
          </w:tcPr>
          <w:p w14:paraId="652CF2F2" w14:textId="2DB5D708"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7126999F" w14:textId="34072859"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predictors of mortality</w:t>
            </w:r>
          </w:p>
        </w:tc>
        <w:tc>
          <w:tcPr>
            <w:tcW w:w="709" w:type="dxa"/>
            <w:tcBorders>
              <w:top w:val="single" w:sz="4" w:space="0" w:color="auto"/>
              <w:left w:val="nil"/>
              <w:bottom w:val="single" w:sz="4" w:space="0" w:color="auto"/>
              <w:right w:val="single" w:sz="4" w:space="0" w:color="auto"/>
            </w:tcBorders>
          </w:tcPr>
          <w:p w14:paraId="0299A62B" w14:textId="0D8083C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F0483E" w:rsidRPr="005016A5">
              <w:rPr>
                <w:rFonts w:ascii="Times New Roman" w:hAnsi="Times New Roman" w:cs="Times New Roman"/>
                <w:color w:val="000000"/>
                <w:sz w:val="21"/>
                <w:szCs w:val="21"/>
              </w:rPr>
              <w:t>29</w:t>
            </w:r>
          </w:p>
        </w:tc>
      </w:tr>
      <w:tr w:rsidR="00553D21" w:rsidRPr="005016A5" w14:paraId="07D09F56" w14:textId="32F94D46" w:rsidTr="0002675A">
        <w:trPr>
          <w:trHeight w:val="901"/>
        </w:trPr>
        <w:tc>
          <w:tcPr>
            <w:tcW w:w="1268" w:type="dxa"/>
            <w:noWrap/>
          </w:tcPr>
          <w:p w14:paraId="2C605CB0" w14:textId="7CECEE48"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hAnsi="Times New Roman" w:cs="Times New Roman"/>
                <w:color w:val="000000"/>
                <w:sz w:val="21"/>
                <w:szCs w:val="21"/>
              </w:rPr>
              <w:t>Chesney et al., 2014</w:t>
            </w:r>
          </w:p>
        </w:tc>
        <w:tc>
          <w:tcPr>
            <w:tcW w:w="1279" w:type="dxa"/>
          </w:tcPr>
          <w:p w14:paraId="2E4D46D4" w14:textId="287E4A7A"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Worldwide</w:t>
            </w:r>
          </w:p>
        </w:tc>
        <w:tc>
          <w:tcPr>
            <w:tcW w:w="1700" w:type="dxa"/>
          </w:tcPr>
          <w:p w14:paraId="0B933233" w14:textId="0FFBE9CA"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N/A</w:t>
            </w:r>
          </w:p>
        </w:tc>
        <w:tc>
          <w:tcPr>
            <w:tcW w:w="710" w:type="dxa"/>
          </w:tcPr>
          <w:p w14:paraId="65D72F48" w14:textId="185EA974" w:rsidR="00553D21" w:rsidRPr="005016A5" w:rsidRDefault="006F4C57"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20</w:t>
            </w:r>
          </w:p>
        </w:tc>
        <w:tc>
          <w:tcPr>
            <w:tcW w:w="850" w:type="dxa"/>
          </w:tcPr>
          <w:p w14:paraId="2B09EA4E"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4FC8EBFD" w14:textId="0E609A3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explore the risks of all-cause and suicide mortality in major mental disorders. </w:t>
            </w:r>
          </w:p>
        </w:tc>
        <w:tc>
          <w:tcPr>
            <w:tcW w:w="1559" w:type="dxa"/>
          </w:tcPr>
          <w:p w14:paraId="3B90E624" w14:textId="388B7C8D"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Review (Systematic)</w:t>
            </w:r>
          </w:p>
        </w:tc>
        <w:tc>
          <w:tcPr>
            <w:tcW w:w="2268" w:type="dxa"/>
            <w:tcBorders>
              <w:top w:val="single" w:sz="4" w:space="0" w:color="auto"/>
              <w:left w:val="nil"/>
              <w:bottom w:val="single" w:sz="4" w:space="0" w:color="auto"/>
              <w:right w:val="single" w:sz="4" w:space="0" w:color="auto"/>
            </w:tcBorders>
          </w:tcPr>
          <w:p w14:paraId="69339F6A" w14:textId="5A361107"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cause of death</w:t>
            </w:r>
          </w:p>
        </w:tc>
        <w:tc>
          <w:tcPr>
            <w:tcW w:w="709" w:type="dxa"/>
            <w:tcBorders>
              <w:top w:val="single" w:sz="4" w:space="0" w:color="auto"/>
              <w:left w:val="nil"/>
              <w:bottom w:val="single" w:sz="4" w:space="0" w:color="auto"/>
              <w:right w:val="single" w:sz="4" w:space="0" w:color="auto"/>
            </w:tcBorders>
          </w:tcPr>
          <w:p w14:paraId="7FAD3F66" w14:textId="5AC57F49"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9B63A1" w:rsidRPr="005016A5">
              <w:rPr>
                <w:rFonts w:ascii="Times New Roman" w:hAnsi="Times New Roman" w:cs="Times New Roman"/>
                <w:color w:val="000000"/>
                <w:sz w:val="21"/>
                <w:szCs w:val="21"/>
              </w:rPr>
              <w:t>50</w:t>
            </w:r>
          </w:p>
        </w:tc>
      </w:tr>
      <w:tr w:rsidR="00553D21" w:rsidRPr="005016A5" w14:paraId="09DC0E87" w14:textId="76507822" w:rsidTr="0002675A">
        <w:trPr>
          <w:trHeight w:val="543"/>
        </w:trPr>
        <w:tc>
          <w:tcPr>
            <w:tcW w:w="1268" w:type="dxa"/>
            <w:noWrap/>
          </w:tcPr>
          <w:p w14:paraId="697D6016" w14:textId="7CEA3571"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Crowet</w:t>
            </w:r>
            <w:proofErr w:type="spellEnd"/>
            <w:r w:rsidRPr="005016A5">
              <w:rPr>
                <w:rFonts w:ascii="Times New Roman" w:hAnsi="Times New Roman" w:cs="Times New Roman"/>
                <w:color w:val="000000"/>
                <w:sz w:val="21"/>
                <w:szCs w:val="21"/>
              </w:rPr>
              <w:t xml:space="preserve"> al. 2014</w:t>
            </w:r>
          </w:p>
        </w:tc>
        <w:tc>
          <w:tcPr>
            <w:tcW w:w="1279" w:type="dxa"/>
          </w:tcPr>
          <w:p w14:paraId="5E6B001F" w14:textId="04226FE4"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US</w:t>
            </w:r>
          </w:p>
        </w:tc>
        <w:tc>
          <w:tcPr>
            <w:tcW w:w="1700" w:type="dxa"/>
          </w:tcPr>
          <w:p w14:paraId="5D6C1473" w14:textId="14E1EA95"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Outpatient (Adult, Both Sexes)</w:t>
            </w:r>
          </w:p>
        </w:tc>
        <w:tc>
          <w:tcPr>
            <w:tcW w:w="710" w:type="dxa"/>
          </w:tcPr>
          <w:p w14:paraId="488D38E7" w14:textId="77777777" w:rsidR="00553D21" w:rsidRPr="005016A5" w:rsidRDefault="00553D21" w:rsidP="002775D4">
            <w:pPr>
              <w:rPr>
                <w:rFonts w:ascii="Times New Roman" w:hAnsi="Times New Roman" w:cs="Times New Roman"/>
                <w:color w:val="000000"/>
                <w:sz w:val="21"/>
                <w:szCs w:val="21"/>
              </w:rPr>
            </w:pPr>
          </w:p>
        </w:tc>
        <w:tc>
          <w:tcPr>
            <w:tcW w:w="850" w:type="dxa"/>
          </w:tcPr>
          <w:p w14:paraId="4B414EA7" w14:textId="2E3111AF" w:rsidR="00553D21" w:rsidRPr="005016A5" w:rsidRDefault="004C2739"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417484" w:rsidRPr="005016A5">
              <w:rPr>
                <w:rFonts w:ascii="Times New Roman" w:hAnsi="Times New Roman" w:cs="Times New Roman"/>
                <w:color w:val="000000"/>
                <w:sz w:val="21"/>
                <w:szCs w:val="21"/>
              </w:rPr>
              <w:t>3,103</w:t>
            </w:r>
          </w:p>
        </w:tc>
        <w:tc>
          <w:tcPr>
            <w:tcW w:w="4820" w:type="dxa"/>
            <w:tcBorders>
              <w:top w:val="single" w:sz="4" w:space="0" w:color="auto"/>
              <w:left w:val="nil"/>
              <w:bottom w:val="single" w:sz="4" w:space="0" w:color="auto"/>
              <w:right w:val="nil"/>
            </w:tcBorders>
          </w:tcPr>
          <w:p w14:paraId="5807CC2D" w14:textId="46371C3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determine whether anorexia nervosa, bulimia nervosa, and eating disorder not otherwise specified are associated with increased all-cause mortality or suicide mortality.</w:t>
            </w:r>
          </w:p>
        </w:tc>
        <w:tc>
          <w:tcPr>
            <w:tcW w:w="1559" w:type="dxa"/>
          </w:tcPr>
          <w:p w14:paraId="1D34D487" w14:textId="6EF1DDBE"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10C1BAF8" w14:textId="4FD4B749"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cause of death</w:t>
            </w:r>
          </w:p>
        </w:tc>
        <w:tc>
          <w:tcPr>
            <w:tcW w:w="709" w:type="dxa"/>
            <w:tcBorders>
              <w:top w:val="single" w:sz="4" w:space="0" w:color="auto"/>
              <w:left w:val="nil"/>
              <w:bottom w:val="single" w:sz="4" w:space="0" w:color="auto"/>
              <w:right w:val="single" w:sz="4" w:space="0" w:color="auto"/>
            </w:tcBorders>
          </w:tcPr>
          <w:p w14:paraId="61555A58" w14:textId="28867A3F"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A31236" w:rsidRPr="005016A5">
              <w:rPr>
                <w:rFonts w:ascii="Times New Roman" w:hAnsi="Times New Roman" w:cs="Times New Roman"/>
                <w:color w:val="000000"/>
                <w:sz w:val="21"/>
                <w:szCs w:val="21"/>
              </w:rPr>
              <w:t>42</w:t>
            </w:r>
          </w:p>
        </w:tc>
      </w:tr>
      <w:tr w:rsidR="00553D21" w:rsidRPr="005016A5" w14:paraId="7EB65D6D" w14:textId="330E99FE" w:rsidTr="0002675A">
        <w:trPr>
          <w:trHeight w:val="315"/>
        </w:trPr>
        <w:tc>
          <w:tcPr>
            <w:tcW w:w="1268" w:type="dxa"/>
            <w:noWrap/>
          </w:tcPr>
          <w:p w14:paraId="5A25FF0C" w14:textId="2D0E9B17"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Fichter</w:t>
            </w:r>
            <w:proofErr w:type="spellEnd"/>
            <w:r w:rsidRPr="005016A5">
              <w:rPr>
                <w:rFonts w:ascii="Times New Roman" w:hAnsi="Times New Roman" w:cs="Times New Roman"/>
                <w:color w:val="000000"/>
                <w:sz w:val="21"/>
                <w:szCs w:val="21"/>
              </w:rPr>
              <w:t xml:space="preserve"> et al., 2021</w:t>
            </w:r>
          </w:p>
        </w:tc>
        <w:tc>
          <w:tcPr>
            <w:tcW w:w="1279" w:type="dxa"/>
          </w:tcPr>
          <w:p w14:paraId="25FAEAD0" w14:textId="2460883D"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Germany</w:t>
            </w:r>
          </w:p>
        </w:tc>
        <w:tc>
          <w:tcPr>
            <w:tcW w:w="1700" w:type="dxa"/>
          </w:tcPr>
          <w:p w14:paraId="1C8F79CB" w14:textId="288D4AEE"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Inpatient (Adult, Both Sexes)</w:t>
            </w:r>
          </w:p>
        </w:tc>
        <w:tc>
          <w:tcPr>
            <w:tcW w:w="710" w:type="dxa"/>
          </w:tcPr>
          <w:p w14:paraId="32D5201B" w14:textId="77777777" w:rsidR="00553D21" w:rsidRPr="005016A5" w:rsidRDefault="00553D21" w:rsidP="002775D4">
            <w:pPr>
              <w:rPr>
                <w:rFonts w:ascii="Times New Roman" w:hAnsi="Times New Roman" w:cs="Times New Roman"/>
                <w:color w:val="000000"/>
                <w:sz w:val="21"/>
                <w:szCs w:val="21"/>
              </w:rPr>
            </w:pPr>
          </w:p>
        </w:tc>
        <w:tc>
          <w:tcPr>
            <w:tcW w:w="850" w:type="dxa"/>
          </w:tcPr>
          <w:p w14:paraId="16367BCB" w14:textId="11E4F165" w:rsidR="00553D21" w:rsidRPr="005016A5" w:rsidRDefault="00C8638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5484</w:t>
            </w:r>
          </w:p>
        </w:tc>
        <w:tc>
          <w:tcPr>
            <w:tcW w:w="4820" w:type="dxa"/>
            <w:tcBorders>
              <w:top w:val="single" w:sz="4" w:space="0" w:color="auto"/>
              <w:left w:val="nil"/>
              <w:bottom w:val="single" w:sz="4" w:space="0" w:color="auto"/>
              <w:right w:val="nil"/>
            </w:tcBorders>
          </w:tcPr>
          <w:p w14:paraId="6DC823BF" w14:textId="2A298740"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report on the mortality of DSM-IV eating disorders and predictors of premature death in males compared to females after inpatient treatment.</w:t>
            </w:r>
          </w:p>
        </w:tc>
        <w:tc>
          <w:tcPr>
            <w:tcW w:w="1559" w:type="dxa"/>
          </w:tcPr>
          <w:p w14:paraId="0E7A07AF" w14:textId="051A1048"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Longitudinal (&gt;10yr); Case-control analytic study</w:t>
            </w:r>
          </w:p>
        </w:tc>
        <w:tc>
          <w:tcPr>
            <w:tcW w:w="2268" w:type="dxa"/>
            <w:tcBorders>
              <w:top w:val="single" w:sz="4" w:space="0" w:color="auto"/>
              <w:left w:val="nil"/>
              <w:bottom w:val="single" w:sz="4" w:space="0" w:color="auto"/>
              <w:right w:val="single" w:sz="4" w:space="0" w:color="auto"/>
            </w:tcBorders>
          </w:tcPr>
          <w:p w14:paraId="5B57D939" w14:textId="53EF482A"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 xml:space="preserve">Mortality </w:t>
            </w:r>
          </w:p>
        </w:tc>
        <w:tc>
          <w:tcPr>
            <w:tcW w:w="709" w:type="dxa"/>
            <w:tcBorders>
              <w:top w:val="single" w:sz="4" w:space="0" w:color="auto"/>
              <w:left w:val="nil"/>
              <w:bottom w:val="single" w:sz="4" w:space="0" w:color="auto"/>
              <w:right w:val="single" w:sz="4" w:space="0" w:color="auto"/>
            </w:tcBorders>
          </w:tcPr>
          <w:p w14:paraId="4214A122" w14:textId="49733E32"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w:t>
            </w:r>
          </w:p>
        </w:tc>
      </w:tr>
      <w:tr w:rsidR="00553D21" w:rsidRPr="005016A5" w14:paraId="514F5B65" w14:textId="34104875" w:rsidTr="0002675A">
        <w:trPr>
          <w:trHeight w:val="315"/>
        </w:trPr>
        <w:tc>
          <w:tcPr>
            <w:tcW w:w="1268" w:type="dxa"/>
            <w:noWrap/>
          </w:tcPr>
          <w:p w14:paraId="352B1848" w14:textId="4BCDF63E"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Fichter</w:t>
            </w:r>
            <w:proofErr w:type="spellEnd"/>
            <w:r w:rsidRPr="005016A5">
              <w:rPr>
                <w:rFonts w:ascii="Times New Roman" w:hAnsi="Times New Roman" w:cs="Times New Roman"/>
                <w:color w:val="000000"/>
                <w:sz w:val="21"/>
                <w:szCs w:val="21"/>
              </w:rPr>
              <w:t xml:space="preserve"> et al., 2016</w:t>
            </w:r>
          </w:p>
        </w:tc>
        <w:tc>
          <w:tcPr>
            <w:tcW w:w="1279" w:type="dxa"/>
          </w:tcPr>
          <w:p w14:paraId="51179D46" w14:textId="376C8B5B"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Germany</w:t>
            </w:r>
          </w:p>
        </w:tc>
        <w:tc>
          <w:tcPr>
            <w:tcW w:w="1700" w:type="dxa"/>
          </w:tcPr>
          <w:p w14:paraId="179EF6E5" w14:textId="3E0B1F5F"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Inpatient (Adult, Both Sexes)</w:t>
            </w:r>
          </w:p>
        </w:tc>
        <w:tc>
          <w:tcPr>
            <w:tcW w:w="710" w:type="dxa"/>
          </w:tcPr>
          <w:p w14:paraId="773DBA04" w14:textId="77777777" w:rsidR="00553D21" w:rsidRPr="005016A5" w:rsidRDefault="00553D21" w:rsidP="002775D4">
            <w:pPr>
              <w:rPr>
                <w:rFonts w:ascii="Times New Roman" w:hAnsi="Times New Roman" w:cs="Times New Roman"/>
                <w:color w:val="000000"/>
                <w:sz w:val="21"/>
                <w:szCs w:val="21"/>
              </w:rPr>
            </w:pPr>
          </w:p>
        </w:tc>
        <w:tc>
          <w:tcPr>
            <w:tcW w:w="850" w:type="dxa"/>
          </w:tcPr>
          <w:p w14:paraId="4A998100" w14:textId="7D8B95F9" w:rsidR="00553D21" w:rsidRPr="005016A5" w:rsidRDefault="00F41DF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5839</w:t>
            </w:r>
          </w:p>
        </w:tc>
        <w:tc>
          <w:tcPr>
            <w:tcW w:w="4820" w:type="dxa"/>
            <w:tcBorders>
              <w:top w:val="single" w:sz="4" w:space="0" w:color="auto"/>
              <w:left w:val="nil"/>
              <w:bottom w:val="single" w:sz="4" w:space="0" w:color="auto"/>
              <w:right w:val="nil"/>
            </w:tcBorders>
          </w:tcPr>
          <w:p w14:paraId="333665E3" w14:textId="23F35F3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report on long-term mortality in anorexia nervosa (AN), bulimia nervosa (BN), binge eating disorder (BED), and eating disorder not otherwise specified (ED-NOS), causes of death, and predictors of early death.</w:t>
            </w:r>
          </w:p>
        </w:tc>
        <w:tc>
          <w:tcPr>
            <w:tcW w:w="1559" w:type="dxa"/>
          </w:tcPr>
          <w:p w14:paraId="62CF49CD" w14:textId="0B9107C1"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Longitudinal (2-20+ years)</w:t>
            </w:r>
          </w:p>
        </w:tc>
        <w:tc>
          <w:tcPr>
            <w:tcW w:w="2268" w:type="dxa"/>
            <w:tcBorders>
              <w:top w:val="single" w:sz="4" w:space="0" w:color="auto"/>
              <w:left w:val="nil"/>
              <w:bottom w:val="single" w:sz="4" w:space="0" w:color="auto"/>
              <w:right w:val="single" w:sz="4" w:space="0" w:color="auto"/>
            </w:tcBorders>
          </w:tcPr>
          <w:p w14:paraId="1926FEF3" w14:textId="55E31BE7"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and cause of death</w:t>
            </w:r>
          </w:p>
        </w:tc>
        <w:tc>
          <w:tcPr>
            <w:tcW w:w="709" w:type="dxa"/>
            <w:tcBorders>
              <w:top w:val="single" w:sz="4" w:space="0" w:color="auto"/>
              <w:left w:val="nil"/>
              <w:bottom w:val="single" w:sz="4" w:space="0" w:color="auto"/>
              <w:right w:val="single" w:sz="4" w:space="0" w:color="auto"/>
            </w:tcBorders>
          </w:tcPr>
          <w:p w14:paraId="3176A83E" w14:textId="21E812C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A12DCE" w:rsidRPr="005016A5">
              <w:rPr>
                <w:rFonts w:ascii="Times New Roman" w:hAnsi="Times New Roman" w:cs="Times New Roman"/>
                <w:color w:val="000000"/>
                <w:sz w:val="21"/>
                <w:szCs w:val="21"/>
              </w:rPr>
              <w:t>35</w:t>
            </w:r>
          </w:p>
        </w:tc>
      </w:tr>
      <w:tr w:rsidR="00553D21" w:rsidRPr="005016A5" w14:paraId="701CBBF6" w14:textId="464CA623" w:rsidTr="0002675A">
        <w:trPr>
          <w:trHeight w:val="315"/>
        </w:trPr>
        <w:tc>
          <w:tcPr>
            <w:tcW w:w="1268" w:type="dxa"/>
            <w:noWrap/>
          </w:tcPr>
          <w:p w14:paraId="6C721857" w14:textId="04B24DE1"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hAnsi="Times New Roman" w:cs="Times New Roman"/>
                <w:color w:val="000000"/>
                <w:sz w:val="21"/>
                <w:szCs w:val="21"/>
              </w:rPr>
              <w:t>Franko et al., 2013</w:t>
            </w:r>
          </w:p>
        </w:tc>
        <w:tc>
          <w:tcPr>
            <w:tcW w:w="1279" w:type="dxa"/>
          </w:tcPr>
          <w:p w14:paraId="5C1FCAAB" w14:textId="476265DD"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US</w:t>
            </w:r>
          </w:p>
        </w:tc>
        <w:tc>
          <w:tcPr>
            <w:tcW w:w="1700" w:type="dxa"/>
          </w:tcPr>
          <w:p w14:paraId="3A0F145A" w14:textId="2B48B141"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Outpatient (Aged &gt;12, Females)</w:t>
            </w:r>
          </w:p>
        </w:tc>
        <w:tc>
          <w:tcPr>
            <w:tcW w:w="710" w:type="dxa"/>
          </w:tcPr>
          <w:p w14:paraId="47AA1F4B" w14:textId="77777777" w:rsidR="00553D21" w:rsidRPr="005016A5" w:rsidRDefault="00553D21" w:rsidP="002775D4">
            <w:pPr>
              <w:rPr>
                <w:rFonts w:ascii="Times New Roman" w:hAnsi="Times New Roman" w:cs="Times New Roman"/>
                <w:color w:val="000000"/>
                <w:sz w:val="21"/>
                <w:szCs w:val="21"/>
              </w:rPr>
            </w:pPr>
          </w:p>
        </w:tc>
        <w:tc>
          <w:tcPr>
            <w:tcW w:w="850" w:type="dxa"/>
          </w:tcPr>
          <w:p w14:paraId="6A907FA4" w14:textId="2E845AEC" w:rsidR="00553D21" w:rsidRPr="005016A5" w:rsidRDefault="008C27AE"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246</w:t>
            </w:r>
          </w:p>
        </w:tc>
        <w:tc>
          <w:tcPr>
            <w:tcW w:w="4820" w:type="dxa"/>
            <w:tcBorders>
              <w:top w:val="single" w:sz="4" w:space="0" w:color="auto"/>
              <w:left w:val="nil"/>
              <w:bottom w:val="single" w:sz="4" w:space="0" w:color="auto"/>
              <w:right w:val="nil"/>
            </w:tcBorders>
          </w:tcPr>
          <w:p w14:paraId="260F3AE7" w14:textId="0AF4C0A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examine standardized mortality ratios at two longitudinal points </w:t>
            </w:r>
            <w:proofErr w:type="gramStart"/>
            <w:r w:rsidRPr="005016A5">
              <w:rPr>
                <w:rFonts w:ascii="Times New Roman" w:hAnsi="Times New Roman" w:cs="Times New Roman"/>
                <w:color w:val="000000"/>
                <w:sz w:val="21"/>
                <w:szCs w:val="21"/>
              </w:rPr>
              <w:t>and also</w:t>
            </w:r>
            <w:proofErr w:type="gramEnd"/>
            <w:r w:rsidRPr="005016A5">
              <w:rPr>
                <w:rFonts w:ascii="Times New Roman" w:hAnsi="Times New Roman" w:cs="Times New Roman"/>
                <w:color w:val="000000"/>
                <w:sz w:val="21"/>
                <w:szCs w:val="21"/>
              </w:rPr>
              <w:t xml:space="preserve"> at varying years of duration of the illness, to see whether there is a peak period for death in eating disorders; and to examine factors that might increase the vulnerability to premature death. </w:t>
            </w:r>
          </w:p>
        </w:tc>
        <w:tc>
          <w:tcPr>
            <w:tcW w:w="1559" w:type="dxa"/>
          </w:tcPr>
          <w:p w14:paraId="38BEA023" w14:textId="0F480D23"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Longitudinal (&gt;10yr)</w:t>
            </w:r>
          </w:p>
        </w:tc>
        <w:tc>
          <w:tcPr>
            <w:tcW w:w="2268" w:type="dxa"/>
            <w:tcBorders>
              <w:top w:val="single" w:sz="4" w:space="0" w:color="auto"/>
              <w:left w:val="nil"/>
              <w:bottom w:val="single" w:sz="4" w:space="0" w:color="auto"/>
              <w:right w:val="single" w:sz="4" w:space="0" w:color="auto"/>
            </w:tcBorders>
          </w:tcPr>
          <w:p w14:paraId="5086FF64" w14:textId="5A2CC2B7"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predictors of mortality</w:t>
            </w:r>
          </w:p>
        </w:tc>
        <w:tc>
          <w:tcPr>
            <w:tcW w:w="709" w:type="dxa"/>
            <w:tcBorders>
              <w:top w:val="single" w:sz="4" w:space="0" w:color="auto"/>
              <w:left w:val="nil"/>
              <w:bottom w:val="single" w:sz="4" w:space="0" w:color="auto"/>
              <w:right w:val="single" w:sz="4" w:space="0" w:color="auto"/>
            </w:tcBorders>
          </w:tcPr>
          <w:p w14:paraId="456CBD6B" w14:textId="394B7C41" w:rsidR="00553D21" w:rsidRPr="005016A5" w:rsidRDefault="00660CB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49</w:t>
            </w:r>
          </w:p>
        </w:tc>
      </w:tr>
      <w:tr w:rsidR="00553D21" w:rsidRPr="005016A5" w14:paraId="227E27E1" w14:textId="64DF7BD2" w:rsidTr="0002675A">
        <w:trPr>
          <w:trHeight w:val="315"/>
        </w:trPr>
        <w:tc>
          <w:tcPr>
            <w:tcW w:w="1268" w:type="dxa"/>
            <w:noWrap/>
          </w:tcPr>
          <w:p w14:paraId="1963BE09" w14:textId="46EBA393"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lastRenderedPageBreak/>
              <w:t>Guinhut</w:t>
            </w:r>
            <w:proofErr w:type="spellEnd"/>
            <w:r w:rsidRPr="005016A5">
              <w:rPr>
                <w:rFonts w:ascii="Times New Roman" w:hAnsi="Times New Roman" w:cs="Times New Roman"/>
                <w:color w:val="000000"/>
                <w:sz w:val="21"/>
                <w:szCs w:val="21"/>
              </w:rPr>
              <w:t xml:space="preserve"> et al., 2021</w:t>
            </w:r>
          </w:p>
        </w:tc>
        <w:tc>
          <w:tcPr>
            <w:tcW w:w="1279" w:type="dxa"/>
          </w:tcPr>
          <w:p w14:paraId="4277C308" w14:textId="58EF2BB9"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France</w:t>
            </w:r>
          </w:p>
        </w:tc>
        <w:tc>
          <w:tcPr>
            <w:tcW w:w="1700" w:type="dxa"/>
          </w:tcPr>
          <w:p w14:paraId="4E5FA367" w14:textId="123C2663"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Inpatient (Aged &gt;15, Both Sexes)</w:t>
            </w:r>
          </w:p>
        </w:tc>
        <w:tc>
          <w:tcPr>
            <w:tcW w:w="710" w:type="dxa"/>
          </w:tcPr>
          <w:p w14:paraId="7AD68CCB" w14:textId="77777777" w:rsidR="00553D21" w:rsidRPr="005016A5" w:rsidRDefault="00553D21" w:rsidP="002775D4">
            <w:pPr>
              <w:rPr>
                <w:rFonts w:ascii="Times New Roman" w:hAnsi="Times New Roman" w:cs="Times New Roman"/>
                <w:color w:val="000000"/>
                <w:sz w:val="21"/>
                <w:szCs w:val="21"/>
              </w:rPr>
            </w:pPr>
          </w:p>
        </w:tc>
        <w:tc>
          <w:tcPr>
            <w:tcW w:w="850" w:type="dxa"/>
          </w:tcPr>
          <w:p w14:paraId="0573FFB4" w14:textId="43BC6F55" w:rsidR="00553D21" w:rsidRPr="005016A5" w:rsidRDefault="00592817"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384</w:t>
            </w:r>
          </w:p>
        </w:tc>
        <w:tc>
          <w:tcPr>
            <w:tcW w:w="4820" w:type="dxa"/>
            <w:tcBorders>
              <w:top w:val="single" w:sz="4" w:space="0" w:color="auto"/>
              <w:left w:val="nil"/>
              <w:bottom w:val="single" w:sz="4" w:space="0" w:color="auto"/>
              <w:right w:val="nil"/>
            </w:tcBorders>
          </w:tcPr>
          <w:p w14:paraId="69C22CB6" w14:textId="6143E9F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estimate standardized mortality ratio (SMR), investigate predictive factors of mortality and causes of death among a sample of patients with AN admitted to a specialized clinical nutrition unit (CNU) because of extremely severe malnutrition.</w:t>
            </w:r>
          </w:p>
        </w:tc>
        <w:tc>
          <w:tcPr>
            <w:tcW w:w="1559" w:type="dxa"/>
          </w:tcPr>
          <w:p w14:paraId="46DA4153" w14:textId="1A649988"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3A0A45BE" w14:textId="2062C742"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SMR</w:t>
            </w:r>
          </w:p>
        </w:tc>
        <w:tc>
          <w:tcPr>
            <w:tcW w:w="709" w:type="dxa"/>
            <w:tcBorders>
              <w:top w:val="single" w:sz="4" w:space="0" w:color="auto"/>
              <w:left w:val="nil"/>
              <w:bottom w:val="single" w:sz="4" w:space="0" w:color="auto"/>
              <w:right w:val="single" w:sz="4" w:space="0" w:color="auto"/>
            </w:tcBorders>
          </w:tcPr>
          <w:p w14:paraId="7BB4BF8D" w14:textId="3C003E6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112</w:t>
            </w:r>
          </w:p>
        </w:tc>
      </w:tr>
      <w:tr w:rsidR="00553D21" w:rsidRPr="005016A5" w14:paraId="2FB9ED02" w14:textId="6198790F" w:rsidTr="0002675A">
        <w:trPr>
          <w:trHeight w:val="315"/>
        </w:trPr>
        <w:tc>
          <w:tcPr>
            <w:tcW w:w="1268" w:type="dxa"/>
            <w:noWrap/>
          </w:tcPr>
          <w:p w14:paraId="5CCC9696" w14:textId="010E2939" w:rsidR="00553D21" w:rsidRPr="005016A5" w:rsidRDefault="00553D21" w:rsidP="002775D4">
            <w:pPr>
              <w:rPr>
                <w:rFonts w:ascii="Times New Roman" w:eastAsia="Times New Roman" w:hAnsi="Times New Roman" w:cs="Times New Roman"/>
                <w:color w:val="000000"/>
                <w:sz w:val="21"/>
                <w:szCs w:val="21"/>
                <w:lang w:eastAsia="en-GB"/>
              </w:rPr>
            </w:pPr>
            <w:r w:rsidRPr="005016A5">
              <w:rPr>
                <w:rFonts w:ascii="Times New Roman" w:hAnsi="Times New Roman" w:cs="Times New Roman"/>
                <w:color w:val="000000"/>
                <w:sz w:val="21"/>
                <w:szCs w:val="21"/>
              </w:rPr>
              <w:t>Hoang et al., 2014</w:t>
            </w:r>
          </w:p>
        </w:tc>
        <w:tc>
          <w:tcPr>
            <w:tcW w:w="1279" w:type="dxa"/>
          </w:tcPr>
          <w:p w14:paraId="483D27CC" w14:textId="17501D57"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UK</w:t>
            </w:r>
          </w:p>
        </w:tc>
        <w:tc>
          <w:tcPr>
            <w:tcW w:w="1700" w:type="dxa"/>
          </w:tcPr>
          <w:p w14:paraId="5A15E363" w14:textId="16167E86"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Inpatient (All Ages, Both Sexes)</w:t>
            </w:r>
          </w:p>
        </w:tc>
        <w:tc>
          <w:tcPr>
            <w:tcW w:w="710" w:type="dxa"/>
          </w:tcPr>
          <w:p w14:paraId="6687C487" w14:textId="77777777" w:rsidR="00553D21" w:rsidRPr="005016A5" w:rsidRDefault="00553D21" w:rsidP="002775D4">
            <w:pPr>
              <w:rPr>
                <w:rFonts w:ascii="Times New Roman" w:hAnsi="Times New Roman" w:cs="Times New Roman"/>
                <w:color w:val="000000"/>
                <w:sz w:val="21"/>
                <w:szCs w:val="21"/>
              </w:rPr>
            </w:pPr>
          </w:p>
        </w:tc>
        <w:tc>
          <w:tcPr>
            <w:tcW w:w="850" w:type="dxa"/>
          </w:tcPr>
          <w:p w14:paraId="15A7981E" w14:textId="09EBCB8F" w:rsidR="00553D21" w:rsidRPr="005016A5" w:rsidRDefault="00FF6FC2"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34,166</w:t>
            </w:r>
          </w:p>
        </w:tc>
        <w:tc>
          <w:tcPr>
            <w:tcW w:w="4820" w:type="dxa"/>
            <w:tcBorders>
              <w:top w:val="single" w:sz="4" w:space="0" w:color="auto"/>
              <w:left w:val="nil"/>
              <w:bottom w:val="single" w:sz="4" w:space="0" w:color="auto"/>
              <w:right w:val="nil"/>
            </w:tcBorders>
          </w:tcPr>
          <w:p w14:paraId="285A54A1" w14:textId="299A0B13"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calculate mortality of people with eating disorders (ED) in England, relative to that of people of the same age and sex, between 2001 and 2009, with a focus on adolescents and young adults (15–24 years), and older adults (25–44 years).</w:t>
            </w:r>
          </w:p>
        </w:tc>
        <w:tc>
          <w:tcPr>
            <w:tcW w:w="1559" w:type="dxa"/>
          </w:tcPr>
          <w:p w14:paraId="3BA39462" w14:textId="1A706FF7"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Modelling (Statistical)</w:t>
            </w:r>
          </w:p>
        </w:tc>
        <w:tc>
          <w:tcPr>
            <w:tcW w:w="2268" w:type="dxa"/>
            <w:tcBorders>
              <w:top w:val="single" w:sz="4" w:space="0" w:color="auto"/>
              <w:left w:val="nil"/>
              <w:bottom w:val="single" w:sz="4" w:space="0" w:color="auto"/>
              <w:right w:val="single" w:sz="4" w:space="0" w:color="auto"/>
            </w:tcBorders>
          </w:tcPr>
          <w:p w14:paraId="3E499C5A" w14:textId="6684204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SMR, cause of death</w:t>
            </w:r>
          </w:p>
        </w:tc>
        <w:tc>
          <w:tcPr>
            <w:tcW w:w="709" w:type="dxa"/>
            <w:tcBorders>
              <w:top w:val="single" w:sz="4" w:space="0" w:color="auto"/>
              <w:left w:val="nil"/>
              <w:bottom w:val="single" w:sz="4" w:space="0" w:color="auto"/>
              <w:right w:val="single" w:sz="4" w:space="0" w:color="auto"/>
            </w:tcBorders>
          </w:tcPr>
          <w:p w14:paraId="1AAD3985" w14:textId="2E25BAE5"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111</w:t>
            </w:r>
          </w:p>
        </w:tc>
      </w:tr>
      <w:tr w:rsidR="00553D21" w:rsidRPr="005016A5" w14:paraId="6F59B3B0" w14:textId="3D86241E" w:rsidTr="0002675A">
        <w:trPr>
          <w:trHeight w:val="315"/>
        </w:trPr>
        <w:tc>
          <w:tcPr>
            <w:tcW w:w="1268" w:type="dxa"/>
            <w:noWrap/>
          </w:tcPr>
          <w:p w14:paraId="0AC62A84" w14:textId="75D85EC6"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Huas</w:t>
            </w:r>
            <w:proofErr w:type="spellEnd"/>
            <w:r w:rsidRPr="005016A5">
              <w:rPr>
                <w:rFonts w:ascii="Times New Roman" w:hAnsi="Times New Roman" w:cs="Times New Roman"/>
                <w:color w:val="000000"/>
                <w:sz w:val="21"/>
                <w:szCs w:val="21"/>
              </w:rPr>
              <w:t xml:space="preserve"> et al., 2011</w:t>
            </w:r>
          </w:p>
        </w:tc>
        <w:tc>
          <w:tcPr>
            <w:tcW w:w="1279" w:type="dxa"/>
          </w:tcPr>
          <w:p w14:paraId="0F067662" w14:textId="08B8B73D"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France</w:t>
            </w:r>
          </w:p>
        </w:tc>
        <w:tc>
          <w:tcPr>
            <w:tcW w:w="1700" w:type="dxa"/>
          </w:tcPr>
          <w:p w14:paraId="66761738" w14:textId="375CD093"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Inpatient (Adult, Females)</w:t>
            </w:r>
          </w:p>
        </w:tc>
        <w:tc>
          <w:tcPr>
            <w:tcW w:w="710" w:type="dxa"/>
          </w:tcPr>
          <w:p w14:paraId="0F21B68B" w14:textId="77777777" w:rsidR="00553D21" w:rsidRPr="005016A5" w:rsidRDefault="00553D21" w:rsidP="002775D4">
            <w:pPr>
              <w:rPr>
                <w:rFonts w:ascii="Times New Roman" w:hAnsi="Times New Roman" w:cs="Times New Roman"/>
                <w:color w:val="000000"/>
                <w:sz w:val="21"/>
                <w:szCs w:val="21"/>
              </w:rPr>
            </w:pPr>
          </w:p>
        </w:tc>
        <w:tc>
          <w:tcPr>
            <w:tcW w:w="850" w:type="dxa"/>
          </w:tcPr>
          <w:p w14:paraId="52A0249E" w14:textId="7B2DD39A" w:rsidR="00553D21" w:rsidRPr="005016A5" w:rsidRDefault="00327FD6"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601</w:t>
            </w:r>
          </w:p>
        </w:tc>
        <w:tc>
          <w:tcPr>
            <w:tcW w:w="4820" w:type="dxa"/>
            <w:tcBorders>
              <w:top w:val="single" w:sz="4" w:space="0" w:color="auto"/>
              <w:left w:val="nil"/>
              <w:bottom w:val="single" w:sz="4" w:space="0" w:color="auto"/>
              <w:right w:val="nil"/>
            </w:tcBorders>
          </w:tcPr>
          <w:p w14:paraId="7EDF1655" w14:textId="44F6FEF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establish mortality rates and identify predictors in a large sample of adults through a 10-year post in-patient treatment follow-up.</w:t>
            </w:r>
          </w:p>
        </w:tc>
        <w:tc>
          <w:tcPr>
            <w:tcW w:w="1559" w:type="dxa"/>
          </w:tcPr>
          <w:p w14:paraId="50D632B6" w14:textId="0FF56D79"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Longitudinal (&gt;5yr)</w:t>
            </w:r>
          </w:p>
        </w:tc>
        <w:tc>
          <w:tcPr>
            <w:tcW w:w="2268" w:type="dxa"/>
            <w:tcBorders>
              <w:top w:val="single" w:sz="4" w:space="0" w:color="auto"/>
              <w:left w:val="nil"/>
              <w:bottom w:val="single" w:sz="4" w:space="0" w:color="auto"/>
              <w:right w:val="single" w:sz="4" w:space="0" w:color="auto"/>
            </w:tcBorders>
          </w:tcPr>
          <w:p w14:paraId="0176878C" w14:textId="5575850F"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Crude and standardised mortality</w:t>
            </w:r>
          </w:p>
        </w:tc>
        <w:tc>
          <w:tcPr>
            <w:tcW w:w="709" w:type="dxa"/>
            <w:tcBorders>
              <w:top w:val="single" w:sz="4" w:space="0" w:color="auto"/>
              <w:left w:val="nil"/>
              <w:bottom w:val="single" w:sz="4" w:space="0" w:color="auto"/>
              <w:right w:val="single" w:sz="4" w:space="0" w:color="auto"/>
            </w:tcBorders>
          </w:tcPr>
          <w:p w14:paraId="255FC868" w14:textId="6F669773" w:rsidR="00553D21" w:rsidRPr="005016A5" w:rsidRDefault="00263F6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6</w:t>
            </w:r>
            <w:r w:rsidR="00553D21" w:rsidRPr="005016A5">
              <w:rPr>
                <w:rFonts w:ascii="Times New Roman" w:hAnsi="Times New Roman" w:cs="Times New Roman"/>
                <w:color w:val="000000"/>
                <w:sz w:val="21"/>
                <w:szCs w:val="21"/>
              </w:rPr>
              <w:t>8</w:t>
            </w:r>
          </w:p>
        </w:tc>
      </w:tr>
      <w:tr w:rsidR="00553D21" w:rsidRPr="005016A5" w14:paraId="7F74B874" w14:textId="46C8A6DE" w:rsidTr="0002675A">
        <w:trPr>
          <w:trHeight w:val="315"/>
        </w:trPr>
        <w:tc>
          <w:tcPr>
            <w:tcW w:w="1268" w:type="dxa"/>
            <w:noWrap/>
          </w:tcPr>
          <w:p w14:paraId="5F4F4772" w14:textId="187E82F1"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Iwajomo</w:t>
            </w:r>
            <w:proofErr w:type="spellEnd"/>
            <w:r w:rsidRPr="005016A5">
              <w:rPr>
                <w:rFonts w:ascii="Times New Roman" w:hAnsi="Times New Roman" w:cs="Times New Roman"/>
                <w:color w:val="000000"/>
                <w:sz w:val="21"/>
                <w:szCs w:val="21"/>
              </w:rPr>
              <w:t xml:space="preserve"> et al., 2021</w:t>
            </w:r>
          </w:p>
        </w:tc>
        <w:tc>
          <w:tcPr>
            <w:tcW w:w="1279" w:type="dxa"/>
          </w:tcPr>
          <w:p w14:paraId="29F1D121" w14:textId="48722002"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Canada</w:t>
            </w:r>
          </w:p>
        </w:tc>
        <w:tc>
          <w:tcPr>
            <w:tcW w:w="1700" w:type="dxa"/>
          </w:tcPr>
          <w:p w14:paraId="526022DC" w14:textId="1620ED42"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Inpatient and Outpatient (All Ages, Both Sexes)</w:t>
            </w:r>
          </w:p>
        </w:tc>
        <w:tc>
          <w:tcPr>
            <w:tcW w:w="710" w:type="dxa"/>
          </w:tcPr>
          <w:p w14:paraId="1EBD1C2D" w14:textId="77777777" w:rsidR="00553D21" w:rsidRPr="005016A5" w:rsidRDefault="00553D21" w:rsidP="002775D4">
            <w:pPr>
              <w:rPr>
                <w:rFonts w:ascii="Times New Roman" w:hAnsi="Times New Roman" w:cs="Times New Roman"/>
                <w:color w:val="000000"/>
                <w:sz w:val="21"/>
                <w:szCs w:val="21"/>
              </w:rPr>
            </w:pPr>
          </w:p>
        </w:tc>
        <w:tc>
          <w:tcPr>
            <w:tcW w:w="850" w:type="dxa"/>
          </w:tcPr>
          <w:p w14:paraId="4B6CDE0F" w14:textId="591D1100" w:rsidR="00553D21" w:rsidRPr="005016A5" w:rsidRDefault="004D61B8"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19,041</w:t>
            </w:r>
          </w:p>
        </w:tc>
        <w:tc>
          <w:tcPr>
            <w:tcW w:w="4820" w:type="dxa"/>
            <w:tcBorders>
              <w:top w:val="single" w:sz="4" w:space="0" w:color="auto"/>
              <w:left w:val="nil"/>
              <w:bottom w:val="single" w:sz="4" w:space="0" w:color="auto"/>
              <w:right w:val="nil"/>
            </w:tcBorders>
          </w:tcPr>
          <w:p w14:paraId="7E76969D" w14:textId="669A604A"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investigate all-cause mortality in a population-based cohort of individuals who received hospital-based care for an eating disorder (anorexia nervosa, bulimia nervosa or eating disorder not otherwise specified).</w:t>
            </w:r>
          </w:p>
        </w:tc>
        <w:tc>
          <w:tcPr>
            <w:tcW w:w="1559" w:type="dxa"/>
          </w:tcPr>
          <w:p w14:paraId="7613A46B" w14:textId="5F41A383"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Modelling (Statistical)</w:t>
            </w:r>
          </w:p>
        </w:tc>
        <w:tc>
          <w:tcPr>
            <w:tcW w:w="2268" w:type="dxa"/>
            <w:tcBorders>
              <w:top w:val="single" w:sz="4" w:space="0" w:color="auto"/>
              <w:left w:val="nil"/>
              <w:bottom w:val="single" w:sz="4" w:space="0" w:color="auto"/>
              <w:right w:val="single" w:sz="4" w:space="0" w:color="auto"/>
            </w:tcBorders>
          </w:tcPr>
          <w:p w14:paraId="578022EE" w14:textId="742AAFBB"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Mortality, SMR</w:t>
            </w:r>
          </w:p>
        </w:tc>
        <w:tc>
          <w:tcPr>
            <w:tcW w:w="709" w:type="dxa"/>
            <w:tcBorders>
              <w:top w:val="single" w:sz="4" w:space="0" w:color="auto"/>
              <w:left w:val="nil"/>
              <w:bottom w:val="single" w:sz="4" w:space="0" w:color="auto"/>
              <w:right w:val="single" w:sz="4" w:space="0" w:color="auto"/>
            </w:tcBorders>
          </w:tcPr>
          <w:p w14:paraId="69DCD8BA" w14:textId="2EAD3E91"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0930CC" w:rsidRPr="005016A5">
              <w:rPr>
                <w:rFonts w:ascii="Times New Roman" w:hAnsi="Times New Roman" w:cs="Times New Roman"/>
                <w:color w:val="000000"/>
                <w:sz w:val="21"/>
                <w:szCs w:val="21"/>
              </w:rPr>
              <w:t>33</w:t>
            </w:r>
          </w:p>
        </w:tc>
      </w:tr>
      <w:tr w:rsidR="00553D21" w:rsidRPr="005016A5" w14:paraId="7AE1D9AE" w14:textId="13BC20D4" w:rsidTr="0002675A">
        <w:trPr>
          <w:trHeight w:val="315"/>
        </w:trPr>
        <w:tc>
          <w:tcPr>
            <w:tcW w:w="1268" w:type="dxa"/>
            <w:noWrap/>
          </w:tcPr>
          <w:p w14:paraId="3BD52464" w14:textId="72E37AC2" w:rsidR="00553D21" w:rsidRPr="005016A5" w:rsidRDefault="00553D21" w:rsidP="002775D4">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Keshaviah</w:t>
            </w:r>
            <w:proofErr w:type="spellEnd"/>
            <w:r w:rsidRPr="005016A5">
              <w:rPr>
                <w:rFonts w:ascii="Times New Roman" w:hAnsi="Times New Roman" w:cs="Times New Roman"/>
                <w:color w:val="000000"/>
                <w:sz w:val="21"/>
                <w:szCs w:val="21"/>
              </w:rPr>
              <w:t xml:space="preserve"> et al., 2014</w:t>
            </w:r>
          </w:p>
        </w:tc>
        <w:tc>
          <w:tcPr>
            <w:tcW w:w="1279" w:type="dxa"/>
          </w:tcPr>
          <w:p w14:paraId="33245000" w14:textId="1BE9697A"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Worldwide</w:t>
            </w:r>
          </w:p>
        </w:tc>
        <w:tc>
          <w:tcPr>
            <w:tcW w:w="1700" w:type="dxa"/>
          </w:tcPr>
          <w:p w14:paraId="711E9B56" w14:textId="648030AE"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N/A</w:t>
            </w:r>
          </w:p>
        </w:tc>
        <w:tc>
          <w:tcPr>
            <w:tcW w:w="710" w:type="dxa"/>
          </w:tcPr>
          <w:p w14:paraId="3C7BB4E8" w14:textId="6CF91D0A" w:rsidR="00553D21" w:rsidRPr="005016A5" w:rsidRDefault="001B59C4"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40</w:t>
            </w:r>
          </w:p>
        </w:tc>
        <w:tc>
          <w:tcPr>
            <w:tcW w:w="850" w:type="dxa"/>
          </w:tcPr>
          <w:p w14:paraId="639AE46A" w14:textId="77777777" w:rsidR="00553D21" w:rsidRPr="005016A5" w:rsidRDefault="00553D21" w:rsidP="002775D4">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23F9F599" w14:textId="51E89B4E"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 xml:space="preserve">To re-estimate mortality after methodological corrections and to identify predictors of mortality. </w:t>
            </w:r>
          </w:p>
        </w:tc>
        <w:tc>
          <w:tcPr>
            <w:tcW w:w="1559" w:type="dxa"/>
          </w:tcPr>
          <w:p w14:paraId="2B7F56F0" w14:textId="1D2899DE" w:rsidR="00553D21" w:rsidRPr="005016A5" w:rsidRDefault="00553D21" w:rsidP="002775D4">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Meta-Analysis</w:t>
            </w:r>
          </w:p>
        </w:tc>
        <w:tc>
          <w:tcPr>
            <w:tcW w:w="2268" w:type="dxa"/>
            <w:tcBorders>
              <w:top w:val="single" w:sz="4" w:space="0" w:color="auto"/>
              <w:left w:val="nil"/>
              <w:bottom w:val="single" w:sz="4" w:space="0" w:color="auto"/>
              <w:right w:val="single" w:sz="4" w:space="0" w:color="auto"/>
            </w:tcBorders>
          </w:tcPr>
          <w:p w14:paraId="5CD0C171" w14:textId="39A3AA92" w:rsidR="00553D21" w:rsidRPr="005016A5" w:rsidRDefault="00553D21" w:rsidP="002775D4">
            <w:pPr>
              <w:rPr>
                <w:rFonts w:ascii="Times New Roman" w:hAnsi="Times New Roman" w:cs="Times New Roman"/>
                <w:sz w:val="21"/>
                <w:szCs w:val="21"/>
              </w:rPr>
            </w:pPr>
            <w:r w:rsidRPr="005016A5">
              <w:rPr>
                <w:rFonts w:ascii="Times New Roman" w:hAnsi="Times New Roman" w:cs="Times New Roman"/>
                <w:color w:val="000000"/>
                <w:sz w:val="21"/>
                <w:szCs w:val="21"/>
              </w:rPr>
              <w:t>Mortality, predictors of mortality</w:t>
            </w:r>
          </w:p>
        </w:tc>
        <w:tc>
          <w:tcPr>
            <w:tcW w:w="709" w:type="dxa"/>
            <w:tcBorders>
              <w:top w:val="single" w:sz="4" w:space="0" w:color="auto"/>
              <w:left w:val="nil"/>
              <w:bottom w:val="single" w:sz="4" w:space="0" w:color="auto"/>
              <w:right w:val="single" w:sz="4" w:space="0" w:color="auto"/>
            </w:tcBorders>
          </w:tcPr>
          <w:p w14:paraId="15214F06" w14:textId="423482D7" w:rsidR="00553D21" w:rsidRPr="005016A5" w:rsidRDefault="00553D21" w:rsidP="002775D4">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C86AC6" w:rsidRPr="005016A5">
              <w:rPr>
                <w:rFonts w:ascii="Times New Roman" w:hAnsi="Times New Roman" w:cs="Times New Roman"/>
                <w:color w:val="000000"/>
                <w:sz w:val="21"/>
                <w:szCs w:val="21"/>
              </w:rPr>
              <w:t>30</w:t>
            </w:r>
          </w:p>
        </w:tc>
      </w:tr>
      <w:tr w:rsidR="00553D21" w:rsidRPr="005016A5" w14:paraId="4B94ECBD" w14:textId="5783991F" w:rsidTr="0002675A">
        <w:trPr>
          <w:trHeight w:val="315"/>
        </w:trPr>
        <w:tc>
          <w:tcPr>
            <w:tcW w:w="1268" w:type="dxa"/>
            <w:noWrap/>
          </w:tcPr>
          <w:p w14:paraId="64E56D4C" w14:textId="16BDFA64" w:rsidR="00553D21" w:rsidRPr="005016A5" w:rsidRDefault="00553D21" w:rsidP="00526C17">
            <w:pPr>
              <w:rPr>
                <w:rFonts w:ascii="Times New Roman" w:hAnsi="Times New Roman" w:cs="Times New Roman"/>
                <w:color w:val="000000"/>
                <w:sz w:val="21"/>
                <w:szCs w:val="21"/>
              </w:rPr>
            </w:pPr>
            <w:proofErr w:type="spellStart"/>
            <w:r w:rsidRPr="0EEFD136">
              <w:rPr>
                <w:rFonts w:ascii="Times New Roman" w:hAnsi="Times New Roman" w:cs="Times New Roman"/>
                <w:color w:val="000000" w:themeColor="text1"/>
                <w:sz w:val="21"/>
                <w:szCs w:val="21"/>
              </w:rPr>
              <w:t>Keski-Rahkonen</w:t>
            </w:r>
            <w:proofErr w:type="spellEnd"/>
            <w:r w:rsidR="244D54EB" w:rsidRPr="0EEFD136">
              <w:rPr>
                <w:rFonts w:ascii="Times New Roman" w:hAnsi="Times New Roman" w:cs="Times New Roman"/>
                <w:color w:val="000000" w:themeColor="text1"/>
                <w:sz w:val="21"/>
                <w:szCs w:val="21"/>
              </w:rPr>
              <w:t>,</w:t>
            </w:r>
            <w:r w:rsidRPr="0EEFD136">
              <w:rPr>
                <w:rFonts w:ascii="Times New Roman" w:hAnsi="Times New Roman" w:cs="Times New Roman"/>
                <w:color w:val="000000" w:themeColor="text1"/>
                <w:sz w:val="21"/>
                <w:szCs w:val="21"/>
              </w:rPr>
              <w:t xml:space="preserve"> 2021</w:t>
            </w:r>
          </w:p>
        </w:tc>
        <w:tc>
          <w:tcPr>
            <w:tcW w:w="1279" w:type="dxa"/>
          </w:tcPr>
          <w:p w14:paraId="509EF70B" w14:textId="0EB463BB"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Worldwide</w:t>
            </w:r>
          </w:p>
        </w:tc>
        <w:tc>
          <w:tcPr>
            <w:tcW w:w="1700" w:type="dxa"/>
          </w:tcPr>
          <w:p w14:paraId="7D783330" w14:textId="3962A578"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710" w:type="dxa"/>
          </w:tcPr>
          <w:p w14:paraId="293D00E6" w14:textId="4E682522" w:rsidR="00553D21" w:rsidRPr="005016A5" w:rsidRDefault="0076517A"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N/A</w:t>
            </w:r>
          </w:p>
        </w:tc>
        <w:tc>
          <w:tcPr>
            <w:tcW w:w="850" w:type="dxa"/>
          </w:tcPr>
          <w:p w14:paraId="157EE8CA" w14:textId="77777777" w:rsidR="00553D21" w:rsidRPr="005016A5" w:rsidRDefault="00553D21" w:rsidP="00526C17">
            <w:pPr>
              <w:rPr>
                <w:rFonts w:ascii="Times New Roman" w:hAnsi="Times New Roman" w:cs="Times New Roman"/>
                <w:color w:val="000000"/>
                <w:sz w:val="21"/>
                <w:szCs w:val="21"/>
              </w:rPr>
            </w:pPr>
          </w:p>
        </w:tc>
        <w:tc>
          <w:tcPr>
            <w:tcW w:w="4820" w:type="dxa"/>
            <w:tcBorders>
              <w:top w:val="single" w:sz="4" w:space="0" w:color="auto"/>
              <w:left w:val="nil"/>
              <w:bottom w:val="single" w:sz="4" w:space="0" w:color="auto"/>
              <w:right w:val="nil"/>
            </w:tcBorders>
          </w:tcPr>
          <w:p w14:paraId="0750C29C" w14:textId="4CAC9FE5"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provide an overview of prevalence, course, comorbidity, mortality, and risk factors of BED based on major studies published in 2018-2021.</w:t>
            </w:r>
          </w:p>
        </w:tc>
        <w:tc>
          <w:tcPr>
            <w:tcW w:w="1559" w:type="dxa"/>
          </w:tcPr>
          <w:p w14:paraId="40468C0D" w14:textId="07BD3048" w:rsidR="00553D21" w:rsidRPr="005016A5" w:rsidRDefault="00553D21" w:rsidP="00526C17">
            <w:pPr>
              <w:rPr>
                <w:rFonts w:ascii="Times New Roman" w:hAnsi="Times New Roman" w:cs="Times New Roman"/>
                <w:sz w:val="21"/>
                <w:szCs w:val="21"/>
              </w:rPr>
            </w:pPr>
            <w:r w:rsidRPr="005016A5">
              <w:rPr>
                <w:rFonts w:ascii="Times New Roman" w:hAnsi="Times New Roman" w:cs="Times New Roman"/>
                <w:color w:val="000000"/>
                <w:sz w:val="21"/>
                <w:szCs w:val="21"/>
              </w:rPr>
              <w:t>Review (narrative)</w:t>
            </w:r>
          </w:p>
        </w:tc>
        <w:tc>
          <w:tcPr>
            <w:tcW w:w="2268" w:type="dxa"/>
            <w:tcBorders>
              <w:top w:val="single" w:sz="4" w:space="0" w:color="auto"/>
              <w:left w:val="nil"/>
              <w:bottom w:val="single" w:sz="4" w:space="0" w:color="auto"/>
              <w:right w:val="single" w:sz="4" w:space="0" w:color="auto"/>
            </w:tcBorders>
          </w:tcPr>
          <w:p w14:paraId="6D779D18" w14:textId="27E45874"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Mortality, prevalence of BED, comorbidities</w:t>
            </w:r>
          </w:p>
        </w:tc>
        <w:tc>
          <w:tcPr>
            <w:tcW w:w="709" w:type="dxa"/>
            <w:tcBorders>
              <w:top w:val="single" w:sz="4" w:space="0" w:color="auto"/>
              <w:left w:val="nil"/>
              <w:bottom w:val="single" w:sz="4" w:space="0" w:color="auto"/>
              <w:right w:val="single" w:sz="4" w:space="0" w:color="auto"/>
            </w:tcBorders>
          </w:tcPr>
          <w:p w14:paraId="20D2A1C6" w14:textId="6BA37FBE" w:rsidR="00553D21" w:rsidRPr="005016A5" w:rsidRDefault="00133488" w:rsidP="00526C17">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76</w:t>
            </w:r>
          </w:p>
        </w:tc>
      </w:tr>
      <w:tr w:rsidR="00553D21" w:rsidRPr="005016A5" w14:paraId="46364D02" w14:textId="0ED69084" w:rsidTr="0002675A">
        <w:trPr>
          <w:trHeight w:val="315"/>
        </w:trPr>
        <w:tc>
          <w:tcPr>
            <w:tcW w:w="1268" w:type="dxa"/>
            <w:noWrap/>
          </w:tcPr>
          <w:p w14:paraId="0CF1217B" w14:textId="0D25BE7D" w:rsidR="00553D21" w:rsidRPr="005016A5" w:rsidRDefault="00553D21" w:rsidP="00526C17">
            <w:pPr>
              <w:rPr>
                <w:rFonts w:ascii="Times New Roman" w:hAnsi="Times New Roman" w:cs="Times New Roman"/>
                <w:color w:val="000000"/>
                <w:sz w:val="21"/>
                <w:szCs w:val="21"/>
              </w:rPr>
            </w:pPr>
            <w:proofErr w:type="spellStart"/>
            <w:r w:rsidRPr="005016A5">
              <w:rPr>
                <w:rFonts w:ascii="Times New Roman" w:hAnsi="Times New Roman" w:cs="Times New Roman"/>
                <w:color w:val="000000"/>
                <w:sz w:val="21"/>
                <w:szCs w:val="21"/>
              </w:rPr>
              <w:t>Mellentin</w:t>
            </w:r>
            <w:proofErr w:type="spellEnd"/>
            <w:r w:rsidRPr="005016A5">
              <w:rPr>
                <w:rFonts w:ascii="Times New Roman" w:hAnsi="Times New Roman" w:cs="Times New Roman"/>
                <w:color w:val="000000"/>
                <w:sz w:val="21"/>
                <w:szCs w:val="21"/>
              </w:rPr>
              <w:t xml:space="preserve"> et al., 2022</w:t>
            </w:r>
          </w:p>
        </w:tc>
        <w:tc>
          <w:tcPr>
            <w:tcW w:w="1279" w:type="dxa"/>
          </w:tcPr>
          <w:p w14:paraId="199E145F" w14:textId="21A3E991"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Denmark</w:t>
            </w:r>
          </w:p>
        </w:tc>
        <w:tc>
          <w:tcPr>
            <w:tcW w:w="1700" w:type="dxa"/>
          </w:tcPr>
          <w:p w14:paraId="60804C30" w14:textId="59578D73"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Community (All Ages, Both Sexes)</w:t>
            </w:r>
          </w:p>
        </w:tc>
        <w:tc>
          <w:tcPr>
            <w:tcW w:w="710" w:type="dxa"/>
          </w:tcPr>
          <w:p w14:paraId="043B45DC" w14:textId="77777777" w:rsidR="00553D21" w:rsidRPr="005016A5" w:rsidRDefault="00553D21" w:rsidP="00526C17">
            <w:pPr>
              <w:rPr>
                <w:rFonts w:ascii="Times New Roman" w:hAnsi="Times New Roman" w:cs="Times New Roman"/>
                <w:color w:val="000000"/>
                <w:sz w:val="21"/>
                <w:szCs w:val="21"/>
              </w:rPr>
            </w:pPr>
          </w:p>
        </w:tc>
        <w:tc>
          <w:tcPr>
            <w:tcW w:w="850" w:type="dxa"/>
          </w:tcPr>
          <w:p w14:paraId="73BEF766" w14:textId="0D920FAA" w:rsidR="00553D21" w:rsidRPr="005016A5" w:rsidRDefault="0096038B"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20,</w:t>
            </w:r>
            <w:r w:rsidR="007E5BEA" w:rsidRPr="005016A5">
              <w:rPr>
                <w:rFonts w:ascii="Times New Roman" w:hAnsi="Times New Roman" w:cs="Times New Roman"/>
                <w:color w:val="000000"/>
                <w:sz w:val="21"/>
                <w:szCs w:val="21"/>
              </w:rPr>
              <w:t>759</w:t>
            </w:r>
          </w:p>
        </w:tc>
        <w:tc>
          <w:tcPr>
            <w:tcW w:w="4820" w:type="dxa"/>
            <w:tcBorders>
              <w:top w:val="single" w:sz="4" w:space="0" w:color="auto"/>
              <w:left w:val="nil"/>
              <w:bottom w:val="single" w:sz="4" w:space="0" w:color="auto"/>
              <w:right w:val="nil"/>
            </w:tcBorders>
          </w:tcPr>
          <w:p w14:paraId="34F7B8D0" w14:textId="15583391"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examine the association of alcohol use disorders and other SUDs with mortality in AN, BN, unspecified ED compared with matched control subjects.</w:t>
            </w:r>
          </w:p>
        </w:tc>
        <w:tc>
          <w:tcPr>
            <w:tcW w:w="1559" w:type="dxa"/>
          </w:tcPr>
          <w:p w14:paraId="1E79C234" w14:textId="434536AB" w:rsidR="00553D21" w:rsidRPr="005016A5" w:rsidRDefault="00553D21" w:rsidP="00526C17">
            <w:pPr>
              <w:rPr>
                <w:rFonts w:ascii="Times New Roman" w:hAnsi="Times New Roman" w:cs="Times New Roman"/>
                <w:sz w:val="21"/>
                <w:szCs w:val="21"/>
              </w:rPr>
            </w:pPr>
            <w:r w:rsidRPr="005016A5">
              <w:rPr>
                <w:rFonts w:ascii="Times New Roman" w:hAnsi="Times New Roman" w:cs="Times New Roman"/>
                <w:sz w:val="21"/>
                <w:szCs w:val="21"/>
              </w:rPr>
              <w:t>Retrospective cohort</w:t>
            </w:r>
          </w:p>
        </w:tc>
        <w:tc>
          <w:tcPr>
            <w:tcW w:w="2268" w:type="dxa"/>
            <w:tcBorders>
              <w:top w:val="single" w:sz="4" w:space="0" w:color="auto"/>
              <w:left w:val="nil"/>
              <w:bottom w:val="single" w:sz="4" w:space="0" w:color="auto"/>
              <w:right w:val="single" w:sz="4" w:space="0" w:color="auto"/>
            </w:tcBorders>
          </w:tcPr>
          <w:p w14:paraId="401C1909" w14:textId="277DF1DD"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Alcohol use disorders and other SUD with mortality</w:t>
            </w:r>
          </w:p>
        </w:tc>
        <w:tc>
          <w:tcPr>
            <w:tcW w:w="709" w:type="dxa"/>
            <w:tcBorders>
              <w:top w:val="single" w:sz="4" w:space="0" w:color="auto"/>
              <w:left w:val="nil"/>
              <w:bottom w:val="single" w:sz="4" w:space="0" w:color="auto"/>
              <w:right w:val="single" w:sz="4" w:space="0" w:color="auto"/>
            </w:tcBorders>
          </w:tcPr>
          <w:p w14:paraId="10F94770" w14:textId="741941B5"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themeColor="text1"/>
                <w:sz w:val="21"/>
                <w:szCs w:val="21"/>
              </w:rPr>
              <w:t>144</w:t>
            </w:r>
          </w:p>
        </w:tc>
      </w:tr>
      <w:tr w:rsidR="00553D21" w:rsidRPr="005016A5" w14:paraId="63A927D6" w14:textId="09933363" w:rsidTr="0002675A">
        <w:trPr>
          <w:trHeight w:val="315"/>
        </w:trPr>
        <w:tc>
          <w:tcPr>
            <w:tcW w:w="1268" w:type="dxa"/>
            <w:noWrap/>
          </w:tcPr>
          <w:p w14:paraId="4568E1BF" w14:textId="18635892" w:rsidR="00553D21" w:rsidRPr="005016A5" w:rsidRDefault="00553D21" w:rsidP="00526C17">
            <w:pPr>
              <w:rPr>
                <w:rFonts w:ascii="Times New Roman" w:eastAsia="Times New Roman" w:hAnsi="Times New Roman" w:cs="Times New Roman"/>
                <w:color w:val="000000"/>
                <w:sz w:val="21"/>
                <w:szCs w:val="21"/>
                <w:lang w:eastAsia="en-GB"/>
              </w:rPr>
            </w:pPr>
            <w:proofErr w:type="spellStart"/>
            <w:r w:rsidRPr="005016A5">
              <w:rPr>
                <w:rFonts w:ascii="Times New Roman" w:hAnsi="Times New Roman" w:cs="Times New Roman"/>
                <w:color w:val="000000"/>
                <w:sz w:val="21"/>
                <w:szCs w:val="21"/>
              </w:rPr>
              <w:t>Naghavi</w:t>
            </w:r>
            <w:proofErr w:type="spellEnd"/>
            <w:r w:rsidRPr="005016A5">
              <w:rPr>
                <w:rFonts w:ascii="Times New Roman" w:hAnsi="Times New Roman" w:cs="Times New Roman"/>
                <w:color w:val="000000"/>
                <w:sz w:val="21"/>
                <w:szCs w:val="21"/>
              </w:rPr>
              <w:t xml:space="preserve"> et al., 2017</w:t>
            </w:r>
          </w:p>
        </w:tc>
        <w:tc>
          <w:tcPr>
            <w:tcW w:w="1279" w:type="dxa"/>
          </w:tcPr>
          <w:p w14:paraId="3DB7F1F7" w14:textId="36499A4D"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Worldwide</w:t>
            </w:r>
          </w:p>
        </w:tc>
        <w:tc>
          <w:tcPr>
            <w:tcW w:w="1700" w:type="dxa"/>
          </w:tcPr>
          <w:p w14:paraId="4AE26350" w14:textId="40B15DD4"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hAnsi="Times New Roman" w:cs="Times New Roman"/>
                <w:color w:val="000000"/>
                <w:sz w:val="21"/>
                <w:szCs w:val="21"/>
              </w:rPr>
              <w:t>N/A</w:t>
            </w:r>
          </w:p>
        </w:tc>
        <w:tc>
          <w:tcPr>
            <w:tcW w:w="710" w:type="dxa"/>
          </w:tcPr>
          <w:p w14:paraId="39E7256D" w14:textId="77777777" w:rsidR="00553D21" w:rsidRPr="005016A5" w:rsidRDefault="00553D21" w:rsidP="00526C17">
            <w:pPr>
              <w:rPr>
                <w:rFonts w:ascii="Times New Roman" w:hAnsi="Times New Roman" w:cs="Times New Roman"/>
                <w:color w:val="000000"/>
                <w:sz w:val="21"/>
                <w:szCs w:val="21"/>
              </w:rPr>
            </w:pPr>
          </w:p>
        </w:tc>
        <w:tc>
          <w:tcPr>
            <w:tcW w:w="850" w:type="dxa"/>
          </w:tcPr>
          <w:p w14:paraId="1B166FFF" w14:textId="153EA7D5" w:rsidR="00553D21" w:rsidRPr="005016A5" w:rsidRDefault="00083724"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264</w:t>
            </w:r>
          </w:p>
        </w:tc>
        <w:tc>
          <w:tcPr>
            <w:tcW w:w="4820" w:type="dxa"/>
            <w:tcBorders>
              <w:top w:val="single" w:sz="4" w:space="0" w:color="auto"/>
              <w:left w:val="nil"/>
              <w:bottom w:val="single" w:sz="4" w:space="0" w:color="auto"/>
              <w:right w:val="nil"/>
            </w:tcBorders>
          </w:tcPr>
          <w:p w14:paraId="57DA6AA9" w14:textId="0E84E373"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To provide a peer-reviewed, comprehensive, and annual assessment of mortality by age, sex, cause, and location.</w:t>
            </w:r>
          </w:p>
        </w:tc>
        <w:tc>
          <w:tcPr>
            <w:tcW w:w="1559" w:type="dxa"/>
          </w:tcPr>
          <w:p w14:paraId="7E1C4A43" w14:textId="3B09BF7D"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hAnsi="Times New Roman" w:cs="Times New Roman"/>
                <w:sz w:val="21"/>
                <w:szCs w:val="21"/>
              </w:rPr>
              <w:t>Modelling (Statistical)</w:t>
            </w:r>
          </w:p>
        </w:tc>
        <w:tc>
          <w:tcPr>
            <w:tcW w:w="2268" w:type="dxa"/>
            <w:tcBorders>
              <w:top w:val="single" w:sz="4" w:space="0" w:color="auto"/>
              <w:left w:val="nil"/>
              <w:bottom w:val="single" w:sz="4" w:space="0" w:color="auto"/>
              <w:right w:val="single" w:sz="4" w:space="0" w:color="auto"/>
            </w:tcBorders>
          </w:tcPr>
          <w:p w14:paraId="5F76BD97" w14:textId="0003EE5D" w:rsidR="00553D21" w:rsidRPr="005016A5" w:rsidRDefault="00553D21" w:rsidP="00526C17">
            <w:pPr>
              <w:rPr>
                <w:rFonts w:ascii="Times New Roman" w:hAnsi="Times New Roman" w:cs="Times New Roman"/>
                <w:sz w:val="21"/>
                <w:szCs w:val="21"/>
              </w:rPr>
            </w:pPr>
            <w:r w:rsidRPr="005016A5">
              <w:rPr>
                <w:rFonts w:ascii="Times New Roman" w:hAnsi="Times New Roman" w:cs="Times New Roman"/>
                <w:color w:val="000000"/>
                <w:sz w:val="21"/>
                <w:szCs w:val="21"/>
              </w:rPr>
              <w:t>Mortality and cause of death</w:t>
            </w:r>
          </w:p>
        </w:tc>
        <w:tc>
          <w:tcPr>
            <w:tcW w:w="709" w:type="dxa"/>
            <w:tcBorders>
              <w:top w:val="single" w:sz="4" w:space="0" w:color="auto"/>
              <w:left w:val="nil"/>
              <w:bottom w:val="single" w:sz="4" w:space="0" w:color="auto"/>
              <w:right w:val="single" w:sz="4" w:space="0" w:color="auto"/>
            </w:tcBorders>
          </w:tcPr>
          <w:p w14:paraId="53BE4F28" w14:textId="1FE9985E" w:rsidR="00553D21" w:rsidRPr="005016A5" w:rsidRDefault="00553D21" w:rsidP="00526C17">
            <w:pPr>
              <w:rPr>
                <w:rFonts w:ascii="Times New Roman" w:hAnsi="Times New Roman" w:cs="Times New Roman"/>
                <w:color w:val="000000"/>
                <w:sz w:val="21"/>
                <w:szCs w:val="21"/>
              </w:rPr>
            </w:pPr>
            <w:r w:rsidRPr="005016A5">
              <w:rPr>
                <w:rFonts w:ascii="Times New Roman" w:hAnsi="Times New Roman" w:cs="Times New Roman"/>
                <w:color w:val="000000"/>
                <w:sz w:val="21"/>
                <w:szCs w:val="21"/>
              </w:rPr>
              <w:t>1</w:t>
            </w:r>
            <w:r w:rsidR="00ED6FF9" w:rsidRPr="005016A5">
              <w:rPr>
                <w:rFonts w:ascii="Times New Roman" w:hAnsi="Times New Roman" w:cs="Times New Roman"/>
                <w:color w:val="000000"/>
                <w:sz w:val="21"/>
                <w:szCs w:val="21"/>
              </w:rPr>
              <w:t>4</w:t>
            </w:r>
            <w:r w:rsidRPr="005016A5">
              <w:rPr>
                <w:rFonts w:ascii="Times New Roman" w:hAnsi="Times New Roman" w:cs="Times New Roman"/>
                <w:color w:val="000000"/>
                <w:sz w:val="21"/>
                <w:szCs w:val="21"/>
              </w:rPr>
              <w:t>6</w:t>
            </w:r>
          </w:p>
        </w:tc>
      </w:tr>
      <w:tr w:rsidR="00553D21" w:rsidRPr="005016A5" w14:paraId="652F8767" w14:textId="4D372BBE" w:rsidTr="0002675A">
        <w:trPr>
          <w:trHeight w:val="315"/>
        </w:trPr>
        <w:tc>
          <w:tcPr>
            <w:tcW w:w="1268" w:type="dxa"/>
            <w:noWrap/>
          </w:tcPr>
          <w:p w14:paraId="6B6A3992" w14:textId="3BAB507A" w:rsidR="00553D21" w:rsidRPr="005016A5" w:rsidRDefault="00553D21" w:rsidP="00526C17">
            <w:pPr>
              <w:rPr>
                <w:rFonts w:ascii="Times New Roman" w:eastAsia="Times New Roman" w:hAnsi="Times New Roman" w:cs="Times New Roman"/>
                <w:color w:val="000000"/>
                <w:sz w:val="21"/>
                <w:szCs w:val="21"/>
                <w:lang w:eastAsia="en-GB"/>
              </w:rPr>
            </w:pPr>
            <w:proofErr w:type="spellStart"/>
            <w:r w:rsidRPr="005016A5">
              <w:rPr>
                <w:rFonts w:ascii="Times New Roman" w:eastAsia="Times New Roman" w:hAnsi="Times New Roman" w:cs="Times New Roman"/>
                <w:color w:val="000000"/>
                <w:sz w:val="21"/>
                <w:szCs w:val="21"/>
                <w:lang w:eastAsia="en-GB"/>
              </w:rPr>
              <w:t>Quadflieg</w:t>
            </w:r>
            <w:proofErr w:type="spellEnd"/>
            <w:r w:rsidRPr="005016A5">
              <w:rPr>
                <w:rFonts w:ascii="Times New Roman" w:eastAsia="Times New Roman" w:hAnsi="Times New Roman" w:cs="Times New Roman"/>
                <w:color w:val="000000"/>
                <w:sz w:val="21"/>
                <w:szCs w:val="21"/>
                <w:lang w:eastAsia="en-GB"/>
              </w:rPr>
              <w:t xml:space="preserve"> et al., 2019</w:t>
            </w:r>
          </w:p>
        </w:tc>
        <w:tc>
          <w:tcPr>
            <w:tcW w:w="1279" w:type="dxa"/>
          </w:tcPr>
          <w:p w14:paraId="1AC4A1C3" w14:textId="363B3AB4"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Germany</w:t>
            </w:r>
          </w:p>
        </w:tc>
        <w:tc>
          <w:tcPr>
            <w:tcW w:w="1700" w:type="dxa"/>
          </w:tcPr>
          <w:p w14:paraId="4EFF77CD" w14:textId="15190B9C"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Inpatient (Adult, Males)</w:t>
            </w:r>
          </w:p>
        </w:tc>
        <w:tc>
          <w:tcPr>
            <w:tcW w:w="710" w:type="dxa"/>
          </w:tcPr>
          <w:p w14:paraId="5F31B545"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850" w:type="dxa"/>
          </w:tcPr>
          <w:p w14:paraId="1F0F4EBC" w14:textId="2734E5F6" w:rsidR="00553D21" w:rsidRPr="005016A5" w:rsidRDefault="00CB7C0E"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338</w:t>
            </w:r>
          </w:p>
        </w:tc>
        <w:tc>
          <w:tcPr>
            <w:tcW w:w="4820" w:type="dxa"/>
            <w:tcBorders>
              <w:top w:val="single" w:sz="4" w:space="0" w:color="auto"/>
              <w:left w:val="nil"/>
              <w:bottom w:val="single" w:sz="4" w:space="0" w:color="auto"/>
              <w:right w:val="nil"/>
            </w:tcBorders>
          </w:tcPr>
          <w:p w14:paraId="7386C0C9" w14:textId="5DD3BD3A" w:rsidR="00553D21" w:rsidRPr="005016A5" w:rsidRDefault="00553D21" w:rsidP="00526C17">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report on the long-term mortality of eating disorders in male inpatients.</w:t>
            </w:r>
          </w:p>
        </w:tc>
        <w:tc>
          <w:tcPr>
            <w:tcW w:w="1559" w:type="dxa"/>
          </w:tcPr>
          <w:p w14:paraId="7450BD3A" w14:textId="604BF584"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605F61FE" w14:textId="5D16A962" w:rsidR="00553D21" w:rsidRPr="005016A5" w:rsidRDefault="00553D21" w:rsidP="00526C17">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Mortality</w:t>
            </w:r>
          </w:p>
        </w:tc>
        <w:tc>
          <w:tcPr>
            <w:tcW w:w="709" w:type="dxa"/>
            <w:tcBorders>
              <w:top w:val="single" w:sz="4" w:space="0" w:color="auto"/>
              <w:left w:val="nil"/>
              <w:bottom w:val="single" w:sz="4" w:space="0" w:color="auto"/>
              <w:right w:val="single" w:sz="4" w:space="0" w:color="auto"/>
            </w:tcBorders>
          </w:tcPr>
          <w:p w14:paraId="2E32DB93" w14:textId="3FAEC557" w:rsidR="00553D21" w:rsidRPr="005016A5" w:rsidRDefault="00A309DC"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45</w:t>
            </w:r>
          </w:p>
        </w:tc>
      </w:tr>
      <w:tr w:rsidR="00553D21" w:rsidRPr="005016A5" w14:paraId="6DEC4312" w14:textId="3E165C7E" w:rsidTr="0002675A">
        <w:trPr>
          <w:trHeight w:val="315"/>
        </w:trPr>
        <w:tc>
          <w:tcPr>
            <w:tcW w:w="1268" w:type="dxa"/>
            <w:noWrap/>
          </w:tcPr>
          <w:p w14:paraId="6B6A73E0" w14:textId="446A0868" w:rsidR="00553D21" w:rsidRPr="005016A5" w:rsidRDefault="00553D21" w:rsidP="00526C17">
            <w:pPr>
              <w:rPr>
                <w:rFonts w:ascii="Times New Roman" w:eastAsia="Times New Roman" w:hAnsi="Times New Roman" w:cs="Times New Roman"/>
                <w:color w:val="000000"/>
                <w:sz w:val="21"/>
                <w:szCs w:val="21"/>
                <w:lang w:eastAsia="en-GB"/>
              </w:rPr>
            </w:pPr>
            <w:proofErr w:type="spellStart"/>
            <w:r w:rsidRPr="005016A5">
              <w:rPr>
                <w:rFonts w:ascii="Times New Roman" w:eastAsia="Times New Roman" w:hAnsi="Times New Roman" w:cs="Times New Roman"/>
                <w:color w:val="000000"/>
                <w:sz w:val="21"/>
                <w:szCs w:val="21"/>
                <w:lang w:eastAsia="en-GB"/>
              </w:rPr>
              <w:t>Rosling</w:t>
            </w:r>
            <w:proofErr w:type="spellEnd"/>
            <w:r w:rsidRPr="005016A5">
              <w:rPr>
                <w:rFonts w:ascii="Times New Roman" w:eastAsia="Times New Roman" w:hAnsi="Times New Roman" w:cs="Times New Roman"/>
                <w:color w:val="000000"/>
                <w:sz w:val="21"/>
                <w:szCs w:val="21"/>
                <w:lang w:eastAsia="en-GB"/>
              </w:rPr>
              <w:t xml:space="preserve"> et al., 2011</w:t>
            </w:r>
          </w:p>
        </w:tc>
        <w:tc>
          <w:tcPr>
            <w:tcW w:w="1279" w:type="dxa"/>
          </w:tcPr>
          <w:p w14:paraId="78EA6E8F" w14:textId="32D15932"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Sweden</w:t>
            </w:r>
          </w:p>
        </w:tc>
        <w:tc>
          <w:tcPr>
            <w:tcW w:w="1700" w:type="dxa"/>
          </w:tcPr>
          <w:p w14:paraId="5CBE2C66" w14:textId="64999E22"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Inpatient (Adult, Females)</w:t>
            </w:r>
          </w:p>
        </w:tc>
        <w:tc>
          <w:tcPr>
            <w:tcW w:w="710" w:type="dxa"/>
          </w:tcPr>
          <w:p w14:paraId="339876D9"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850" w:type="dxa"/>
          </w:tcPr>
          <w:p w14:paraId="282D9D2C" w14:textId="3F06804B" w:rsidR="00553D21" w:rsidRPr="005016A5" w:rsidRDefault="001E332B"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201</w:t>
            </w:r>
          </w:p>
        </w:tc>
        <w:tc>
          <w:tcPr>
            <w:tcW w:w="4820" w:type="dxa"/>
            <w:tcBorders>
              <w:top w:val="single" w:sz="4" w:space="0" w:color="auto"/>
              <w:left w:val="nil"/>
              <w:bottom w:val="single" w:sz="4" w:space="0" w:color="auto"/>
              <w:right w:val="nil"/>
            </w:tcBorders>
          </w:tcPr>
          <w:p w14:paraId="4E907A5A" w14:textId="23CA6FBE" w:rsidR="00553D21" w:rsidRPr="005016A5" w:rsidRDefault="00553D21" w:rsidP="00526C17">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study excess mortality, causes of death, and co-morbidity in patients with eating disorder (ED), treated in a Swedish specialist facility.</w:t>
            </w:r>
          </w:p>
        </w:tc>
        <w:tc>
          <w:tcPr>
            <w:tcW w:w="1559" w:type="dxa"/>
          </w:tcPr>
          <w:p w14:paraId="301B3CE4" w14:textId="5207BDF7"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01C35E94" w14:textId="0E0F7B42" w:rsidR="00553D21" w:rsidRPr="005016A5" w:rsidRDefault="00553D21" w:rsidP="00526C17">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 xml:space="preserve">Mortality and cause of death, comorbidity </w:t>
            </w:r>
          </w:p>
        </w:tc>
        <w:tc>
          <w:tcPr>
            <w:tcW w:w="709" w:type="dxa"/>
            <w:tcBorders>
              <w:top w:val="single" w:sz="4" w:space="0" w:color="auto"/>
              <w:left w:val="nil"/>
              <w:bottom w:val="single" w:sz="4" w:space="0" w:color="auto"/>
              <w:right w:val="single" w:sz="4" w:space="0" w:color="auto"/>
            </w:tcBorders>
          </w:tcPr>
          <w:p w14:paraId="0AF15A9A" w14:textId="1ADBACCE"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w:t>
            </w:r>
            <w:r w:rsidR="00927183" w:rsidRPr="005016A5">
              <w:rPr>
                <w:rFonts w:ascii="Times New Roman" w:eastAsia="Times New Roman" w:hAnsi="Times New Roman" w:cs="Times New Roman"/>
                <w:color w:val="000000"/>
                <w:sz w:val="21"/>
                <w:szCs w:val="21"/>
                <w:lang w:eastAsia="en-GB"/>
              </w:rPr>
              <w:t>41</w:t>
            </w:r>
          </w:p>
        </w:tc>
      </w:tr>
      <w:tr w:rsidR="00553D21" w:rsidRPr="005016A5" w14:paraId="7B46A687" w14:textId="65F1451C" w:rsidTr="0002675A">
        <w:trPr>
          <w:trHeight w:val="315"/>
        </w:trPr>
        <w:tc>
          <w:tcPr>
            <w:tcW w:w="1268" w:type="dxa"/>
            <w:noWrap/>
          </w:tcPr>
          <w:p w14:paraId="1BD5FC8E" w14:textId="14D247D3" w:rsidR="00553D21" w:rsidRPr="005016A5" w:rsidRDefault="00553D21" w:rsidP="00526C17">
            <w:pPr>
              <w:rPr>
                <w:rFonts w:ascii="Times New Roman" w:eastAsia="Times New Roman" w:hAnsi="Times New Roman" w:cs="Times New Roman"/>
                <w:color w:val="000000"/>
                <w:sz w:val="21"/>
                <w:szCs w:val="21"/>
                <w:lang w:eastAsia="en-GB"/>
              </w:rPr>
            </w:pPr>
            <w:proofErr w:type="spellStart"/>
            <w:r w:rsidRPr="005016A5">
              <w:rPr>
                <w:rFonts w:ascii="Times New Roman" w:eastAsia="Times New Roman" w:hAnsi="Times New Roman" w:cs="Times New Roman"/>
                <w:color w:val="000000"/>
                <w:sz w:val="21"/>
                <w:szCs w:val="21"/>
                <w:lang w:eastAsia="en-GB"/>
              </w:rPr>
              <w:lastRenderedPageBreak/>
              <w:t>Suokas</w:t>
            </w:r>
            <w:proofErr w:type="spellEnd"/>
            <w:r w:rsidRPr="005016A5">
              <w:rPr>
                <w:rFonts w:ascii="Times New Roman" w:eastAsia="Times New Roman" w:hAnsi="Times New Roman" w:cs="Times New Roman"/>
                <w:color w:val="000000"/>
                <w:sz w:val="21"/>
                <w:szCs w:val="21"/>
                <w:lang w:eastAsia="en-GB"/>
              </w:rPr>
              <w:t xml:space="preserve"> et al., 2013</w:t>
            </w:r>
          </w:p>
        </w:tc>
        <w:tc>
          <w:tcPr>
            <w:tcW w:w="1279" w:type="dxa"/>
          </w:tcPr>
          <w:p w14:paraId="0282E3AF" w14:textId="621A2A63"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Finland</w:t>
            </w:r>
          </w:p>
        </w:tc>
        <w:tc>
          <w:tcPr>
            <w:tcW w:w="1700" w:type="dxa"/>
          </w:tcPr>
          <w:p w14:paraId="473EFDAD" w14:textId="65005114"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 xml:space="preserve">Inpatient and Outpatient (Adult,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1D6A4764"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850" w:type="dxa"/>
          </w:tcPr>
          <w:p w14:paraId="61D5AEC5" w14:textId="4CAF2153" w:rsidR="00553D21" w:rsidRPr="005016A5" w:rsidRDefault="00053576"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2450</w:t>
            </w:r>
          </w:p>
        </w:tc>
        <w:tc>
          <w:tcPr>
            <w:tcW w:w="4820" w:type="dxa"/>
            <w:tcBorders>
              <w:top w:val="single" w:sz="4" w:space="0" w:color="auto"/>
              <w:left w:val="nil"/>
              <w:bottom w:val="single" w:sz="4" w:space="0" w:color="auto"/>
              <w:right w:val="nil"/>
            </w:tcBorders>
          </w:tcPr>
          <w:p w14:paraId="3EEC5F6E" w14:textId="12E477D4" w:rsidR="00553D21" w:rsidRPr="005016A5" w:rsidRDefault="00553D21" w:rsidP="00526C17">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 xml:space="preserve">To investigate mortality rates and mortality patterns </w:t>
            </w:r>
            <w:proofErr w:type="gramStart"/>
            <w:r w:rsidRPr="005016A5">
              <w:rPr>
                <w:rFonts w:ascii="Times New Roman" w:eastAsia="Times New Roman" w:hAnsi="Times New Roman" w:cs="Times New Roman"/>
                <w:color w:val="000000"/>
                <w:sz w:val="21"/>
                <w:szCs w:val="21"/>
                <w:lang w:eastAsia="en-GB"/>
              </w:rPr>
              <w:t>in the course of</w:t>
            </w:r>
            <w:proofErr w:type="gramEnd"/>
            <w:r w:rsidRPr="005016A5">
              <w:rPr>
                <w:rFonts w:ascii="Times New Roman" w:eastAsia="Times New Roman" w:hAnsi="Times New Roman" w:cs="Times New Roman"/>
                <w:color w:val="000000"/>
                <w:sz w:val="21"/>
                <w:szCs w:val="21"/>
                <w:lang w:eastAsia="en-GB"/>
              </w:rPr>
              <w:t xml:space="preserve"> follow-up in patients treated in a specialised eating disorder unit for AN, BN and BED in Finland.</w:t>
            </w:r>
          </w:p>
        </w:tc>
        <w:tc>
          <w:tcPr>
            <w:tcW w:w="1559" w:type="dxa"/>
          </w:tcPr>
          <w:p w14:paraId="0DB9D30A" w14:textId="7D680922"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66097AA7" w14:textId="1B3345F4" w:rsidR="00553D21" w:rsidRPr="005016A5" w:rsidRDefault="00553D21" w:rsidP="00526C17">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Mortality</w:t>
            </w:r>
          </w:p>
        </w:tc>
        <w:tc>
          <w:tcPr>
            <w:tcW w:w="709" w:type="dxa"/>
            <w:tcBorders>
              <w:top w:val="single" w:sz="4" w:space="0" w:color="auto"/>
              <w:left w:val="nil"/>
              <w:bottom w:val="single" w:sz="4" w:space="0" w:color="auto"/>
              <w:right w:val="single" w:sz="4" w:space="0" w:color="auto"/>
            </w:tcBorders>
          </w:tcPr>
          <w:p w14:paraId="5A58EF64" w14:textId="541A1988"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w:t>
            </w:r>
            <w:r w:rsidR="00764E79" w:rsidRPr="005016A5">
              <w:rPr>
                <w:rFonts w:ascii="Times New Roman" w:eastAsia="Times New Roman" w:hAnsi="Times New Roman" w:cs="Times New Roman"/>
                <w:color w:val="000000"/>
                <w:sz w:val="21"/>
                <w:szCs w:val="21"/>
                <w:lang w:eastAsia="en-GB"/>
              </w:rPr>
              <w:t>36</w:t>
            </w:r>
          </w:p>
        </w:tc>
      </w:tr>
      <w:tr w:rsidR="00553D21" w:rsidRPr="005016A5" w14:paraId="326122AA" w14:textId="2CFF6B85" w:rsidTr="0002675A">
        <w:trPr>
          <w:trHeight w:val="315"/>
        </w:trPr>
        <w:tc>
          <w:tcPr>
            <w:tcW w:w="1268" w:type="dxa"/>
            <w:noWrap/>
          </w:tcPr>
          <w:p w14:paraId="606F8C2A" w14:textId="4481900F" w:rsidR="00553D21" w:rsidRPr="005016A5" w:rsidRDefault="00553D21" w:rsidP="00526C17">
            <w:pPr>
              <w:rPr>
                <w:rFonts w:ascii="Times New Roman" w:eastAsia="Times New Roman" w:hAnsi="Times New Roman" w:cs="Times New Roman"/>
                <w:color w:val="000000"/>
                <w:sz w:val="21"/>
                <w:szCs w:val="21"/>
                <w:lang w:eastAsia="en-GB"/>
              </w:rPr>
            </w:pPr>
            <w:r w:rsidRPr="0EEFD136">
              <w:rPr>
                <w:rFonts w:ascii="Times New Roman" w:eastAsia="Times New Roman" w:hAnsi="Times New Roman" w:cs="Times New Roman"/>
                <w:color w:val="000000" w:themeColor="text1"/>
                <w:sz w:val="21"/>
                <w:szCs w:val="21"/>
                <w:lang w:eastAsia="en-GB"/>
              </w:rPr>
              <w:t xml:space="preserve">van </w:t>
            </w:r>
            <w:proofErr w:type="spellStart"/>
            <w:r w:rsidRPr="0EEFD136">
              <w:rPr>
                <w:rFonts w:ascii="Times New Roman" w:eastAsia="Times New Roman" w:hAnsi="Times New Roman" w:cs="Times New Roman"/>
                <w:color w:val="000000" w:themeColor="text1"/>
                <w:sz w:val="21"/>
                <w:szCs w:val="21"/>
                <w:lang w:eastAsia="en-GB"/>
              </w:rPr>
              <w:t>Hoeken</w:t>
            </w:r>
            <w:proofErr w:type="spellEnd"/>
            <w:r w:rsidRPr="0EEFD136">
              <w:rPr>
                <w:rFonts w:ascii="Times New Roman" w:eastAsia="Times New Roman" w:hAnsi="Times New Roman" w:cs="Times New Roman"/>
                <w:color w:val="000000" w:themeColor="text1"/>
                <w:sz w:val="21"/>
                <w:szCs w:val="21"/>
                <w:lang w:eastAsia="en-GB"/>
              </w:rPr>
              <w:t xml:space="preserve"> et al., 2020</w:t>
            </w:r>
          </w:p>
        </w:tc>
        <w:tc>
          <w:tcPr>
            <w:tcW w:w="1279" w:type="dxa"/>
          </w:tcPr>
          <w:p w14:paraId="1ABD1CAF" w14:textId="4B528ACE"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Worldwide</w:t>
            </w:r>
          </w:p>
        </w:tc>
        <w:tc>
          <w:tcPr>
            <w:tcW w:w="1700" w:type="dxa"/>
          </w:tcPr>
          <w:p w14:paraId="45C0A14E" w14:textId="38A3EDDB"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N/A</w:t>
            </w:r>
          </w:p>
        </w:tc>
        <w:tc>
          <w:tcPr>
            <w:tcW w:w="710" w:type="dxa"/>
          </w:tcPr>
          <w:p w14:paraId="563FEACD" w14:textId="2D889123" w:rsidR="00553D21" w:rsidRPr="005016A5" w:rsidRDefault="00FC3EA5"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N/A</w:t>
            </w:r>
          </w:p>
        </w:tc>
        <w:tc>
          <w:tcPr>
            <w:tcW w:w="850" w:type="dxa"/>
          </w:tcPr>
          <w:p w14:paraId="582E8A51"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4820" w:type="dxa"/>
            <w:tcBorders>
              <w:top w:val="single" w:sz="4" w:space="0" w:color="auto"/>
              <w:left w:val="nil"/>
              <w:bottom w:val="single" w:sz="4" w:space="0" w:color="auto"/>
              <w:right w:val="nil"/>
            </w:tcBorders>
          </w:tcPr>
          <w:p w14:paraId="18A6F39B" w14:textId="3CA6704A" w:rsidR="00553D21" w:rsidRPr="005016A5" w:rsidRDefault="00553D21" w:rsidP="00526C17">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review the recent literature on the burden of eating disorders in terms of mortality, disability, quality of life, economic cost, and family burden, compared with people without an eating disorder.</w:t>
            </w:r>
          </w:p>
        </w:tc>
        <w:tc>
          <w:tcPr>
            <w:tcW w:w="1559" w:type="dxa"/>
          </w:tcPr>
          <w:p w14:paraId="46D0E05A" w14:textId="1569DBB8"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Review (Systematic)</w:t>
            </w:r>
          </w:p>
        </w:tc>
        <w:tc>
          <w:tcPr>
            <w:tcW w:w="2268" w:type="dxa"/>
            <w:tcBorders>
              <w:top w:val="single" w:sz="4" w:space="0" w:color="auto"/>
              <w:left w:val="nil"/>
              <w:bottom w:val="single" w:sz="4" w:space="0" w:color="auto"/>
              <w:right w:val="single" w:sz="4" w:space="0" w:color="auto"/>
            </w:tcBorders>
          </w:tcPr>
          <w:p w14:paraId="3A9CABC7" w14:textId="191EDCE4" w:rsidR="00553D21" w:rsidRPr="005016A5" w:rsidRDefault="00553D21" w:rsidP="00526C17">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Mortality, disability, costs, quality of life, and family burden</w:t>
            </w:r>
          </w:p>
        </w:tc>
        <w:tc>
          <w:tcPr>
            <w:tcW w:w="709" w:type="dxa"/>
            <w:tcBorders>
              <w:top w:val="single" w:sz="4" w:space="0" w:color="auto"/>
              <w:left w:val="nil"/>
              <w:bottom w:val="single" w:sz="4" w:space="0" w:color="auto"/>
              <w:right w:val="single" w:sz="4" w:space="0" w:color="auto"/>
            </w:tcBorders>
          </w:tcPr>
          <w:p w14:paraId="58625D6C" w14:textId="22D0C44B"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3</w:t>
            </w:r>
          </w:p>
        </w:tc>
      </w:tr>
      <w:tr w:rsidR="00553D21" w:rsidRPr="005016A5" w14:paraId="4BAE2D85" w14:textId="0F2A8693" w:rsidTr="0002675A">
        <w:trPr>
          <w:trHeight w:val="330"/>
        </w:trPr>
        <w:tc>
          <w:tcPr>
            <w:tcW w:w="1268" w:type="dxa"/>
            <w:noWrap/>
          </w:tcPr>
          <w:p w14:paraId="537BB3D1" w14:textId="38AD6461"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Wentz et al., 2009</w:t>
            </w:r>
          </w:p>
        </w:tc>
        <w:tc>
          <w:tcPr>
            <w:tcW w:w="1279" w:type="dxa"/>
          </w:tcPr>
          <w:p w14:paraId="247F0EC1" w14:textId="6EF0A577"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Sweden</w:t>
            </w:r>
          </w:p>
        </w:tc>
        <w:tc>
          <w:tcPr>
            <w:tcW w:w="1700" w:type="dxa"/>
          </w:tcPr>
          <w:p w14:paraId="717A454C" w14:textId="24FB8CF3"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 xml:space="preserve">Community (Adolescents, </w:t>
            </w:r>
            <w:r w:rsidRPr="005016A5">
              <w:rPr>
                <w:rFonts w:ascii="Times New Roman" w:hAnsi="Times New Roman" w:cs="Times New Roman"/>
                <w:color w:val="000000"/>
                <w:sz w:val="21"/>
                <w:szCs w:val="21"/>
              </w:rPr>
              <w:t>Both Sexes</w:t>
            </w:r>
            <w:r w:rsidRPr="005016A5">
              <w:rPr>
                <w:rFonts w:ascii="Times New Roman" w:eastAsia="Times New Roman" w:hAnsi="Times New Roman" w:cs="Times New Roman"/>
                <w:color w:val="000000"/>
                <w:sz w:val="21"/>
                <w:szCs w:val="21"/>
                <w:lang w:eastAsia="en-GB"/>
              </w:rPr>
              <w:t>)</w:t>
            </w:r>
          </w:p>
        </w:tc>
        <w:tc>
          <w:tcPr>
            <w:tcW w:w="710" w:type="dxa"/>
          </w:tcPr>
          <w:p w14:paraId="0D794EB3"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850" w:type="dxa"/>
          </w:tcPr>
          <w:p w14:paraId="6ED46967" w14:textId="0CCA9E99" w:rsidR="00553D21" w:rsidRPr="005016A5" w:rsidRDefault="00486D14"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51</w:t>
            </w:r>
          </w:p>
        </w:tc>
        <w:tc>
          <w:tcPr>
            <w:tcW w:w="4820" w:type="dxa"/>
            <w:tcBorders>
              <w:top w:val="single" w:sz="4" w:space="0" w:color="auto"/>
              <w:left w:val="nil"/>
              <w:bottom w:val="single" w:sz="4" w:space="0" w:color="auto"/>
              <w:right w:val="nil"/>
            </w:tcBorders>
          </w:tcPr>
          <w:p w14:paraId="38B3543B" w14:textId="47003A96" w:rsidR="00553D21" w:rsidRPr="005016A5" w:rsidRDefault="00553D21" w:rsidP="00526C17">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study prospectively the long-term outcome and prognostic factors in a representative sample of people with teenage-onset anorexia nervosa.</w:t>
            </w:r>
          </w:p>
        </w:tc>
        <w:tc>
          <w:tcPr>
            <w:tcW w:w="1559" w:type="dxa"/>
          </w:tcPr>
          <w:p w14:paraId="091A5BD4" w14:textId="5E59AF36"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11EBB995" w14:textId="31A38834" w:rsidR="00553D21" w:rsidRPr="005016A5" w:rsidRDefault="00553D21" w:rsidP="00526C17">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Mortality and presence of ED</w:t>
            </w:r>
          </w:p>
        </w:tc>
        <w:tc>
          <w:tcPr>
            <w:tcW w:w="709" w:type="dxa"/>
            <w:tcBorders>
              <w:top w:val="single" w:sz="4" w:space="0" w:color="auto"/>
              <w:left w:val="nil"/>
              <w:bottom w:val="single" w:sz="4" w:space="0" w:color="auto"/>
              <w:right w:val="single" w:sz="4" w:space="0" w:color="auto"/>
            </w:tcBorders>
          </w:tcPr>
          <w:p w14:paraId="07C1C98D" w14:textId="74C95F14" w:rsidR="00553D21" w:rsidRPr="005016A5" w:rsidRDefault="0004027E"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59</w:t>
            </w:r>
          </w:p>
        </w:tc>
      </w:tr>
      <w:tr w:rsidR="00553D21" w:rsidRPr="005016A5" w14:paraId="7BD208F3" w14:textId="427D5F5E" w:rsidTr="0002675A">
        <w:trPr>
          <w:trHeight w:val="315"/>
        </w:trPr>
        <w:tc>
          <w:tcPr>
            <w:tcW w:w="1268" w:type="dxa"/>
            <w:noWrap/>
          </w:tcPr>
          <w:p w14:paraId="3C614CF4" w14:textId="71C4A3D3"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Winkler et al., 2015</w:t>
            </w:r>
          </w:p>
        </w:tc>
        <w:tc>
          <w:tcPr>
            <w:tcW w:w="1279" w:type="dxa"/>
          </w:tcPr>
          <w:p w14:paraId="3DECA195" w14:textId="1FCDCED0"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Denmark</w:t>
            </w:r>
          </w:p>
        </w:tc>
        <w:tc>
          <w:tcPr>
            <w:tcW w:w="1700" w:type="dxa"/>
          </w:tcPr>
          <w:p w14:paraId="229959A1" w14:textId="11A9C37D"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color w:val="000000"/>
                <w:sz w:val="21"/>
                <w:szCs w:val="21"/>
                <w:lang w:eastAsia="en-GB"/>
              </w:rPr>
              <w:t xml:space="preserve">Outpatient (Adult, </w:t>
            </w:r>
            <w:r w:rsidR="00DA7EA2" w:rsidRPr="005016A5">
              <w:rPr>
                <w:rFonts w:ascii="Times New Roman" w:eastAsia="Times New Roman" w:hAnsi="Times New Roman" w:cs="Times New Roman"/>
                <w:color w:val="000000"/>
                <w:sz w:val="21"/>
                <w:szCs w:val="21"/>
                <w:lang w:eastAsia="en-GB"/>
              </w:rPr>
              <w:t>Both Sexes</w:t>
            </w:r>
            <w:r w:rsidRPr="005016A5">
              <w:rPr>
                <w:rFonts w:ascii="Times New Roman" w:eastAsia="Times New Roman" w:hAnsi="Times New Roman" w:cs="Times New Roman"/>
                <w:color w:val="000000"/>
                <w:sz w:val="21"/>
                <w:szCs w:val="21"/>
                <w:lang w:eastAsia="en-GB"/>
              </w:rPr>
              <w:t>)</w:t>
            </w:r>
          </w:p>
        </w:tc>
        <w:tc>
          <w:tcPr>
            <w:tcW w:w="710" w:type="dxa"/>
          </w:tcPr>
          <w:p w14:paraId="0C50FEF8"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850" w:type="dxa"/>
          </w:tcPr>
          <w:p w14:paraId="7C10F51C" w14:textId="49C2BF50" w:rsidR="00553D21" w:rsidRPr="005016A5" w:rsidRDefault="00670D3E"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998</w:t>
            </w:r>
          </w:p>
        </w:tc>
        <w:tc>
          <w:tcPr>
            <w:tcW w:w="4820" w:type="dxa"/>
            <w:tcBorders>
              <w:top w:val="single" w:sz="4" w:space="0" w:color="auto"/>
              <w:left w:val="nil"/>
              <w:bottom w:val="single" w:sz="4" w:space="0" w:color="auto"/>
              <w:right w:val="nil"/>
            </w:tcBorders>
          </w:tcPr>
          <w:p w14:paraId="1965A557" w14:textId="4B905B72" w:rsidR="00553D21" w:rsidRPr="005016A5" w:rsidRDefault="00553D21" w:rsidP="00526C17">
            <w:pPr>
              <w:rPr>
                <w:rFonts w:ascii="Times New Roman" w:hAnsi="Times New Roman" w:cs="Times New Roman"/>
                <w:color w:val="000000"/>
                <w:sz w:val="21"/>
                <w:szCs w:val="21"/>
              </w:rPr>
            </w:pPr>
            <w:r w:rsidRPr="005016A5">
              <w:rPr>
                <w:rFonts w:ascii="Times New Roman" w:eastAsia="Times New Roman" w:hAnsi="Times New Roman" w:cs="Times New Roman"/>
                <w:color w:val="000000"/>
                <w:sz w:val="21"/>
                <w:szCs w:val="21"/>
                <w:lang w:eastAsia="en-GB"/>
              </w:rPr>
              <w:t>To establish mortality rates in a sample of ED patients with a mean follow-up of 12 years.</w:t>
            </w:r>
          </w:p>
        </w:tc>
        <w:tc>
          <w:tcPr>
            <w:tcW w:w="1559" w:type="dxa"/>
          </w:tcPr>
          <w:p w14:paraId="7FD92BD9" w14:textId="040777B6"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Longitudinal (&gt;10yr)</w:t>
            </w:r>
          </w:p>
        </w:tc>
        <w:tc>
          <w:tcPr>
            <w:tcW w:w="2268" w:type="dxa"/>
            <w:tcBorders>
              <w:top w:val="single" w:sz="4" w:space="0" w:color="auto"/>
              <w:left w:val="nil"/>
              <w:bottom w:val="single" w:sz="4" w:space="0" w:color="auto"/>
              <w:right w:val="single" w:sz="4" w:space="0" w:color="auto"/>
            </w:tcBorders>
          </w:tcPr>
          <w:p w14:paraId="76D00247" w14:textId="2D883F02" w:rsidR="00553D21" w:rsidRPr="005016A5" w:rsidRDefault="00553D21" w:rsidP="00526C17">
            <w:pPr>
              <w:rPr>
                <w:rFonts w:ascii="Times New Roman" w:hAnsi="Times New Roman" w:cs="Times New Roman"/>
                <w:sz w:val="21"/>
                <w:szCs w:val="21"/>
              </w:rPr>
            </w:pPr>
            <w:r w:rsidRPr="005016A5">
              <w:rPr>
                <w:rFonts w:ascii="Times New Roman" w:eastAsia="Times New Roman" w:hAnsi="Times New Roman" w:cs="Times New Roman"/>
                <w:color w:val="000000"/>
                <w:sz w:val="21"/>
                <w:szCs w:val="21"/>
                <w:lang w:eastAsia="en-GB"/>
              </w:rPr>
              <w:t>Mortality; SMR</w:t>
            </w:r>
          </w:p>
        </w:tc>
        <w:tc>
          <w:tcPr>
            <w:tcW w:w="709" w:type="dxa"/>
            <w:tcBorders>
              <w:top w:val="single" w:sz="4" w:space="0" w:color="auto"/>
              <w:left w:val="nil"/>
              <w:bottom w:val="single" w:sz="4" w:space="0" w:color="auto"/>
              <w:right w:val="single" w:sz="4" w:space="0" w:color="auto"/>
            </w:tcBorders>
          </w:tcPr>
          <w:p w14:paraId="17EFAEB1" w14:textId="35596993" w:rsidR="00553D21" w:rsidRPr="005016A5" w:rsidRDefault="005710D6"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58</w:t>
            </w:r>
          </w:p>
        </w:tc>
      </w:tr>
      <w:tr w:rsidR="00553D21" w:rsidRPr="004833E8" w14:paraId="1EEE9218" w14:textId="3ABDD32B" w:rsidTr="0002675A">
        <w:trPr>
          <w:trHeight w:val="645"/>
        </w:trPr>
        <w:tc>
          <w:tcPr>
            <w:tcW w:w="1268" w:type="dxa"/>
            <w:noWrap/>
          </w:tcPr>
          <w:p w14:paraId="7C8CDD10" w14:textId="6C7D402D" w:rsidR="00553D21" w:rsidRPr="005016A5" w:rsidRDefault="00553D21" w:rsidP="00526C17">
            <w:pPr>
              <w:rPr>
                <w:rFonts w:ascii="Times New Roman" w:eastAsia="Times New Roman" w:hAnsi="Times New Roman" w:cs="Times New Roman"/>
                <w:color w:val="000000"/>
                <w:sz w:val="21"/>
                <w:szCs w:val="21"/>
                <w:lang w:eastAsia="en-GB"/>
              </w:rPr>
            </w:pPr>
            <w:proofErr w:type="spellStart"/>
            <w:r w:rsidRPr="005016A5">
              <w:rPr>
                <w:rFonts w:ascii="Times New Roman" w:eastAsia="Times New Roman" w:hAnsi="Times New Roman" w:cs="Times New Roman"/>
                <w:color w:val="000000" w:themeColor="text1"/>
                <w:sz w:val="21"/>
                <w:szCs w:val="21"/>
                <w:lang w:eastAsia="en-GB"/>
              </w:rPr>
              <w:t>Zerwas</w:t>
            </w:r>
            <w:proofErr w:type="spellEnd"/>
            <w:r w:rsidRPr="005016A5">
              <w:rPr>
                <w:rFonts w:ascii="Times New Roman" w:eastAsia="Times New Roman" w:hAnsi="Times New Roman" w:cs="Times New Roman"/>
                <w:color w:val="000000" w:themeColor="text1"/>
                <w:sz w:val="21"/>
                <w:szCs w:val="21"/>
                <w:lang w:eastAsia="en-GB"/>
              </w:rPr>
              <w:t xml:space="preserve"> et al., 2015</w:t>
            </w:r>
          </w:p>
        </w:tc>
        <w:tc>
          <w:tcPr>
            <w:tcW w:w="1279" w:type="dxa"/>
            <w:noWrap/>
          </w:tcPr>
          <w:p w14:paraId="43099E15" w14:textId="1C13FD6E"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themeColor="text1"/>
                <w:sz w:val="21"/>
                <w:szCs w:val="21"/>
                <w:lang w:eastAsia="en-GB"/>
              </w:rPr>
              <w:t>Denmark</w:t>
            </w:r>
          </w:p>
        </w:tc>
        <w:tc>
          <w:tcPr>
            <w:tcW w:w="1700" w:type="dxa"/>
          </w:tcPr>
          <w:p w14:paraId="63025B6D" w14:textId="08F581A9"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Inpatient and Outpatient (All ages, Both Sexes)</w:t>
            </w:r>
          </w:p>
        </w:tc>
        <w:tc>
          <w:tcPr>
            <w:tcW w:w="710" w:type="dxa"/>
          </w:tcPr>
          <w:p w14:paraId="47DED698" w14:textId="77777777" w:rsidR="00553D21" w:rsidRPr="005016A5" w:rsidRDefault="00553D21" w:rsidP="00526C17">
            <w:pPr>
              <w:rPr>
                <w:rFonts w:ascii="Times New Roman" w:eastAsia="Times New Roman" w:hAnsi="Times New Roman" w:cs="Times New Roman"/>
                <w:color w:val="000000"/>
                <w:sz w:val="21"/>
                <w:szCs w:val="21"/>
                <w:lang w:eastAsia="en-GB"/>
              </w:rPr>
            </w:pPr>
          </w:p>
        </w:tc>
        <w:tc>
          <w:tcPr>
            <w:tcW w:w="850" w:type="dxa"/>
          </w:tcPr>
          <w:p w14:paraId="187965C0" w14:textId="08E6BEB7" w:rsidR="00553D21" w:rsidRPr="005016A5" w:rsidRDefault="00193EE4"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966</w:t>
            </w:r>
          </w:p>
        </w:tc>
        <w:tc>
          <w:tcPr>
            <w:tcW w:w="4820" w:type="dxa"/>
          </w:tcPr>
          <w:p w14:paraId="6C7A4F98" w14:textId="1259C223"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To characterise the incidence rates and cumulative incidence of anorexia nervosa (AN), bulimia nervosa (BN), and eating disorder not otherwise specified (EDNOS), and examine associations among eating disorder diagnoses, suicide attempts, and mortality.</w:t>
            </w:r>
          </w:p>
        </w:tc>
        <w:tc>
          <w:tcPr>
            <w:tcW w:w="1559" w:type="dxa"/>
          </w:tcPr>
          <w:p w14:paraId="2B4C62BF" w14:textId="4DCD49E6" w:rsidR="00553D21" w:rsidRPr="005016A5" w:rsidRDefault="00553D21" w:rsidP="00526C17">
            <w:pPr>
              <w:rPr>
                <w:rFonts w:ascii="Times New Roman" w:eastAsia="Times New Roman" w:hAnsi="Times New Roman" w:cs="Times New Roman"/>
                <w:sz w:val="21"/>
                <w:szCs w:val="21"/>
                <w:lang w:eastAsia="en-GB"/>
              </w:rPr>
            </w:pPr>
            <w:r w:rsidRPr="005016A5">
              <w:rPr>
                <w:rFonts w:ascii="Times New Roman" w:eastAsia="Times New Roman" w:hAnsi="Times New Roman" w:cs="Times New Roman"/>
                <w:sz w:val="21"/>
                <w:szCs w:val="21"/>
                <w:lang w:eastAsia="en-GB"/>
              </w:rPr>
              <w:t xml:space="preserve">Retrospective cohort </w:t>
            </w:r>
          </w:p>
        </w:tc>
        <w:tc>
          <w:tcPr>
            <w:tcW w:w="2268" w:type="dxa"/>
          </w:tcPr>
          <w:p w14:paraId="2C74FBDA" w14:textId="36A60476" w:rsidR="00553D21" w:rsidRPr="005016A5"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 xml:space="preserve">ED incidence rate, cumulative incidence, </w:t>
            </w:r>
            <w:proofErr w:type="gramStart"/>
            <w:r w:rsidRPr="005016A5">
              <w:rPr>
                <w:rFonts w:ascii="Times New Roman" w:eastAsia="Times New Roman" w:hAnsi="Times New Roman" w:cs="Times New Roman"/>
                <w:color w:val="000000"/>
                <w:sz w:val="21"/>
                <w:szCs w:val="21"/>
                <w:lang w:eastAsia="en-GB"/>
              </w:rPr>
              <w:t>death</w:t>
            </w:r>
            <w:proofErr w:type="gramEnd"/>
            <w:r w:rsidRPr="005016A5">
              <w:rPr>
                <w:rFonts w:ascii="Times New Roman" w:eastAsia="Times New Roman" w:hAnsi="Times New Roman" w:cs="Times New Roman"/>
                <w:color w:val="000000"/>
                <w:sz w:val="21"/>
                <w:szCs w:val="21"/>
                <w:lang w:eastAsia="en-GB"/>
              </w:rPr>
              <w:t xml:space="preserve"> and suicide rates </w:t>
            </w:r>
          </w:p>
        </w:tc>
        <w:tc>
          <w:tcPr>
            <w:tcW w:w="709" w:type="dxa"/>
          </w:tcPr>
          <w:p w14:paraId="46DF13E8" w14:textId="14E08C47" w:rsidR="00553D21" w:rsidRPr="004833E8" w:rsidRDefault="00553D21" w:rsidP="00526C17">
            <w:pPr>
              <w:rPr>
                <w:rFonts w:ascii="Times New Roman" w:eastAsia="Times New Roman" w:hAnsi="Times New Roman" w:cs="Times New Roman"/>
                <w:color w:val="000000"/>
                <w:sz w:val="21"/>
                <w:szCs w:val="21"/>
                <w:lang w:eastAsia="en-GB"/>
              </w:rPr>
            </w:pPr>
            <w:r w:rsidRPr="005016A5">
              <w:rPr>
                <w:rFonts w:ascii="Times New Roman" w:eastAsia="Times New Roman" w:hAnsi="Times New Roman" w:cs="Times New Roman"/>
                <w:color w:val="000000"/>
                <w:sz w:val="21"/>
                <w:szCs w:val="21"/>
                <w:lang w:eastAsia="en-GB"/>
              </w:rPr>
              <w:t>1</w:t>
            </w:r>
            <w:r w:rsidR="00200601" w:rsidRPr="005016A5">
              <w:rPr>
                <w:rFonts w:ascii="Times New Roman" w:eastAsia="Times New Roman" w:hAnsi="Times New Roman" w:cs="Times New Roman"/>
                <w:color w:val="000000"/>
                <w:sz w:val="21"/>
                <w:szCs w:val="21"/>
                <w:lang w:eastAsia="en-GB"/>
              </w:rPr>
              <w:t>43</w:t>
            </w:r>
          </w:p>
        </w:tc>
      </w:tr>
    </w:tbl>
    <w:p w14:paraId="272238A9" w14:textId="77777777" w:rsidR="00E1405D" w:rsidRDefault="00E1405D"/>
    <w:sectPr w:rsidR="00E1405D" w:rsidSect="001C603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C070" w14:textId="77777777" w:rsidR="003E50BF" w:rsidRDefault="003E50BF" w:rsidP="003E50BF">
      <w:r>
        <w:separator/>
      </w:r>
    </w:p>
  </w:endnote>
  <w:endnote w:type="continuationSeparator" w:id="0">
    <w:p w14:paraId="2CA6EEDB" w14:textId="77777777" w:rsidR="003E50BF" w:rsidRDefault="003E50BF" w:rsidP="003E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838134"/>
      <w:docPartObj>
        <w:docPartGallery w:val="Page Numbers (Bottom of Page)"/>
        <w:docPartUnique/>
      </w:docPartObj>
    </w:sdtPr>
    <w:sdtContent>
      <w:p w14:paraId="26DAE44E" w14:textId="4C57DC4D" w:rsidR="003E50BF" w:rsidRDefault="003E50BF" w:rsidP="008134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0AB866" w14:textId="77777777" w:rsidR="003E50BF" w:rsidRDefault="003E50BF" w:rsidP="003E50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4897273"/>
      <w:docPartObj>
        <w:docPartGallery w:val="Page Numbers (Bottom of Page)"/>
        <w:docPartUnique/>
      </w:docPartObj>
    </w:sdtPr>
    <w:sdtEndPr>
      <w:rPr>
        <w:rStyle w:val="PageNumber"/>
        <w:rFonts w:ascii="Times New Roman" w:hAnsi="Times New Roman" w:cs="Times New Roman"/>
      </w:rPr>
    </w:sdtEndPr>
    <w:sdtContent>
      <w:p w14:paraId="39314737" w14:textId="5066FED5" w:rsidR="003E50BF" w:rsidRPr="003E50BF" w:rsidRDefault="003E50BF" w:rsidP="00813496">
        <w:pPr>
          <w:pStyle w:val="Footer"/>
          <w:framePr w:wrap="none" w:vAnchor="text" w:hAnchor="margin" w:xAlign="right" w:y="1"/>
          <w:rPr>
            <w:rStyle w:val="PageNumber"/>
            <w:rFonts w:ascii="Times New Roman" w:hAnsi="Times New Roman" w:cs="Times New Roman"/>
          </w:rPr>
        </w:pPr>
        <w:r w:rsidRPr="003E50BF">
          <w:rPr>
            <w:rStyle w:val="PageNumber"/>
            <w:rFonts w:ascii="Times New Roman" w:hAnsi="Times New Roman" w:cs="Times New Roman"/>
          </w:rPr>
          <w:fldChar w:fldCharType="begin"/>
        </w:r>
        <w:r w:rsidRPr="003E50BF">
          <w:rPr>
            <w:rStyle w:val="PageNumber"/>
            <w:rFonts w:ascii="Times New Roman" w:hAnsi="Times New Roman" w:cs="Times New Roman"/>
          </w:rPr>
          <w:instrText xml:space="preserve"> PAGE </w:instrText>
        </w:r>
        <w:r w:rsidRPr="003E50BF">
          <w:rPr>
            <w:rStyle w:val="PageNumber"/>
            <w:rFonts w:ascii="Times New Roman" w:hAnsi="Times New Roman" w:cs="Times New Roman"/>
          </w:rPr>
          <w:fldChar w:fldCharType="separate"/>
        </w:r>
        <w:r w:rsidRPr="003E50BF">
          <w:rPr>
            <w:rStyle w:val="PageNumber"/>
            <w:rFonts w:ascii="Times New Roman" w:hAnsi="Times New Roman" w:cs="Times New Roman"/>
            <w:noProof/>
          </w:rPr>
          <w:t>1</w:t>
        </w:r>
        <w:r w:rsidRPr="003E50BF">
          <w:rPr>
            <w:rStyle w:val="PageNumber"/>
            <w:rFonts w:ascii="Times New Roman" w:hAnsi="Times New Roman" w:cs="Times New Roman"/>
          </w:rPr>
          <w:fldChar w:fldCharType="end"/>
        </w:r>
      </w:p>
    </w:sdtContent>
  </w:sdt>
  <w:p w14:paraId="79B36C02" w14:textId="77777777" w:rsidR="003E50BF" w:rsidRDefault="003E50BF" w:rsidP="003E50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06E7" w14:textId="77777777" w:rsidR="003E50BF" w:rsidRDefault="003E5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B756" w14:textId="77777777" w:rsidR="003E50BF" w:rsidRDefault="003E50BF" w:rsidP="003E50BF">
      <w:r>
        <w:separator/>
      </w:r>
    </w:p>
  </w:footnote>
  <w:footnote w:type="continuationSeparator" w:id="0">
    <w:p w14:paraId="156A7DB1" w14:textId="77777777" w:rsidR="003E50BF" w:rsidRDefault="003E50BF" w:rsidP="003E5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0083" w14:textId="77777777" w:rsidR="003E50BF" w:rsidRDefault="003E5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98F5" w14:textId="6654BDF5" w:rsidR="003E50BF" w:rsidRPr="003E50BF" w:rsidRDefault="003E50BF" w:rsidP="003E50BF">
    <w:pPr>
      <w:pStyle w:val="Header"/>
      <w:rPr>
        <w:rFonts w:ascii="Times New Roman" w:hAnsi="Times New Roman" w:cs="Times New Roman"/>
      </w:rPr>
    </w:pPr>
    <w:r w:rsidRPr="003E50BF">
      <w:rPr>
        <w:rStyle w:val="normaltextrun"/>
        <w:rFonts w:ascii="Times New Roman" w:hAnsi="Times New Roman" w:cs="Times New Roman"/>
        <w:color w:val="000000"/>
      </w:rPr>
      <w:t>Eating disorder outcomes: Findings from a rapid review of over a decade of research</w:t>
    </w:r>
    <w:r w:rsidRPr="003E50BF">
      <w:rPr>
        <w:rStyle w:val="eop"/>
        <w:rFonts w:ascii="Times New Roman" w:hAnsi="Times New Roman" w:cs="Times New Roman"/>
        <w:color w:val="000000"/>
      </w:rPr>
      <w:t> </w:t>
    </w:r>
    <w:r w:rsidRPr="003E50BF">
      <w:rPr>
        <w:rFonts w:ascii="Times New Roman" w:hAnsi="Times New Roman" w:cs="Times New Roman"/>
      </w:rPr>
      <w:t xml:space="preserve">- Additional File </w:t>
    </w:r>
    <w:r w:rsidRPr="003E50BF">
      <w:rPr>
        <w:rFonts w:ascii="Times New Roman" w:hAnsi="Times New Roman" w:cs="Times New Roman"/>
      </w:rPr>
      <w:t>2</w:t>
    </w:r>
  </w:p>
  <w:p w14:paraId="7534EADE" w14:textId="77777777" w:rsidR="003E50BF" w:rsidRDefault="003E50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4415" w14:textId="77777777" w:rsidR="003E50BF" w:rsidRDefault="003E50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90"/>
    <w:rsid w:val="00000FE3"/>
    <w:rsid w:val="000011CE"/>
    <w:rsid w:val="00003156"/>
    <w:rsid w:val="00003875"/>
    <w:rsid w:val="00004653"/>
    <w:rsid w:val="000064ED"/>
    <w:rsid w:val="00011C25"/>
    <w:rsid w:val="000123D9"/>
    <w:rsid w:val="00013A42"/>
    <w:rsid w:val="00013D9D"/>
    <w:rsid w:val="0001411B"/>
    <w:rsid w:val="00014706"/>
    <w:rsid w:val="0001661F"/>
    <w:rsid w:val="0001757F"/>
    <w:rsid w:val="000200EA"/>
    <w:rsid w:val="00021102"/>
    <w:rsid w:val="000213B7"/>
    <w:rsid w:val="00021EC5"/>
    <w:rsid w:val="000223C7"/>
    <w:rsid w:val="000223DC"/>
    <w:rsid w:val="00022824"/>
    <w:rsid w:val="00023417"/>
    <w:rsid w:val="0002675A"/>
    <w:rsid w:val="00026A1A"/>
    <w:rsid w:val="00031A8E"/>
    <w:rsid w:val="000323F9"/>
    <w:rsid w:val="000324DD"/>
    <w:rsid w:val="00034965"/>
    <w:rsid w:val="0003538C"/>
    <w:rsid w:val="00036C19"/>
    <w:rsid w:val="00037A7B"/>
    <w:rsid w:val="0004027E"/>
    <w:rsid w:val="000434C2"/>
    <w:rsid w:val="00044E2B"/>
    <w:rsid w:val="00045EDA"/>
    <w:rsid w:val="00046325"/>
    <w:rsid w:val="00046805"/>
    <w:rsid w:val="000475C5"/>
    <w:rsid w:val="0004770B"/>
    <w:rsid w:val="0004779C"/>
    <w:rsid w:val="00047E9E"/>
    <w:rsid w:val="00052E66"/>
    <w:rsid w:val="00053576"/>
    <w:rsid w:val="000548A0"/>
    <w:rsid w:val="00054ECB"/>
    <w:rsid w:val="00055BA3"/>
    <w:rsid w:val="000579BE"/>
    <w:rsid w:val="000637F0"/>
    <w:rsid w:val="00063E3A"/>
    <w:rsid w:val="00065B28"/>
    <w:rsid w:val="00070482"/>
    <w:rsid w:val="00070D78"/>
    <w:rsid w:val="00071455"/>
    <w:rsid w:val="0007189B"/>
    <w:rsid w:val="000721E2"/>
    <w:rsid w:val="0007331B"/>
    <w:rsid w:val="00074496"/>
    <w:rsid w:val="0007667C"/>
    <w:rsid w:val="000767F7"/>
    <w:rsid w:val="000813B7"/>
    <w:rsid w:val="00083724"/>
    <w:rsid w:val="00084FB5"/>
    <w:rsid w:val="00085D18"/>
    <w:rsid w:val="00085E90"/>
    <w:rsid w:val="000901B6"/>
    <w:rsid w:val="0009036C"/>
    <w:rsid w:val="000913D2"/>
    <w:rsid w:val="00092ACB"/>
    <w:rsid w:val="00092D61"/>
    <w:rsid w:val="000930CC"/>
    <w:rsid w:val="00093671"/>
    <w:rsid w:val="0009619F"/>
    <w:rsid w:val="00096476"/>
    <w:rsid w:val="000A04FB"/>
    <w:rsid w:val="000A0602"/>
    <w:rsid w:val="000A1E6E"/>
    <w:rsid w:val="000A39FE"/>
    <w:rsid w:val="000A4DE8"/>
    <w:rsid w:val="000B020A"/>
    <w:rsid w:val="000B11DC"/>
    <w:rsid w:val="000B1417"/>
    <w:rsid w:val="000B1BBD"/>
    <w:rsid w:val="000B229D"/>
    <w:rsid w:val="000B63B5"/>
    <w:rsid w:val="000B7054"/>
    <w:rsid w:val="000B7302"/>
    <w:rsid w:val="000B78B9"/>
    <w:rsid w:val="000C051F"/>
    <w:rsid w:val="000C0EC9"/>
    <w:rsid w:val="000C1057"/>
    <w:rsid w:val="000C25FF"/>
    <w:rsid w:val="000C2F76"/>
    <w:rsid w:val="000C41A9"/>
    <w:rsid w:val="000C461F"/>
    <w:rsid w:val="000C49AA"/>
    <w:rsid w:val="000C4B4A"/>
    <w:rsid w:val="000C4E99"/>
    <w:rsid w:val="000C65D1"/>
    <w:rsid w:val="000D015C"/>
    <w:rsid w:val="000D1EC1"/>
    <w:rsid w:val="000D22F0"/>
    <w:rsid w:val="000D30C0"/>
    <w:rsid w:val="000D3138"/>
    <w:rsid w:val="000D38AF"/>
    <w:rsid w:val="000D71B7"/>
    <w:rsid w:val="000D7A6C"/>
    <w:rsid w:val="000E0388"/>
    <w:rsid w:val="000E0F6A"/>
    <w:rsid w:val="000E0FCF"/>
    <w:rsid w:val="000E143E"/>
    <w:rsid w:val="000E4AC6"/>
    <w:rsid w:val="000E5406"/>
    <w:rsid w:val="000E663F"/>
    <w:rsid w:val="000E778C"/>
    <w:rsid w:val="000E7BB4"/>
    <w:rsid w:val="000F5453"/>
    <w:rsid w:val="000F6B65"/>
    <w:rsid w:val="00100B15"/>
    <w:rsid w:val="00102B7D"/>
    <w:rsid w:val="001032C2"/>
    <w:rsid w:val="00111F67"/>
    <w:rsid w:val="00112558"/>
    <w:rsid w:val="0011389B"/>
    <w:rsid w:val="00115D27"/>
    <w:rsid w:val="001161F0"/>
    <w:rsid w:val="00123370"/>
    <w:rsid w:val="00124D16"/>
    <w:rsid w:val="00125224"/>
    <w:rsid w:val="00126033"/>
    <w:rsid w:val="00127811"/>
    <w:rsid w:val="00127EA6"/>
    <w:rsid w:val="00130158"/>
    <w:rsid w:val="001304E6"/>
    <w:rsid w:val="00131173"/>
    <w:rsid w:val="00133488"/>
    <w:rsid w:val="00134D7D"/>
    <w:rsid w:val="0013567F"/>
    <w:rsid w:val="0013754F"/>
    <w:rsid w:val="00140E32"/>
    <w:rsid w:val="00141E37"/>
    <w:rsid w:val="00141E78"/>
    <w:rsid w:val="00145930"/>
    <w:rsid w:val="00145F12"/>
    <w:rsid w:val="0014635B"/>
    <w:rsid w:val="00147C12"/>
    <w:rsid w:val="00151B64"/>
    <w:rsid w:val="00151BBF"/>
    <w:rsid w:val="001544C0"/>
    <w:rsid w:val="00154EED"/>
    <w:rsid w:val="00155BED"/>
    <w:rsid w:val="00157184"/>
    <w:rsid w:val="00157C41"/>
    <w:rsid w:val="00157D8B"/>
    <w:rsid w:val="001604BC"/>
    <w:rsid w:val="00161EF2"/>
    <w:rsid w:val="00162366"/>
    <w:rsid w:val="001631A3"/>
    <w:rsid w:val="00165179"/>
    <w:rsid w:val="00167006"/>
    <w:rsid w:val="00170500"/>
    <w:rsid w:val="00173FC4"/>
    <w:rsid w:val="001748D3"/>
    <w:rsid w:val="00175DEB"/>
    <w:rsid w:val="001778EC"/>
    <w:rsid w:val="001802D1"/>
    <w:rsid w:val="0018083A"/>
    <w:rsid w:val="00180A39"/>
    <w:rsid w:val="00180D8C"/>
    <w:rsid w:val="0019329E"/>
    <w:rsid w:val="00193EE4"/>
    <w:rsid w:val="001944AA"/>
    <w:rsid w:val="00194A42"/>
    <w:rsid w:val="0019545F"/>
    <w:rsid w:val="00195475"/>
    <w:rsid w:val="001A1A84"/>
    <w:rsid w:val="001A1C70"/>
    <w:rsid w:val="001A2B69"/>
    <w:rsid w:val="001A5041"/>
    <w:rsid w:val="001A5E15"/>
    <w:rsid w:val="001A6D1D"/>
    <w:rsid w:val="001A7280"/>
    <w:rsid w:val="001B1C92"/>
    <w:rsid w:val="001B3769"/>
    <w:rsid w:val="001B37A5"/>
    <w:rsid w:val="001B4049"/>
    <w:rsid w:val="001B4197"/>
    <w:rsid w:val="001B4826"/>
    <w:rsid w:val="001B4A08"/>
    <w:rsid w:val="001B4B66"/>
    <w:rsid w:val="001B5880"/>
    <w:rsid w:val="001B59C4"/>
    <w:rsid w:val="001B7752"/>
    <w:rsid w:val="001C0983"/>
    <w:rsid w:val="001C0F5E"/>
    <w:rsid w:val="001C14A9"/>
    <w:rsid w:val="001C346A"/>
    <w:rsid w:val="001C48D0"/>
    <w:rsid w:val="001C4C89"/>
    <w:rsid w:val="001C5124"/>
    <w:rsid w:val="001C6035"/>
    <w:rsid w:val="001C6482"/>
    <w:rsid w:val="001D09E2"/>
    <w:rsid w:val="001D1DAC"/>
    <w:rsid w:val="001D34C7"/>
    <w:rsid w:val="001D5334"/>
    <w:rsid w:val="001D5EAE"/>
    <w:rsid w:val="001D7B27"/>
    <w:rsid w:val="001E159A"/>
    <w:rsid w:val="001E21EB"/>
    <w:rsid w:val="001E332B"/>
    <w:rsid w:val="001E36B2"/>
    <w:rsid w:val="001E535C"/>
    <w:rsid w:val="001E60AC"/>
    <w:rsid w:val="001E7110"/>
    <w:rsid w:val="001E72E0"/>
    <w:rsid w:val="001E7682"/>
    <w:rsid w:val="001F17E8"/>
    <w:rsid w:val="001F2BDD"/>
    <w:rsid w:val="001F41F2"/>
    <w:rsid w:val="001F485C"/>
    <w:rsid w:val="00200601"/>
    <w:rsid w:val="00203365"/>
    <w:rsid w:val="00203638"/>
    <w:rsid w:val="002050DE"/>
    <w:rsid w:val="00206E77"/>
    <w:rsid w:val="00207008"/>
    <w:rsid w:val="00210519"/>
    <w:rsid w:val="00210FC5"/>
    <w:rsid w:val="00211ACE"/>
    <w:rsid w:val="00211C43"/>
    <w:rsid w:val="00214431"/>
    <w:rsid w:val="00217005"/>
    <w:rsid w:val="0022046E"/>
    <w:rsid w:val="00221147"/>
    <w:rsid w:val="00222F63"/>
    <w:rsid w:val="0022325C"/>
    <w:rsid w:val="0022507D"/>
    <w:rsid w:val="0022647A"/>
    <w:rsid w:val="00226D8A"/>
    <w:rsid w:val="002314BD"/>
    <w:rsid w:val="002332A9"/>
    <w:rsid w:val="0024047A"/>
    <w:rsid w:val="00242C90"/>
    <w:rsid w:val="0024584F"/>
    <w:rsid w:val="00245AF4"/>
    <w:rsid w:val="002516E3"/>
    <w:rsid w:val="00254232"/>
    <w:rsid w:val="00254F68"/>
    <w:rsid w:val="00256EA9"/>
    <w:rsid w:val="0026120B"/>
    <w:rsid w:val="00261C4D"/>
    <w:rsid w:val="002626C4"/>
    <w:rsid w:val="00262DDC"/>
    <w:rsid w:val="00263F64"/>
    <w:rsid w:val="002643A2"/>
    <w:rsid w:val="00264645"/>
    <w:rsid w:val="00265460"/>
    <w:rsid w:val="00270E23"/>
    <w:rsid w:val="00272018"/>
    <w:rsid w:val="00272170"/>
    <w:rsid w:val="002724AB"/>
    <w:rsid w:val="00272EBD"/>
    <w:rsid w:val="00273524"/>
    <w:rsid w:val="00274B27"/>
    <w:rsid w:val="00275ADD"/>
    <w:rsid w:val="00275CD8"/>
    <w:rsid w:val="00275FDD"/>
    <w:rsid w:val="00277059"/>
    <w:rsid w:val="002775D4"/>
    <w:rsid w:val="00281354"/>
    <w:rsid w:val="00281B08"/>
    <w:rsid w:val="00284038"/>
    <w:rsid w:val="00284CF9"/>
    <w:rsid w:val="00286349"/>
    <w:rsid w:val="00286832"/>
    <w:rsid w:val="00287F5C"/>
    <w:rsid w:val="0029139A"/>
    <w:rsid w:val="00291C53"/>
    <w:rsid w:val="00293CEE"/>
    <w:rsid w:val="002940E5"/>
    <w:rsid w:val="00294FEC"/>
    <w:rsid w:val="0029543F"/>
    <w:rsid w:val="00297DE4"/>
    <w:rsid w:val="002A11BA"/>
    <w:rsid w:val="002A1367"/>
    <w:rsid w:val="002A3854"/>
    <w:rsid w:val="002A4D0D"/>
    <w:rsid w:val="002A5260"/>
    <w:rsid w:val="002A791E"/>
    <w:rsid w:val="002B0CC8"/>
    <w:rsid w:val="002B1BD3"/>
    <w:rsid w:val="002B3D4E"/>
    <w:rsid w:val="002B583F"/>
    <w:rsid w:val="002B597D"/>
    <w:rsid w:val="002C2EDA"/>
    <w:rsid w:val="002C4890"/>
    <w:rsid w:val="002C4F6E"/>
    <w:rsid w:val="002D12E2"/>
    <w:rsid w:val="002D29D9"/>
    <w:rsid w:val="002D3894"/>
    <w:rsid w:val="002D495A"/>
    <w:rsid w:val="002D6AA8"/>
    <w:rsid w:val="002E2872"/>
    <w:rsid w:val="002E5F09"/>
    <w:rsid w:val="002F3C09"/>
    <w:rsid w:val="002F579C"/>
    <w:rsid w:val="002F711D"/>
    <w:rsid w:val="00300432"/>
    <w:rsid w:val="00303D9E"/>
    <w:rsid w:val="00303DD7"/>
    <w:rsid w:val="00304BB4"/>
    <w:rsid w:val="00304D49"/>
    <w:rsid w:val="003057C3"/>
    <w:rsid w:val="00306532"/>
    <w:rsid w:val="00306CB7"/>
    <w:rsid w:val="00312372"/>
    <w:rsid w:val="00313306"/>
    <w:rsid w:val="00313646"/>
    <w:rsid w:val="003164C9"/>
    <w:rsid w:val="00320238"/>
    <w:rsid w:val="00326732"/>
    <w:rsid w:val="0032685D"/>
    <w:rsid w:val="00327FD6"/>
    <w:rsid w:val="0033199D"/>
    <w:rsid w:val="00331F07"/>
    <w:rsid w:val="00332123"/>
    <w:rsid w:val="00332BBE"/>
    <w:rsid w:val="00334155"/>
    <w:rsid w:val="00334E78"/>
    <w:rsid w:val="0033643A"/>
    <w:rsid w:val="00336B55"/>
    <w:rsid w:val="00337C7F"/>
    <w:rsid w:val="0034046A"/>
    <w:rsid w:val="00346302"/>
    <w:rsid w:val="00347E85"/>
    <w:rsid w:val="00350680"/>
    <w:rsid w:val="003525E3"/>
    <w:rsid w:val="003539AA"/>
    <w:rsid w:val="003578EC"/>
    <w:rsid w:val="003610ED"/>
    <w:rsid w:val="00361D89"/>
    <w:rsid w:val="0036270E"/>
    <w:rsid w:val="0036375B"/>
    <w:rsid w:val="003641AC"/>
    <w:rsid w:val="00366767"/>
    <w:rsid w:val="00371501"/>
    <w:rsid w:val="0037243D"/>
    <w:rsid w:val="003731DC"/>
    <w:rsid w:val="00376FD6"/>
    <w:rsid w:val="00377B8C"/>
    <w:rsid w:val="00380428"/>
    <w:rsid w:val="00380E17"/>
    <w:rsid w:val="003846A7"/>
    <w:rsid w:val="00384A6F"/>
    <w:rsid w:val="003853A5"/>
    <w:rsid w:val="00385A15"/>
    <w:rsid w:val="00385E24"/>
    <w:rsid w:val="0038633D"/>
    <w:rsid w:val="0039326C"/>
    <w:rsid w:val="003936BE"/>
    <w:rsid w:val="0039461D"/>
    <w:rsid w:val="00395EEE"/>
    <w:rsid w:val="00396766"/>
    <w:rsid w:val="00396BF8"/>
    <w:rsid w:val="003A39C6"/>
    <w:rsid w:val="003A4918"/>
    <w:rsid w:val="003A541C"/>
    <w:rsid w:val="003A5B3E"/>
    <w:rsid w:val="003A7C72"/>
    <w:rsid w:val="003B04FD"/>
    <w:rsid w:val="003B1BD5"/>
    <w:rsid w:val="003B6A39"/>
    <w:rsid w:val="003B725D"/>
    <w:rsid w:val="003B78A1"/>
    <w:rsid w:val="003C0758"/>
    <w:rsid w:val="003C0B07"/>
    <w:rsid w:val="003C133E"/>
    <w:rsid w:val="003C2DD7"/>
    <w:rsid w:val="003C33B4"/>
    <w:rsid w:val="003C47F7"/>
    <w:rsid w:val="003C6B61"/>
    <w:rsid w:val="003C7807"/>
    <w:rsid w:val="003C79DB"/>
    <w:rsid w:val="003D2662"/>
    <w:rsid w:val="003D27B2"/>
    <w:rsid w:val="003D3BA2"/>
    <w:rsid w:val="003D554B"/>
    <w:rsid w:val="003D5B33"/>
    <w:rsid w:val="003D7763"/>
    <w:rsid w:val="003E172B"/>
    <w:rsid w:val="003E24B4"/>
    <w:rsid w:val="003E270C"/>
    <w:rsid w:val="003E3EC6"/>
    <w:rsid w:val="003E4868"/>
    <w:rsid w:val="003E4C4A"/>
    <w:rsid w:val="003E50BF"/>
    <w:rsid w:val="003E5F01"/>
    <w:rsid w:val="003F0BE2"/>
    <w:rsid w:val="003F345F"/>
    <w:rsid w:val="003F3B2C"/>
    <w:rsid w:val="003F7AA7"/>
    <w:rsid w:val="00400111"/>
    <w:rsid w:val="0040086E"/>
    <w:rsid w:val="00405AF2"/>
    <w:rsid w:val="004064C3"/>
    <w:rsid w:val="004122EE"/>
    <w:rsid w:val="00412B7E"/>
    <w:rsid w:val="004134A5"/>
    <w:rsid w:val="00413897"/>
    <w:rsid w:val="004146F1"/>
    <w:rsid w:val="00415090"/>
    <w:rsid w:val="0041511D"/>
    <w:rsid w:val="00417484"/>
    <w:rsid w:val="004174B0"/>
    <w:rsid w:val="00417B7F"/>
    <w:rsid w:val="00417D89"/>
    <w:rsid w:val="00417E99"/>
    <w:rsid w:val="0042259C"/>
    <w:rsid w:val="00427A7B"/>
    <w:rsid w:val="00430580"/>
    <w:rsid w:val="004308AB"/>
    <w:rsid w:val="00431411"/>
    <w:rsid w:val="00432380"/>
    <w:rsid w:val="00434005"/>
    <w:rsid w:val="004346EE"/>
    <w:rsid w:val="00434DA9"/>
    <w:rsid w:val="00435352"/>
    <w:rsid w:val="00440EB8"/>
    <w:rsid w:val="00444A1B"/>
    <w:rsid w:val="00446702"/>
    <w:rsid w:val="00450C3A"/>
    <w:rsid w:val="00451845"/>
    <w:rsid w:val="004523BB"/>
    <w:rsid w:val="00452DCD"/>
    <w:rsid w:val="00453389"/>
    <w:rsid w:val="004552AB"/>
    <w:rsid w:val="0045561D"/>
    <w:rsid w:val="0045773A"/>
    <w:rsid w:val="004630FE"/>
    <w:rsid w:val="00466289"/>
    <w:rsid w:val="00467A34"/>
    <w:rsid w:val="00471482"/>
    <w:rsid w:val="00471ED6"/>
    <w:rsid w:val="00471F70"/>
    <w:rsid w:val="004720FD"/>
    <w:rsid w:val="00473196"/>
    <w:rsid w:val="004734A7"/>
    <w:rsid w:val="00473857"/>
    <w:rsid w:val="004745CA"/>
    <w:rsid w:val="004753FA"/>
    <w:rsid w:val="004833E8"/>
    <w:rsid w:val="00483FFA"/>
    <w:rsid w:val="0048425D"/>
    <w:rsid w:val="0048449F"/>
    <w:rsid w:val="004857ED"/>
    <w:rsid w:val="004865C5"/>
    <w:rsid w:val="00486883"/>
    <w:rsid w:val="00486A3A"/>
    <w:rsid w:val="00486D14"/>
    <w:rsid w:val="00490E88"/>
    <w:rsid w:val="00492F63"/>
    <w:rsid w:val="00493809"/>
    <w:rsid w:val="00496D8C"/>
    <w:rsid w:val="004970F2"/>
    <w:rsid w:val="004A39DF"/>
    <w:rsid w:val="004A4387"/>
    <w:rsid w:val="004A4B7F"/>
    <w:rsid w:val="004A4E4E"/>
    <w:rsid w:val="004A5911"/>
    <w:rsid w:val="004A5CF9"/>
    <w:rsid w:val="004B00FE"/>
    <w:rsid w:val="004B2D41"/>
    <w:rsid w:val="004B57EF"/>
    <w:rsid w:val="004B5FA6"/>
    <w:rsid w:val="004B6C86"/>
    <w:rsid w:val="004C1000"/>
    <w:rsid w:val="004C150B"/>
    <w:rsid w:val="004C2739"/>
    <w:rsid w:val="004C283B"/>
    <w:rsid w:val="004C47F0"/>
    <w:rsid w:val="004C4C77"/>
    <w:rsid w:val="004C72CA"/>
    <w:rsid w:val="004C7CD4"/>
    <w:rsid w:val="004C7F12"/>
    <w:rsid w:val="004D08A7"/>
    <w:rsid w:val="004D23F7"/>
    <w:rsid w:val="004D2784"/>
    <w:rsid w:val="004D28BD"/>
    <w:rsid w:val="004D340B"/>
    <w:rsid w:val="004D4A8B"/>
    <w:rsid w:val="004D58A9"/>
    <w:rsid w:val="004D61B8"/>
    <w:rsid w:val="004D6A5E"/>
    <w:rsid w:val="004D6D38"/>
    <w:rsid w:val="004D6E6F"/>
    <w:rsid w:val="004D731A"/>
    <w:rsid w:val="004D76FB"/>
    <w:rsid w:val="004E1509"/>
    <w:rsid w:val="004E1B30"/>
    <w:rsid w:val="004E1CFC"/>
    <w:rsid w:val="004E3360"/>
    <w:rsid w:val="004E3B50"/>
    <w:rsid w:val="004E50B5"/>
    <w:rsid w:val="004E6DB3"/>
    <w:rsid w:val="004E7CF4"/>
    <w:rsid w:val="004F0F20"/>
    <w:rsid w:val="004F135D"/>
    <w:rsid w:val="004F2EC7"/>
    <w:rsid w:val="004F301A"/>
    <w:rsid w:val="004F322B"/>
    <w:rsid w:val="004F547A"/>
    <w:rsid w:val="004F5574"/>
    <w:rsid w:val="004F579C"/>
    <w:rsid w:val="004F5CC3"/>
    <w:rsid w:val="004F5ECF"/>
    <w:rsid w:val="004F6A85"/>
    <w:rsid w:val="004F7862"/>
    <w:rsid w:val="005016A5"/>
    <w:rsid w:val="005059C4"/>
    <w:rsid w:val="00505EA2"/>
    <w:rsid w:val="005062F9"/>
    <w:rsid w:val="00517353"/>
    <w:rsid w:val="0052001F"/>
    <w:rsid w:val="00520254"/>
    <w:rsid w:val="00520674"/>
    <w:rsid w:val="00520C57"/>
    <w:rsid w:val="00523A90"/>
    <w:rsid w:val="00524B38"/>
    <w:rsid w:val="00526C17"/>
    <w:rsid w:val="005274EA"/>
    <w:rsid w:val="00527E00"/>
    <w:rsid w:val="005300D3"/>
    <w:rsid w:val="005369B5"/>
    <w:rsid w:val="00537466"/>
    <w:rsid w:val="005401DE"/>
    <w:rsid w:val="0054082F"/>
    <w:rsid w:val="00542B74"/>
    <w:rsid w:val="005441AA"/>
    <w:rsid w:val="00547110"/>
    <w:rsid w:val="00547A32"/>
    <w:rsid w:val="005520FE"/>
    <w:rsid w:val="00553A52"/>
    <w:rsid w:val="00553D21"/>
    <w:rsid w:val="00554377"/>
    <w:rsid w:val="00555A75"/>
    <w:rsid w:val="00556BE9"/>
    <w:rsid w:val="005578F7"/>
    <w:rsid w:val="00557CA4"/>
    <w:rsid w:val="00562777"/>
    <w:rsid w:val="0056606C"/>
    <w:rsid w:val="00566809"/>
    <w:rsid w:val="005678B5"/>
    <w:rsid w:val="005710D6"/>
    <w:rsid w:val="00572399"/>
    <w:rsid w:val="00580CAC"/>
    <w:rsid w:val="00590A00"/>
    <w:rsid w:val="00592817"/>
    <w:rsid w:val="005953A9"/>
    <w:rsid w:val="0059548D"/>
    <w:rsid w:val="00596361"/>
    <w:rsid w:val="00597278"/>
    <w:rsid w:val="005A18B6"/>
    <w:rsid w:val="005A26EC"/>
    <w:rsid w:val="005A286B"/>
    <w:rsid w:val="005A4285"/>
    <w:rsid w:val="005A6EA6"/>
    <w:rsid w:val="005B05A9"/>
    <w:rsid w:val="005B0672"/>
    <w:rsid w:val="005B0991"/>
    <w:rsid w:val="005B179F"/>
    <w:rsid w:val="005B3613"/>
    <w:rsid w:val="005B49B5"/>
    <w:rsid w:val="005B5271"/>
    <w:rsid w:val="005B6D65"/>
    <w:rsid w:val="005C2005"/>
    <w:rsid w:val="005C302B"/>
    <w:rsid w:val="005C32EB"/>
    <w:rsid w:val="005C75D0"/>
    <w:rsid w:val="005D02AC"/>
    <w:rsid w:val="005D03EE"/>
    <w:rsid w:val="005D0D29"/>
    <w:rsid w:val="005D14EF"/>
    <w:rsid w:val="005D3F56"/>
    <w:rsid w:val="005D70A7"/>
    <w:rsid w:val="005E168A"/>
    <w:rsid w:val="005E28D7"/>
    <w:rsid w:val="005E42CB"/>
    <w:rsid w:val="005E573B"/>
    <w:rsid w:val="005E580B"/>
    <w:rsid w:val="005E72FB"/>
    <w:rsid w:val="005F429B"/>
    <w:rsid w:val="005F4E34"/>
    <w:rsid w:val="005F5DF1"/>
    <w:rsid w:val="005F676E"/>
    <w:rsid w:val="005F7251"/>
    <w:rsid w:val="005F786E"/>
    <w:rsid w:val="005F7E61"/>
    <w:rsid w:val="00600259"/>
    <w:rsid w:val="0060199E"/>
    <w:rsid w:val="00601AFC"/>
    <w:rsid w:val="0060346C"/>
    <w:rsid w:val="0060568C"/>
    <w:rsid w:val="00606859"/>
    <w:rsid w:val="00606D53"/>
    <w:rsid w:val="00606E9D"/>
    <w:rsid w:val="00607295"/>
    <w:rsid w:val="00613E83"/>
    <w:rsid w:val="00614330"/>
    <w:rsid w:val="0061495F"/>
    <w:rsid w:val="0061642C"/>
    <w:rsid w:val="00616AD9"/>
    <w:rsid w:val="00620161"/>
    <w:rsid w:val="0062035F"/>
    <w:rsid w:val="00621CA4"/>
    <w:rsid w:val="006229E6"/>
    <w:rsid w:val="00623124"/>
    <w:rsid w:val="00623E3B"/>
    <w:rsid w:val="00624959"/>
    <w:rsid w:val="00624D68"/>
    <w:rsid w:val="00626547"/>
    <w:rsid w:val="006272AD"/>
    <w:rsid w:val="00630D50"/>
    <w:rsid w:val="0063216B"/>
    <w:rsid w:val="0063234A"/>
    <w:rsid w:val="006343BB"/>
    <w:rsid w:val="00634644"/>
    <w:rsid w:val="00636D9D"/>
    <w:rsid w:val="0064113D"/>
    <w:rsid w:val="00641347"/>
    <w:rsid w:val="00642F71"/>
    <w:rsid w:val="00643ABF"/>
    <w:rsid w:val="00644872"/>
    <w:rsid w:val="00646F3D"/>
    <w:rsid w:val="00647A0E"/>
    <w:rsid w:val="0065658B"/>
    <w:rsid w:val="00657965"/>
    <w:rsid w:val="0066033B"/>
    <w:rsid w:val="00660CB2"/>
    <w:rsid w:val="00660CE9"/>
    <w:rsid w:val="00661121"/>
    <w:rsid w:val="006626D5"/>
    <w:rsid w:val="00663445"/>
    <w:rsid w:val="00663C24"/>
    <w:rsid w:val="00664EE2"/>
    <w:rsid w:val="00667CFB"/>
    <w:rsid w:val="00670D3E"/>
    <w:rsid w:val="006752C6"/>
    <w:rsid w:val="006766AD"/>
    <w:rsid w:val="00681351"/>
    <w:rsid w:val="0068137C"/>
    <w:rsid w:val="006842AB"/>
    <w:rsid w:val="00685104"/>
    <w:rsid w:val="00686AB9"/>
    <w:rsid w:val="00690206"/>
    <w:rsid w:val="00692555"/>
    <w:rsid w:val="006938A1"/>
    <w:rsid w:val="00695975"/>
    <w:rsid w:val="006A0D31"/>
    <w:rsid w:val="006A172F"/>
    <w:rsid w:val="006A2165"/>
    <w:rsid w:val="006A3953"/>
    <w:rsid w:val="006A47FD"/>
    <w:rsid w:val="006A5924"/>
    <w:rsid w:val="006A6596"/>
    <w:rsid w:val="006B0584"/>
    <w:rsid w:val="006B2B3E"/>
    <w:rsid w:val="006B336D"/>
    <w:rsid w:val="006B3D14"/>
    <w:rsid w:val="006B3FBC"/>
    <w:rsid w:val="006B43CA"/>
    <w:rsid w:val="006B52A7"/>
    <w:rsid w:val="006B5BCC"/>
    <w:rsid w:val="006B7D6D"/>
    <w:rsid w:val="006C0721"/>
    <w:rsid w:val="006C33DC"/>
    <w:rsid w:val="006C38F6"/>
    <w:rsid w:val="006C47AC"/>
    <w:rsid w:val="006C5462"/>
    <w:rsid w:val="006D0A50"/>
    <w:rsid w:val="006D17B5"/>
    <w:rsid w:val="006D1A7B"/>
    <w:rsid w:val="006D2054"/>
    <w:rsid w:val="006D53CC"/>
    <w:rsid w:val="006D5CCA"/>
    <w:rsid w:val="006D6F4F"/>
    <w:rsid w:val="006E2B93"/>
    <w:rsid w:val="006E3A2A"/>
    <w:rsid w:val="006E44C2"/>
    <w:rsid w:val="006E4EDE"/>
    <w:rsid w:val="006E5225"/>
    <w:rsid w:val="006E749E"/>
    <w:rsid w:val="006F0410"/>
    <w:rsid w:val="006F1CD8"/>
    <w:rsid w:val="006F1F5F"/>
    <w:rsid w:val="006F2190"/>
    <w:rsid w:val="006F2A70"/>
    <w:rsid w:val="006F4C57"/>
    <w:rsid w:val="006F6830"/>
    <w:rsid w:val="006F72D4"/>
    <w:rsid w:val="00700030"/>
    <w:rsid w:val="0070135D"/>
    <w:rsid w:val="00701BE2"/>
    <w:rsid w:val="00703625"/>
    <w:rsid w:val="0070493F"/>
    <w:rsid w:val="00705C1F"/>
    <w:rsid w:val="00706626"/>
    <w:rsid w:val="00707293"/>
    <w:rsid w:val="00707F55"/>
    <w:rsid w:val="007109D9"/>
    <w:rsid w:val="00710B4E"/>
    <w:rsid w:val="00710BD7"/>
    <w:rsid w:val="00710CE7"/>
    <w:rsid w:val="00710F15"/>
    <w:rsid w:val="00712947"/>
    <w:rsid w:val="00713316"/>
    <w:rsid w:val="00716E65"/>
    <w:rsid w:val="00717257"/>
    <w:rsid w:val="00717C24"/>
    <w:rsid w:val="0072124D"/>
    <w:rsid w:val="00722A29"/>
    <w:rsid w:val="00724FD3"/>
    <w:rsid w:val="007258B8"/>
    <w:rsid w:val="007264DC"/>
    <w:rsid w:val="00726B7C"/>
    <w:rsid w:val="007278FF"/>
    <w:rsid w:val="0073040A"/>
    <w:rsid w:val="00731A5C"/>
    <w:rsid w:val="007327CB"/>
    <w:rsid w:val="00733B90"/>
    <w:rsid w:val="00736F46"/>
    <w:rsid w:val="007372E1"/>
    <w:rsid w:val="0073775D"/>
    <w:rsid w:val="007430B0"/>
    <w:rsid w:val="007436DF"/>
    <w:rsid w:val="007439DC"/>
    <w:rsid w:val="0074554E"/>
    <w:rsid w:val="007459B0"/>
    <w:rsid w:val="00747373"/>
    <w:rsid w:val="007475D6"/>
    <w:rsid w:val="00753C67"/>
    <w:rsid w:val="00754C2B"/>
    <w:rsid w:val="00755AE9"/>
    <w:rsid w:val="0075630A"/>
    <w:rsid w:val="00764441"/>
    <w:rsid w:val="00764DB5"/>
    <w:rsid w:val="00764E79"/>
    <w:rsid w:val="0076517A"/>
    <w:rsid w:val="00765A84"/>
    <w:rsid w:val="00770FB9"/>
    <w:rsid w:val="00774CDF"/>
    <w:rsid w:val="0077507F"/>
    <w:rsid w:val="00775E64"/>
    <w:rsid w:val="007761A6"/>
    <w:rsid w:val="0077686F"/>
    <w:rsid w:val="007768FD"/>
    <w:rsid w:val="00777D1B"/>
    <w:rsid w:val="007807DB"/>
    <w:rsid w:val="00780884"/>
    <w:rsid w:val="00781ACE"/>
    <w:rsid w:val="0078231F"/>
    <w:rsid w:val="007826E3"/>
    <w:rsid w:val="007827F2"/>
    <w:rsid w:val="007838E3"/>
    <w:rsid w:val="00784B24"/>
    <w:rsid w:val="00787266"/>
    <w:rsid w:val="00787539"/>
    <w:rsid w:val="0079065A"/>
    <w:rsid w:val="00794718"/>
    <w:rsid w:val="00794E61"/>
    <w:rsid w:val="0079777E"/>
    <w:rsid w:val="00797C10"/>
    <w:rsid w:val="007A1C83"/>
    <w:rsid w:val="007A3009"/>
    <w:rsid w:val="007A464A"/>
    <w:rsid w:val="007A4A3C"/>
    <w:rsid w:val="007A6CF2"/>
    <w:rsid w:val="007A73D8"/>
    <w:rsid w:val="007A7983"/>
    <w:rsid w:val="007A7A19"/>
    <w:rsid w:val="007B17DF"/>
    <w:rsid w:val="007B354A"/>
    <w:rsid w:val="007B36B5"/>
    <w:rsid w:val="007B38DB"/>
    <w:rsid w:val="007B43D8"/>
    <w:rsid w:val="007B6945"/>
    <w:rsid w:val="007C0ADF"/>
    <w:rsid w:val="007C0D47"/>
    <w:rsid w:val="007C1093"/>
    <w:rsid w:val="007C1822"/>
    <w:rsid w:val="007C19CA"/>
    <w:rsid w:val="007D003A"/>
    <w:rsid w:val="007D0A2A"/>
    <w:rsid w:val="007D27E8"/>
    <w:rsid w:val="007D3D72"/>
    <w:rsid w:val="007D4427"/>
    <w:rsid w:val="007D7A46"/>
    <w:rsid w:val="007D7C75"/>
    <w:rsid w:val="007E1B60"/>
    <w:rsid w:val="007E1E81"/>
    <w:rsid w:val="007E21B6"/>
    <w:rsid w:val="007E2A58"/>
    <w:rsid w:val="007E302F"/>
    <w:rsid w:val="007E5374"/>
    <w:rsid w:val="007E57C6"/>
    <w:rsid w:val="007E5BEA"/>
    <w:rsid w:val="007E5FCE"/>
    <w:rsid w:val="007F069C"/>
    <w:rsid w:val="007F16E0"/>
    <w:rsid w:val="007F376C"/>
    <w:rsid w:val="007F49A7"/>
    <w:rsid w:val="007F4CF9"/>
    <w:rsid w:val="007F57F9"/>
    <w:rsid w:val="007F5E40"/>
    <w:rsid w:val="007F6D72"/>
    <w:rsid w:val="007F7B51"/>
    <w:rsid w:val="007F7C99"/>
    <w:rsid w:val="008008A7"/>
    <w:rsid w:val="00800FD5"/>
    <w:rsid w:val="00803AE2"/>
    <w:rsid w:val="00804DA7"/>
    <w:rsid w:val="008071BE"/>
    <w:rsid w:val="00807529"/>
    <w:rsid w:val="008077CA"/>
    <w:rsid w:val="0081246E"/>
    <w:rsid w:val="008125D0"/>
    <w:rsid w:val="008128D1"/>
    <w:rsid w:val="00815D18"/>
    <w:rsid w:val="00817676"/>
    <w:rsid w:val="00817783"/>
    <w:rsid w:val="00817ED1"/>
    <w:rsid w:val="008205F2"/>
    <w:rsid w:val="00820620"/>
    <w:rsid w:val="00820CE7"/>
    <w:rsid w:val="0082184E"/>
    <w:rsid w:val="008222E7"/>
    <w:rsid w:val="008229C3"/>
    <w:rsid w:val="00824142"/>
    <w:rsid w:val="008250FC"/>
    <w:rsid w:val="0082706E"/>
    <w:rsid w:val="00827B02"/>
    <w:rsid w:val="00830FB1"/>
    <w:rsid w:val="00833048"/>
    <w:rsid w:val="008356EB"/>
    <w:rsid w:val="008372D3"/>
    <w:rsid w:val="008423A2"/>
    <w:rsid w:val="00842B09"/>
    <w:rsid w:val="00843C18"/>
    <w:rsid w:val="00843CAD"/>
    <w:rsid w:val="00844D32"/>
    <w:rsid w:val="008450CA"/>
    <w:rsid w:val="008457CD"/>
    <w:rsid w:val="00850E02"/>
    <w:rsid w:val="00852B59"/>
    <w:rsid w:val="00853E89"/>
    <w:rsid w:val="00854BE5"/>
    <w:rsid w:val="00856D7E"/>
    <w:rsid w:val="00857CC4"/>
    <w:rsid w:val="00860472"/>
    <w:rsid w:val="00861778"/>
    <w:rsid w:val="00862647"/>
    <w:rsid w:val="00862843"/>
    <w:rsid w:val="00864FED"/>
    <w:rsid w:val="0086528E"/>
    <w:rsid w:val="00865E1B"/>
    <w:rsid w:val="00867DF2"/>
    <w:rsid w:val="00871EB5"/>
    <w:rsid w:val="00872526"/>
    <w:rsid w:val="00872665"/>
    <w:rsid w:val="00874198"/>
    <w:rsid w:val="00874630"/>
    <w:rsid w:val="00874C5B"/>
    <w:rsid w:val="0087684F"/>
    <w:rsid w:val="008805F6"/>
    <w:rsid w:val="00880603"/>
    <w:rsid w:val="00881BF8"/>
    <w:rsid w:val="00885A82"/>
    <w:rsid w:val="00890519"/>
    <w:rsid w:val="008941DC"/>
    <w:rsid w:val="008948FC"/>
    <w:rsid w:val="00894FF6"/>
    <w:rsid w:val="00895380"/>
    <w:rsid w:val="00896206"/>
    <w:rsid w:val="0089745F"/>
    <w:rsid w:val="008A07DD"/>
    <w:rsid w:val="008A1E0D"/>
    <w:rsid w:val="008A2619"/>
    <w:rsid w:val="008A3623"/>
    <w:rsid w:val="008A3B55"/>
    <w:rsid w:val="008A413D"/>
    <w:rsid w:val="008A4FA2"/>
    <w:rsid w:val="008A5578"/>
    <w:rsid w:val="008A6EFA"/>
    <w:rsid w:val="008A76F7"/>
    <w:rsid w:val="008B109D"/>
    <w:rsid w:val="008B1CE5"/>
    <w:rsid w:val="008B4EC6"/>
    <w:rsid w:val="008B6624"/>
    <w:rsid w:val="008B67E2"/>
    <w:rsid w:val="008B7D74"/>
    <w:rsid w:val="008C0E59"/>
    <w:rsid w:val="008C27AE"/>
    <w:rsid w:val="008C308C"/>
    <w:rsid w:val="008C43D6"/>
    <w:rsid w:val="008C4FAE"/>
    <w:rsid w:val="008D03AD"/>
    <w:rsid w:val="008D094B"/>
    <w:rsid w:val="008D2315"/>
    <w:rsid w:val="008D7057"/>
    <w:rsid w:val="008E0B7B"/>
    <w:rsid w:val="008E1188"/>
    <w:rsid w:val="008E1448"/>
    <w:rsid w:val="008E2729"/>
    <w:rsid w:val="008E2D97"/>
    <w:rsid w:val="008E523D"/>
    <w:rsid w:val="008E59DA"/>
    <w:rsid w:val="008E5D4C"/>
    <w:rsid w:val="008E67D9"/>
    <w:rsid w:val="008F1599"/>
    <w:rsid w:val="008F2915"/>
    <w:rsid w:val="008F2C2B"/>
    <w:rsid w:val="008F3CDE"/>
    <w:rsid w:val="008F4761"/>
    <w:rsid w:val="008F4AC9"/>
    <w:rsid w:val="008F765F"/>
    <w:rsid w:val="008F7FCB"/>
    <w:rsid w:val="00900BED"/>
    <w:rsid w:val="00904393"/>
    <w:rsid w:val="009060D9"/>
    <w:rsid w:val="00907CC9"/>
    <w:rsid w:val="00910133"/>
    <w:rsid w:val="00911E12"/>
    <w:rsid w:val="00913FBF"/>
    <w:rsid w:val="009148B7"/>
    <w:rsid w:val="00914ED6"/>
    <w:rsid w:val="0091537F"/>
    <w:rsid w:val="009153BB"/>
    <w:rsid w:val="00920B30"/>
    <w:rsid w:val="00920DE9"/>
    <w:rsid w:val="0092138C"/>
    <w:rsid w:val="00922DC3"/>
    <w:rsid w:val="00923433"/>
    <w:rsid w:val="009257F9"/>
    <w:rsid w:val="0092630E"/>
    <w:rsid w:val="00926CBB"/>
    <w:rsid w:val="00927183"/>
    <w:rsid w:val="00927F4B"/>
    <w:rsid w:val="009307C0"/>
    <w:rsid w:val="00932082"/>
    <w:rsid w:val="00933D4A"/>
    <w:rsid w:val="00934458"/>
    <w:rsid w:val="00934761"/>
    <w:rsid w:val="00934B54"/>
    <w:rsid w:val="0093510C"/>
    <w:rsid w:val="0093770E"/>
    <w:rsid w:val="00940B96"/>
    <w:rsid w:val="00940DCE"/>
    <w:rsid w:val="009410CC"/>
    <w:rsid w:val="009423EF"/>
    <w:rsid w:val="00945DE5"/>
    <w:rsid w:val="00946BA6"/>
    <w:rsid w:val="00946EC3"/>
    <w:rsid w:val="00947551"/>
    <w:rsid w:val="009508EE"/>
    <w:rsid w:val="00953F0F"/>
    <w:rsid w:val="009552A3"/>
    <w:rsid w:val="009566EC"/>
    <w:rsid w:val="0095778B"/>
    <w:rsid w:val="009578DA"/>
    <w:rsid w:val="00957AB0"/>
    <w:rsid w:val="0096038B"/>
    <w:rsid w:val="00960CCB"/>
    <w:rsid w:val="00960D1C"/>
    <w:rsid w:val="00962BB7"/>
    <w:rsid w:val="00964831"/>
    <w:rsid w:val="00964876"/>
    <w:rsid w:val="00965FA8"/>
    <w:rsid w:val="00966CD8"/>
    <w:rsid w:val="009728E8"/>
    <w:rsid w:val="00972C22"/>
    <w:rsid w:val="00972C52"/>
    <w:rsid w:val="009731E1"/>
    <w:rsid w:val="0097412D"/>
    <w:rsid w:val="009749E9"/>
    <w:rsid w:val="00974D54"/>
    <w:rsid w:val="00974E29"/>
    <w:rsid w:val="00976B69"/>
    <w:rsid w:val="00976DC3"/>
    <w:rsid w:val="00981F04"/>
    <w:rsid w:val="00982CCC"/>
    <w:rsid w:val="00983107"/>
    <w:rsid w:val="00985D8D"/>
    <w:rsid w:val="00986525"/>
    <w:rsid w:val="00986D04"/>
    <w:rsid w:val="00991AFA"/>
    <w:rsid w:val="00992ED3"/>
    <w:rsid w:val="00996FAF"/>
    <w:rsid w:val="009A1125"/>
    <w:rsid w:val="009A2025"/>
    <w:rsid w:val="009A3E02"/>
    <w:rsid w:val="009A6641"/>
    <w:rsid w:val="009A75ED"/>
    <w:rsid w:val="009B0083"/>
    <w:rsid w:val="009B1DCA"/>
    <w:rsid w:val="009B24E4"/>
    <w:rsid w:val="009B2EA1"/>
    <w:rsid w:val="009B63A1"/>
    <w:rsid w:val="009B70BC"/>
    <w:rsid w:val="009C0B68"/>
    <w:rsid w:val="009C0C76"/>
    <w:rsid w:val="009C23C0"/>
    <w:rsid w:val="009C261C"/>
    <w:rsid w:val="009C5352"/>
    <w:rsid w:val="009C5C5F"/>
    <w:rsid w:val="009D177A"/>
    <w:rsid w:val="009E094E"/>
    <w:rsid w:val="009E0C20"/>
    <w:rsid w:val="009E0F5A"/>
    <w:rsid w:val="009E14F7"/>
    <w:rsid w:val="009E228A"/>
    <w:rsid w:val="009E3BF0"/>
    <w:rsid w:val="009E4681"/>
    <w:rsid w:val="009E565B"/>
    <w:rsid w:val="009E7639"/>
    <w:rsid w:val="009E7C0A"/>
    <w:rsid w:val="009F06FE"/>
    <w:rsid w:val="009F26B8"/>
    <w:rsid w:val="009F316D"/>
    <w:rsid w:val="009F4D7A"/>
    <w:rsid w:val="009F689F"/>
    <w:rsid w:val="00A01AF9"/>
    <w:rsid w:val="00A03CDF"/>
    <w:rsid w:val="00A06FF7"/>
    <w:rsid w:val="00A10502"/>
    <w:rsid w:val="00A11250"/>
    <w:rsid w:val="00A12DCE"/>
    <w:rsid w:val="00A138C9"/>
    <w:rsid w:val="00A13FEA"/>
    <w:rsid w:val="00A1512C"/>
    <w:rsid w:val="00A15B92"/>
    <w:rsid w:val="00A16D8C"/>
    <w:rsid w:val="00A23792"/>
    <w:rsid w:val="00A24A2E"/>
    <w:rsid w:val="00A25274"/>
    <w:rsid w:val="00A26483"/>
    <w:rsid w:val="00A2661C"/>
    <w:rsid w:val="00A26EA8"/>
    <w:rsid w:val="00A2780D"/>
    <w:rsid w:val="00A27B6A"/>
    <w:rsid w:val="00A301CB"/>
    <w:rsid w:val="00A309DC"/>
    <w:rsid w:val="00A31201"/>
    <w:rsid w:val="00A31236"/>
    <w:rsid w:val="00A32F9F"/>
    <w:rsid w:val="00A33069"/>
    <w:rsid w:val="00A335B3"/>
    <w:rsid w:val="00A34235"/>
    <w:rsid w:val="00A35EC2"/>
    <w:rsid w:val="00A35F35"/>
    <w:rsid w:val="00A37D11"/>
    <w:rsid w:val="00A41C97"/>
    <w:rsid w:val="00A42C4B"/>
    <w:rsid w:val="00A43E75"/>
    <w:rsid w:val="00A4485D"/>
    <w:rsid w:val="00A449C0"/>
    <w:rsid w:val="00A4534B"/>
    <w:rsid w:val="00A46566"/>
    <w:rsid w:val="00A510AA"/>
    <w:rsid w:val="00A524B7"/>
    <w:rsid w:val="00A5315B"/>
    <w:rsid w:val="00A53D7E"/>
    <w:rsid w:val="00A54693"/>
    <w:rsid w:val="00A54919"/>
    <w:rsid w:val="00A5506B"/>
    <w:rsid w:val="00A556C3"/>
    <w:rsid w:val="00A57C6F"/>
    <w:rsid w:val="00A6080D"/>
    <w:rsid w:val="00A60C47"/>
    <w:rsid w:val="00A62768"/>
    <w:rsid w:val="00A62C27"/>
    <w:rsid w:val="00A6465E"/>
    <w:rsid w:val="00A67AC5"/>
    <w:rsid w:val="00A726B4"/>
    <w:rsid w:val="00A743BF"/>
    <w:rsid w:val="00A767B0"/>
    <w:rsid w:val="00A775A5"/>
    <w:rsid w:val="00A77F03"/>
    <w:rsid w:val="00A80843"/>
    <w:rsid w:val="00A827F8"/>
    <w:rsid w:val="00A82C21"/>
    <w:rsid w:val="00A837A1"/>
    <w:rsid w:val="00A854FA"/>
    <w:rsid w:val="00A86BA6"/>
    <w:rsid w:val="00A87070"/>
    <w:rsid w:val="00A910D8"/>
    <w:rsid w:val="00A915E7"/>
    <w:rsid w:val="00A91B19"/>
    <w:rsid w:val="00A96646"/>
    <w:rsid w:val="00A972FF"/>
    <w:rsid w:val="00AA2AB0"/>
    <w:rsid w:val="00AA3883"/>
    <w:rsid w:val="00AA39EE"/>
    <w:rsid w:val="00AA46DD"/>
    <w:rsid w:val="00AA4A2B"/>
    <w:rsid w:val="00AA4FCC"/>
    <w:rsid w:val="00AB0DB3"/>
    <w:rsid w:val="00AB3154"/>
    <w:rsid w:val="00AB5AC7"/>
    <w:rsid w:val="00AB5CED"/>
    <w:rsid w:val="00AB61C1"/>
    <w:rsid w:val="00AB6AD4"/>
    <w:rsid w:val="00AB6FCA"/>
    <w:rsid w:val="00AB7A9C"/>
    <w:rsid w:val="00AB7C79"/>
    <w:rsid w:val="00AC08DE"/>
    <w:rsid w:val="00AC1FCA"/>
    <w:rsid w:val="00AC56D2"/>
    <w:rsid w:val="00AC68A7"/>
    <w:rsid w:val="00AC6C9C"/>
    <w:rsid w:val="00AC7226"/>
    <w:rsid w:val="00AD0971"/>
    <w:rsid w:val="00AD2C20"/>
    <w:rsid w:val="00AD4B6B"/>
    <w:rsid w:val="00AD4D40"/>
    <w:rsid w:val="00AD55A1"/>
    <w:rsid w:val="00AD761C"/>
    <w:rsid w:val="00AD7DCD"/>
    <w:rsid w:val="00AE2A7E"/>
    <w:rsid w:val="00AE480A"/>
    <w:rsid w:val="00AE5930"/>
    <w:rsid w:val="00AE61E9"/>
    <w:rsid w:val="00AE79E8"/>
    <w:rsid w:val="00AF127B"/>
    <w:rsid w:val="00AF1CBD"/>
    <w:rsid w:val="00AF2F80"/>
    <w:rsid w:val="00AF4666"/>
    <w:rsid w:val="00AF4A4E"/>
    <w:rsid w:val="00AF528D"/>
    <w:rsid w:val="00AF6949"/>
    <w:rsid w:val="00AF6C9D"/>
    <w:rsid w:val="00AF7263"/>
    <w:rsid w:val="00B004BA"/>
    <w:rsid w:val="00B00696"/>
    <w:rsid w:val="00B11F29"/>
    <w:rsid w:val="00B13517"/>
    <w:rsid w:val="00B13878"/>
    <w:rsid w:val="00B138FF"/>
    <w:rsid w:val="00B13FAA"/>
    <w:rsid w:val="00B14015"/>
    <w:rsid w:val="00B1574B"/>
    <w:rsid w:val="00B2097A"/>
    <w:rsid w:val="00B20D76"/>
    <w:rsid w:val="00B20E0F"/>
    <w:rsid w:val="00B2135A"/>
    <w:rsid w:val="00B2228C"/>
    <w:rsid w:val="00B2242A"/>
    <w:rsid w:val="00B22484"/>
    <w:rsid w:val="00B246B4"/>
    <w:rsid w:val="00B24E58"/>
    <w:rsid w:val="00B277A1"/>
    <w:rsid w:val="00B314B0"/>
    <w:rsid w:val="00B3304D"/>
    <w:rsid w:val="00B350A7"/>
    <w:rsid w:val="00B37252"/>
    <w:rsid w:val="00B37FEF"/>
    <w:rsid w:val="00B401F1"/>
    <w:rsid w:val="00B412BB"/>
    <w:rsid w:val="00B44586"/>
    <w:rsid w:val="00B4478B"/>
    <w:rsid w:val="00B45570"/>
    <w:rsid w:val="00B45F1F"/>
    <w:rsid w:val="00B507C4"/>
    <w:rsid w:val="00B50B3D"/>
    <w:rsid w:val="00B522A2"/>
    <w:rsid w:val="00B53FBC"/>
    <w:rsid w:val="00B54CD2"/>
    <w:rsid w:val="00B577B9"/>
    <w:rsid w:val="00B57ABC"/>
    <w:rsid w:val="00B63224"/>
    <w:rsid w:val="00B63FBF"/>
    <w:rsid w:val="00B64BCD"/>
    <w:rsid w:val="00B6554F"/>
    <w:rsid w:val="00B6624D"/>
    <w:rsid w:val="00B70E4E"/>
    <w:rsid w:val="00B72DE3"/>
    <w:rsid w:val="00B74DE0"/>
    <w:rsid w:val="00B758CA"/>
    <w:rsid w:val="00B86C5D"/>
    <w:rsid w:val="00B918B6"/>
    <w:rsid w:val="00B9202F"/>
    <w:rsid w:val="00B937E6"/>
    <w:rsid w:val="00B93908"/>
    <w:rsid w:val="00B951BA"/>
    <w:rsid w:val="00B955BC"/>
    <w:rsid w:val="00B96266"/>
    <w:rsid w:val="00BA269A"/>
    <w:rsid w:val="00BA2C9D"/>
    <w:rsid w:val="00BA3953"/>
    <w:rsid w:val="00BA6F71"/>
    <w:rsid w:val="00BB1CC8"/>
    <w:rsid w:val="00BB273D"/>
    <w:rsid w:val="00BB3434"/>
    <w:rsid w:val="00BB3AE0"/>
    <w:rsid w:val="00BB68DE"/>
    <w:rsid w:val="00BB6901"/>
    <w:rsid w:val="00BB7C14"/>
    <w:rsid w:val="00BB7E76"/>
    <w:rsid w:val="00BC041E"/>
    <w:rsid w:val="00BC0AF9"/>
    <w:rsid w:val="00BC3D56"/>
    <w:rsid w:val="00BC411B"/>
    <w:rsid w:val="00BC5757"/>
    <w:rsid w:val="00BC5BB3"/>
    <w:rsid w:val="00BC7342"/>
    <w:rsid w:val="00BD00A0"/>
    <w:rsid w:val="00BD1074"/>
    <w:rsid w:val="00BD21A9"/>
    <w:rsid w:val="00BD3304"/>
    <w:rsid w:val="00BD4CB2"/>
    <w:rsid w:val="00BD78D5"/>
    <w:rsid w:val="00BD7A3F"/>
    <w:rsid w:val="00BD7B4D"/>
    <w:rsid w:val="00BD7C9B"/>
    <w:rsid w:val="00BE0F9B"/>
    <w:rsid w:val="00BE2DB7"/>
    <w:rsid w:val="00BE3A02"/>
    <w:rsid w:val="00BE3D2A"/>
    <w:rsid w:val="00BE494A"/>
    <w:rsid w:val="00BE4B77"/>
    <w:rsid w:val="00BE4EFF"/>
    <w:rsid w:val="00BE632B"/>
    <w:rsid w:val="00BF1BE7"/>
    <w:rsid w:val="00BF52E2"/>
    <w:rsid w:val="00BF5CF5"/>
    <w:rsid w:val="00BF7504"/>
    <w:rsid w:val="00BF79BC"/>
    <w:rsid w:val="00C051AD"/>
    <w:rsid w:val="00C05BD3"/>
    <w:rsid w:val="00C068EC"/>
    <w:rsid w:val="00C07F98"/>
    <w:rsid w:val="00C12093"/>
    <w:rsid w:val="00C1259D"/>
    <w:rsid w:val="00C12950"/>
    <w:rsid w:val="00C13EDD"/>
    <w:rsid w:val="00C168FA"/>
    <w:rsid w:val="00C16A74"/>
    <w:rsid w:val="00C17437"/>
    <w:rsid w:val="00C20DBD"/>
    <w:rsid w:val="00C224B1"/>
    <w:rsid w:val="00C22F45"/>
    <w:rsid w:val="00C2436F"/>
    <w:rsid w:val="00C25C36"/>
    <w:rsid w:val="00C25CD1"/>
    <w:rsid w:val="00C33394"/>
    <w:rsid w:val="00C346EA"/>
    <w:rsid w:val="00C420E2"/>
    <w:rsid w:val="00C42602"/>
    <w:rsid w:val="00C429EB"/>
    <w:rsid w:val="00C4471B"/>
    <w:rsid w:val="00C45C8F"/>
    <w:rsid w:val="00C52FE6"/>
    <w:rsid w:val="00C53925"/>
    <w:rsid w:val="00C53DDD"/>
    <w:rsid w:val="00C561F0"/>
    <w:rsid w:val="00C5692C"/>
    <w:rsid w:val="00C56EE4"/>
    <w:rsid w:val="00C56F00"/>
    <w:rsid w:val="00C62BBF"/>
    <w:rsid w:val="00C64FE3"/>
    <w:rsid w:val="00C700FC"/>
    <w:rsid w:val="00C70E03"/>
    <w:rsid w:val="00C72211"/>
    <w:rsid w:val="00C74A27"/>
    <w:rsid w:val="00C756A5"/>
    <w:rsid w:val="00C75DBA"/>
    <w:rsid w:val="00C774C5"/>
    <w:rsid w:val="00C77B40"/>
    <w:rsid w:val="00C825D2"/>
    <w:rsid w:val="00C82B46"/>
    <w:rsid w:val="00C8428C"/>
    <w:rsid w:val="00C842C0"/>
    <w:rsid w:val="00C8638E"/>
    <w:rsid w:val="00C8649D"/>
    <w:rsid w:val="00C86AC6"/>
    <w:rsid w:val="00C90F2B"/>
    <w:rsid w:val="00C94FF3"/>
    <w:rsid w:val="00C95961"/>
    <w:rsid w:val="00C964D5"/>
    <w:rsid w:val="00C97CE1"/>
    <w:rsid w:val="00CA08BC"/>
    <w:rsid w:val="00CA20AE"/>
    <w:rsid w:val="00CA26A6"/>
    <w:rsid w:val="00CA4303"/>
    <w:rsid w:val="00CA4EA0"/>
    <w:rsid w:val="00CA5161"/>
    <w:rsid w:val="00CA51DE"/>
    <w:rsid w:val="00CA626D"/>
    <w:rsid w:val="00CA64C7"/>
    <w:rsid w:val="00CA7A9F"/>
    <w:rsid w:val="00CA7D43"/>
    <w:rsid w:val="00CB0EA0"/>
    <w:rsid w:val="00CB2948"/>
    <w:rsid w:val="00CB4438"/>
    <w:rsid w:val="00CB5D15"/>
    <w:rsid w:val="00CB6108"/>
    <w:rsid w:val="00CB7950"/>
    <w:rsid w:val="00CB7C0E"/>
    <w:rsid w:val="00CC0F4C"/>
    <w:rsid w:val="00CC2AB7"/>
    <w:rsid w:val="00CC2D7D"/>
    <w:rsid w:val="00CC314A"/>
    <w:rsid w:val="00CC4069"/>
    <w:rsid w:val="00CC4CE7"/>
    <w:rsid w:val="00CD30F8"/>
    <w:rsid w:val="00CD61B0"/>
    <w:rsid w:val="00CD62F7"/>
    <w:rsid w:val="00CE334A"/>
    <w:rsid w:val="00CE4132"/>
    <w:rsid w:val="00CE4197"/>
    <w:rsid w:val="00CE7535"/>
    <w:rsid w:val="00CF1BF0"/>
    <w:rsid w:val="00CF5A46"/>
    <w:rsid w:val="00CF628A"/>
    <w:rsid w:val="00CF6420"/>
    <w:rsid w:val="00D00BDF"/>
    <w:rsid w:val="00D042EA"/>
    <w:rsid w:val="00D043C8"/>
    <w:rsid w:val="00D06251"/>
    <w:rsid w:val="00D06407"/>
    <w:rsid w:val="00D06E18"/>
    <w:rsid w:val="00D10042"/>
    <w:rsid w:val="00D15C44"/>
    <w:rsid w:val="00D17615"/>
    <w:rsid w:val="00D22C21"/>
    <w:rsid w:val="00D24E0B"/>
    <w:rsid w:val="00D2515F"/>
    <w:rsid w:val="00D25B24"/>
    <w:rsid w:val="00D306F2"/>
    <w:rsid w:val="00D30E31"/>
    <w:rsid w:val="00D328C2"/>
    <w:rsid w:val="00D32C9D"/>
    <w:rsid w:val="00D33965"/>
    <w:rsid w:val="00D350CC"/>
    <w:rsid w:val="00D35759"/>
    <w:rsid w:val="00D368C6"/>
    <w:rsid w:val="00D37A7B"/>
    <w:rsid w:val="00D43622"/>
    <w:rsid w:val="00D44F3F"/>
    <w:rsid w:val="00D47BE9"/>
    <w:rsid w:val="00D507BB"/>
    <w:rsid w:val="00D50938"/>
    <w:rsid w:val="00D5298C"/>
    <w:rsid w:val="00D57848"/>
    <w:rsid w:val="00D61C68"/>
    <w:rsid w:val="00D62AB6"/>
    <w:rsid w:val="00D6359E"/>
    <w:rsid w:val="00D66011"/>
    <w:rsid w:val="00D66B63"/>
    <w:rsid w:val="00D70000"/>
    <w:rsid w:val="00D71C6B"/>
    <w:rsid w:val="00D723E9"/>
    <w:rsid w:val="00D734EE"/>
    <w:rsid w:val="00D74711"/>
    <w:rsid w:val="00D74B49"/>
    <w:rsid w:val="00D75B8F"/>
    <w:rsid w:val="00D75FBD"/>
    <w:rsid w:val="00D76144"/>
    <w:rsid w:val="00D76D56"/>
    <w:rsid w:val="00D76E81"/>
    <w:rsid w:val="00D81453"/>
    <w:rsid w:val="00D819BF"/>
    <w:rsid w:val="00D8241D"/>
    <w:rsid w:val="00D8343E"/>
    <w:rsid w:val="00D8497C"/>
    <w:rsid w:val="00D8700A"/>
    <w:rsid w:val="00D905D5"/>
    <w:rsid w:val="00D91126"/>
    <w:rsid w:val="00D918D6"/>
    <w:rsid w:val="00D9309F"/>
    <w:rsid w:val="00D93B8B"/>
    <w:rsid w:val="00D973FB"/>
    <w:rsid w:val="00DA01A4"/>
    <w:rsid w:val="00DA0DD4"/>
    <w:rsid w:val="00DA1FC0"/>
    <w:rsid w:val="00DA2048"/>
    <w:rsid w:val="00DA318E"/>
    <w:rsid w:val="00DA3BDD"/>
    <w:rsid w:val="00DA3F6E"/>
    <w:rsid w:val="00DA4CAB"/>
    <w:rsid w:val="00DA51FA"/>
    <w:rsid w:val="00DA6491"/>
    <w:rsid w:val="00DA66E0"/>
    <w:rsid w:val="00DA6850"/>
    <w:rsid w:val="00DA7EA2"/>
    <w:rsid w:val="00DB0DDD"/>
    <w:rsid w:val="00DB11B9"/>
    <w:rsid w:val="00DB2EDC"/>
    <w:rsid w:val="00DB3962"/>
    <w:rsid w:val="00DB3A3F"/>
    <w:rsid w:val="00DB5684"/>
    <w:rsid w:val="00DC0A25"/>
    <w:rsid w:val="00DC1135"/>
    <w:rsid w:val="00DC18CE"/>
    <w:rsid w:val="00DC21DC"/>
    <w:rsid w:val="00DC23F6"/>
    <w:rsid w:val="00DC44F3"/>
    <w:rsid w:val="00DC4B3B"/>
    <w:rsid w:val="00DC638E"/>
    <w:rsid w:val="00DC6987"/>
    <w:rsid w:val="00DC7CC1"/>
    <w:rsid w:val="00DD11D3"/>
    <w:rsid w:val="00DD47A4"/>
    <w:rsid w:val="00DD551B"/>
    <w:rsid w:val="00DD5CBB"/>
    <w:rsid w:val="00DE166D"/>
    <w:rsid w:val="00DE1879"/>
    <w:rsid w:val="00DE1DB6"/>
    <w:rsid w:val="00DE3DB8"/>
    <w:rsid w:val="00DE41F6"/>
    <w:rsid w:val="00DE46DE"/>
    <w:rsid w:val="00DE73B7"/>
    <w:rsid w:val="00DE7E77"/>
    <w:rsid w:val="00DF178E"/>
    <w:rsid w:val="00DF33AE"/>
    <w:rsid w:val="00DF541A"/>
    <w:rsid w:val="00DF5FDB"/>
    <w:rsid w:val="00E0082A"/>
    <w:rsid w:val="00E009A9"/>
    <w:rsid w:val="00E01F36"/>
    <w:rsid w:val="00E01FB5"/>
    <w:rsid w:val="00E0229C"/>
    <w:rsid w:val="00E04694"/>
    <w:rsid w:val="00E06CEE"/>
    <w:rsid w:val="00E12208"/>
    <w:rsid w:val="00E126AE"/>
    <w:rsid w:val="00E1405D"/>
    <w:rsid w:val="00E157B2"/>
    <w:rsid w:val="00E2097F"/>
    <w:rsid w:val="00E21067"/>
    <w:rsid w:val="00E2279A"/>
    <w:rsid w:val="00E227C7"/>
    <w:rsid w:val="00E2355F"/>
    <w:rsid w:val="00E23673"/>
    <w:rsid w:val="00E23AE5"/>
    <w:rsid w:val="00E24D4B"/>
    <w:rsid w:val="00E26C79"/>
    <w:rsid w:val="00E27721"/>
    <w:rsid w:val="00E27EE6"/>
    <w:rsid w:val="00E32FA1"/>
    <w:rsid w:val="00E345E0"/>
    <w:rsid w:val="00E35620"/>
    <w:rsid w:val="00E35713"/>
    <w:rsid w:val="00E37622"/>
    <w:rsid w:val="00E37632"/>
    <w:rsid w:val="00E37ED9"/>
    <w:rsid w:val="00E402A5"/>
    <w:rsid w:val="00E40F17"/>
    <w:rsid w:val="00E41088"/>
    <w:rsid w:val="00E41102"/>
    <w:rsid w:val="00E41323"/>
    <w:rsid w:val="00E422C2"/>
    <w:rsid w:val="00E42C3D"/>
    <w:rsid w:val="00E4405E"/>
    <w:rsid w:val="00E448A4"/>
    <w:rsid w:val="00E46726"/>
    <w:rsid w:val="00E50B0D"/>
    <w:rsid w:val="00E50D2A"/>
    <w:rsid w:val="00E5181E"/>
    <w:rsid w:val="00E522E6"/>
    <w:rsid w:val="00E52899"/>
    <w:rsid w:val="00E52BB1"/>
    <w:rsid w:val="00E531C7"/>
    <w:rsid w:val="00E5326B"/>
    <w:rsid w:val="00E53AC1"/>
    <w:rsid w:val="00E5457F"/>
    <w:rsid w:val="00E549F1"/>
    <w:rsid w:val="00E5506A"/>
    <w:rsid w:val="00E55D3F"/>
    <w:rsid w:val="00E55E65"/>
    <w:rsid w:val="00E57BC4"/>
    <w:rsid w:val="00E6070F"/>
    <w:rsid w:val="00E60F65"/>
    <w:rsid w:val="00E6169C"/>
    <w:rsid w:val="00E64346"/>
    <w:rsid w:val="00E64613"/>
    <w:rsid w:val="00E67EBB"/>
    <w:rsid w:val="00E67F67"/>
    <w:rsid w:val="00E72BE1"/>
    <w:rsid w:val="00E7305D"/>
    <w:rsid w:val="00E73207"/>
    <w:rsid w:val="00E776E8"/>
    <w:rsid w:val="00E77964"/>
    <w:rsid w:val="00E805D5"/>
    <w:rsid w:val="00E8084C"/>
    <w:rsid w:val="00E81180"/>
    <w:rsid w:val="00E84604"/>
    <w:rsid w:val="00E85E92"/>
    <w:rsid w:val="00E86882"/>
    <w:rsid w:val="00E8696B"/>
    <w:rsid w:val="00E9382E"/>
    <w:rsid w:val="00E970C1"/>
    <w:rsid w:val="00EA39EF"/>
    <w:rsid w:val="00EA49AF"/>
    <w:rsid w:val="00EA4B78"/>
    <w:rsid w:val="00EB0A13"/>
    <w:rsid w:val="00EB0E39"/>
    <w:rsid w:val="00EB1F92"/>
    <w:rsid w:val="00EB26F9"/>
    <w:rsid w:val="00EB44C3"/>
    <w:rsid w:val="00EB682B"/>
    <w:rsid w:val="00EB7669"/>
    <w:rsid w:val="00EC1CA7"/>
    <w:rsid w:val="00EC3B89"/>
    <w:rsid w:val="00EC4491"/>
    <w:rsid w:val="00EC4ECA"/>
    <w:rsid w:val="00EC61B1"/>
    <w:rsid w:val="00EC6B78"/>
    <w:rsid w:val="00EC783A"/>
    <w:rsid w:val="00ED1FD8"/>
    <w:rsid w:val="00ED4A3D"/>
    <w:rsid w:val="00ED6FF9"/>
    <w:rsid w:val="00EE1105"/>
    <w:rsid w:val="00EE3B06"/>
    <w:rsid w:val="00EE442E"/>
    <w:rsid w:val="00EE4AF3"/>
    <w:rsid w:val="00EE62FF"/>
    <w:rsid w:val="00EE773B"/>
    <w:rsid w:val="00EE7A36"/>
    <w:rsid w:val="00EF0049"/>
    <w:rsid w:val="00EF1CBD"/>
    <w:rsid w:val="00EF2A03"/>
    <w:rsid w:val="00EF2AA1"/>
    <w:rsid w:val="00EF2CBE"/>
    <w:rsid w:val="00EF389E"/>
    <w:rsid w:val="00EF43F8"/>
    <w:rsid w:val="00EF4F85"/>
    <w:rsid w:val="00EF5A94"/>
    <w:rsid w:val="00EF6207"/>
    <w:rsid w:val="00EF6AEA"/>
    <w:rsid w:val="00EF6BB1"/>
    <w:rsid w:val="00F00C2B"/>
    <w:rsid w:val="00F017AD"/>
    <w:rsid w:val="00F0483E"/>
    <w:rsid w:val="00F05B3C"/>
    <w:rsid w:val="00F06FA1"/>
    <w:rsid w:val="00F121CE"/>
    <w:rsid w:val="00F1347C"/>
    <w:rsid w:val="00F1532C"/>
    <w:rsid w:val="00F23E2F"/>
    <w:rsid w:val="00F24700"/>
    <w:rsid w:val="00F24D77"/>
    <w:rsid w:val="00F2556A"/>
    <w:rsid w:val="00F25B44"/>
    <w:rsid w:val="00F270BF"/>
    <w:rsid w:val="00F3057B"/>
    <w:rsid w:val="00F31407"/>
    <w:rsid w:val="00F34138"/>
    <w:rsid w:val="00F3427D"/>
    <w:rsid w:val="00F35C49"/>
    <w:rsid w:val="00F36679"/>
    <w:rsid w:val="00F401A2"/>
    <w:rsid w:val="00F411B4"/>
    <w:rsid w:val="00F41DFE"/>
    <w:rsid w:val="00F43ADF"/>
    <w:rsid w:val="00F45BD1"/>
    <w:rsid w:val="00F45F56"/>
    <w:rsid w:val="00F47C03"/>
    <w:rsid w:val="00F5034F"/>
    <w:rsid w:val="00F52120"/>
    <w:rsid w:val="00F525B9"/>
    <w:rsid w:val="00F54985"/>
    <w:rsid w:val="00F552F6"/>
    <w:rsid w:val="00F55A95"/>
    <w:rsid w:val="00F57F21"/>
    <w:rsid w:val="00F63BE5"/>
    <w:rsid w:val="00F65B24"/>
    <w:rsid w:val="00F66AAE"/>
    <w:rsid w:val="00F66E5B"/>
    <w:rsid w:val="00F66E8C"/>
    <w:rsid w:val="00F673E3"/>
    <w:rsid w:val="00F702A4"/>
    <w:rsid w:val="00F70758"/>
    <w:rsid w:val="00F719B0"/>
    <w:rsid w:val="00F7245A"/>
    <w:rsid w:val="00F72990"/>
    <w:rsid w:val="00F72CB8"/>
    <w:rsid w:val="00F73032"/>
    <w:rsid w:val="00F73A46"/>
    <w:rsid w:val="00F74B37"/>
    <w:rsid w:val="00F74D81"/>
    <w:rsid w:val="00F76AA4"/>
    <w:rsid w:val="00F87F90"/>
    <w:rsid w:val="00F90F30"/>
    <w:rsid w:val="00F917A3"/>
    <w:rsid w:val="00F94634"/>
    <w:rsid w:val="00F95CFE"/>
    <w:rsid w:val="00FA060D"/>
    <w:rsid w:val="00FA2834"/>
    <w:rsid w:val="00FA4731"/>
    <w:rsid w:val="00FA5F3D"/>
    <w:rsid w:val="00FA7641"/>
    <w:rsid w:val="00FA76FA"/>
    <w:rsid w:val="00FB07A8"/>
    <w:rsid w:val="00FB18DC"/>
    <w:rsid w:val="00FB2C0A"/>
    <w:rsid w:val="00FB4F00"/>
    <w:rsid w:val="00FB600E"/>
    <w:rsid w:val="00FC2919"/>
    <w:rsid w:val="00FC3584"/>
    <w:rsid w:val="00FC3EA5"/>
    <w:rsid w:val="00FC4605"/>
    <w:rsid w:val="00FC59C1"/>
    <w:rsid w:val="00FC63BB"/>
    <w:rsid w:val="00FC7BA9"/>
    <w:rsid w:val="00FC7D53"/>
    <w:rsid w:val="00FC7E6E"/>
    <w:rsid w:val="00FD0AE9"/>
    <w:rsid w:val="00FD0C6F"/>
    <w:rsid w:val="00FD1ACF"/>
    <w:rsid w:val="00FD63FA"/>
    <w:rsid w:val="00FE1304"/>
    <w:rsid w:val="00FE150D"/>
    <w:rsid w:val="00FE1520"/>
    <w:rsid w:val="00FE268E"/>
    <w:rsid w:val="00FE4AE1"/>
    <w:rsid w:val="00FE584A"/>
    <w:rsid w:val="00FE67FB"/>
    <w:rsid w:val="00FF0A74"/>
    <w:rsid w:val="00FF230E"/>
    <w:rsid w:val="00FF53B2"/>
    <w:rsid w:val="00FF6FC2"/>
    <w:rsid w:val="00FF7503"/>
    <w:rsid w:val="01D2F84F"/>
    <w:rsid w:val="06050D72"/>
    <w:rsid w:val="0733D981"/>
    <w:rsid w:val="0E561950"/>
    <w:rsid w:val="0EEFD136"/>
    <w:rsid w:val="199C5621"/>
    <w:rsid w:val="1C225EBD"/>
    <w:rsid w:val="21731119"/>
    <w:rsid w:val="244D54EB"/>
    <w:rsid w:val="24CCBF95"/>
    <w:rsid w:val="2A289AE5"/>
    <w:rsid w:val="2A3CDEF0"/>
    <w:rsid w:val="2B8A8FBF"/>
    <w:rsid w:val="324BDCE9"/>
    <w:rsid w:val="329E36BF"/>
    <w:rsid w:val="39958465"/>
    <w:rsid w:val="39EBBD36"/>
    <w:rsid w:val="3CEAA016"/>
    <w:rsid w:val="3D2298BA"/>
    <w:rsid w:val="3D38F475"/>
    <w:rsid w:val="456C7855"/>
    <w:rsid w:val="5523EE23"/>
    <w:rsid w:val="55E3842A"/>
    <w:rsid w:val="5BD5DC9F"/>
    <w:rsid w:val="62EF3785"/>
    <w:rsid w:val="63967AAA"/>
    <w:rsid w:val="6C7CF16E"/>
    <w:rsid w:val="74D67CA9"/>
    <w:rsid w:val="7C80D1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C88C"/>
  <w15:chartTrackingRefBased/>
  <w15:docId w15:val="{A1812D76-2A3F-4F5F-A58C-672EF305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5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DefaultParagraphFont"/>
    <w:rsid w:val="009E4681"/>
    <w:rPr>
      <w:rFonts w:ascii="Calibri" w:hAnsi="Calibri" w:cs="Calibri" w:hint="default"/>
      <w:b w:val="0"/>
      <w:bCs w:val="0"/>
      <w:i w:val="0"/>
      <w:iCs w:val="0"/>
      <w:strike w:val="0"/>
      <w:dstrike w:val="0"/>
      <w:color w:val="000000"/>
      <w:sz w:val="24"/>
      <w:szCs w:val="24"/>
      <w:u w:val="none"/>
      <w:effect w:val="none"/>
    </w:rPr>
  </w:style>
  <w:style w:type="character" w:customStyle="1" w:styleId="font791">
    <w:name w:val="font791"/>
    <w:basedOn w:val="DefaultParagraphFont"/>
    <w:rsid w:val="00F05B3C"/>
    <w:rPr>
      <w:rFonts w:ascii="Calibri" w:hAnsi="Calibri" w:cs="Calibri" w:hint="default"/>
      <w:b w:val="0"/>
      <w:bCs w:val="0"/>
      <w:i/>
      <w:iCs/>
      <w:strike w:val="0"/>
      <w:dstrike w:val="0"/>
      <w:color w:val="000000"/>
      <w:sz w:val="24"/>
      <w:szCs w:val="24"/>
      <w:u w:val="none"/>
      <w:effect w:val="none"/>
    </w:rPr>
  </w:style>
  <w:style w:type="character" w:customStyle="1" w:styleId="apple-converted-space">
    <w:name w:val="apple-converted-space"/>
    <w:basedOn w:val="DefaultParagraphFont"/>
    <w:rsid w:val="00E1405D"/>
  </w:style>
  <w:style w:type="character" w:customStyle="1" w:styleId="mark5t7qgx5er">
    <w:name w:val="mark5t7qgx5er"/>
    <w:basedOn w:val="DefaultParagraphFont"/>
    <w:rsid w:val="00E1405D"/>
  </w:style>
  <w:style w:type="paragraph" w:styleId="Revision">
    <w:name w:val="Revision"/>
    <w:hidden/>
    <w:uiPriority w:val="99"/>
    <w:semiHidden/>
    <w:rsid w:val="00DC7CC1"/>
  </w:style>
  <w:style w:type="character" w:styleId="CommentReference">
    <w:name w:val="annotation reference"/>
    <w:basedOn w:val="DefaultParagraphFont"/>
    <w:uiPriority w:val="99"/>
    <w:semiHidden/>
    <w:unhideWhenUsed/>
    <w:rsid w:val="00DC7CC1"/>
    <w:rPr>
      <w:sz w:val="16"/>
      <w:szCs w:val="16"/>
    </w:rPr>
  </w:style>
  <w:style w:type="paragraph" w:styleId="CommentText">
    <w:name w:val="annotation text"/>
    <w:basedOn w:val="Normal"/>
    <w:link w:val="CommentTextChar"/>
    <w:uiPriority w:val="99"/>
    <w:unhideWhenUsed/>
    <w:rsid w:val="00DC7CC1"/>
    <w:rPr>
      <w:sz w:val="20"/>
      <w:szCs w:val="20"/>
    </w:rPr>
  </w:style>
  <w:style w:type="character" w:customStyle="1" w:styleId="CommentTextChar">
    <w:name w:val="Comment Text Char"/>
    <w:basedOn w:val="DefaultParagraphFont"/>
    <w:link w:val="CommentText"/>
    <w:uiPriority w:val="99"/>
    <w:rsid w:val="00DC7CC1"/>
    <w:rPr>
      <w:sz w:val="20"/>
      <w:szCs w:val="20"/>
    </w:rPr>
  </w:style>
  <w:style w:type="paragraph" w:styleId="CommentSubject">
    <w:name w:val="annotation subject"/>
    <w:basedOn w:val="CommentText"/>
    <w:next w:val="CommentText"/>
    <w:link w:val="CommentSubjectChar"/>
    <w:uiPriority w:val="99"/>
    <w:semiHidden/>
    <w:unhideWhenUsed/>
    <w:rsid w:val="00DC7CC1"/>
    <w:rPr>
      <w:b/>
      <w:bCs/>
    </w:rPr>
  </w:style>
  <w:style w:type="character" w:customStyle="1" w:styleId="CommentSubjectChar">
    <w:name w:val="Comment Subject Char"/>
    <w:basedOn w:val="CommentTextChar"/>
    <w:link w:val="CommentSubject"/>
    <w:uiPriority w:val="99"/>
    <w:semiHidden/>
    <w:rsid w:val="00DC7CC1"/>
    <w:rPr>
      <w:b/>
      <w:bCs/>
      <w:sz w:val="20"/>
      <w:szCs w:val="20"/>
    </w:rPr>
  </w:style>
  <w:style w:type="paragraph" w:styleId="Header">
    <w:name w:val="header"/>
    <w:basedOn w:val="Normal"/>
    <w:link w:val="HeaderChar"/>
    <w:uiPriority w:val="99"/>
    <w:unhideWhenUsed/>
    <w:rsid w:val="003E50BF"/>
    <w:pPr>
      <w:tabs>
        <w:tab w:val="center" w:pos="4513"/>
        <w:tab w:val="right" w:pos="9026"/>
      </w:tabs>
    </w:pPr>
  </w:style>
  <w:style w:type="character" w:customStyle="1" w:styleId="HeaderChar">
    <w:name w:val="Header Char"/>
    <w:basedOn w:val="DefaultParagraphFont"/>
    <w:link w:val="Header"/>
    <w:uiPriority w:val="99"/>
    <w:rsid w:val="003E50BF"/>
  </w:style>
  <w:style w:type="paragraph" w:styleId="Footer">
    <w:name w:val="footer"/>
    <w:basedOn w:val="Normal"/>
    <w:link w:val="FooterChar"/>
    <w:uiPriority w:val="99"/>
    <w:unhideWhenUsed/>
    <w:rsid w:val="003E50BF"/>
    <w:pPr>
      <w:tabs>
        <w:tab w:val="center" w:pos="4513"/>
        <w:tab w:val="right" w:pos="9026"/>
      </w:tabs>
    </w:pPr>
  </w:style>
  <w:style w:type="character" w:customStyle="1" w:styleId="FooterChar">
    <w:name w:val="Footer Char"/>
    <w:basedOn w:val="DefaultParagraphFont"/>
    <w:link w:val="Footer"/>
    <w:uiPriority w:val="99"/>
    <w:rsid w:val="003E50BF"/>
  </w:style>
  <w:style w:type="character" w:customStyle="1" w:styleId="normaltextrun">
    <w:name w:val="normaltextrun"/>
    <w:basedOn w:val="DefaultParagraphFont"/>
    <w:rsid w:val="003E50BF"/>
  </w:style>
  <w:style w:type="character" w:customStyle="1" w:styleId="eop">
    <w:name w:val="eop"/>
    <w:basedOn w:val="DefaultParagraphFont"/>
    <w:rsid w:val="003E50BF"/>
  </w:style>
  <w:style w:type="character" w:styleId="PageNumber">
    <w:name w:val="page number"/>
    <w:basedOn w:val="DefaultParagraphFont"/>
    <w:uiPriority w:val="99"/>
    <w:semiHidden/>
    <w:unhideWhenUsed/>
    <w:rsid w:val="003E5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345">
      <w:bodyDiv w:val="1"/>
      <w:marLeft w:val="0"/>
      <w:marRight w:val="0"/>
      <w:marTop w:val="0"/>
      <w:marBottom w:val="0"/>
      <w:divBdr>
        <w:top w:val="none" w:sz="0" w:space="0" w:color="auto"/>
        <w:left w:val="none" w:sz="0" w:space="0" w:color="auto"/>
        <w:bottom w:val="none" w:sz="0" w:space="0" w:color="auto"/>
        <w:right w:val="none" w:sz="0" w:space="0" w:color="auto"/>
      </w:divBdr>
      <w:divsChild>
        <w:div w:id="208499647">
          <w:marLeft w:val="0"/>
          <w:marRight w:val="0"/>
          <w:marTop w:val="0"/>
          <w:marBottom w:val="0"/>
          <w:divBdr>
            <w:top w:val="none" w:sz="0" w:space="0" w:color="auto"/>
            <w:left w:val="none" w:sz="0" w:space="0" w:color="auto"/>
            <w:bottom w:val="none" w:sz="0" w:space="0" w:color="auto"/>
            <w:right w:val="none" w:sz="0" w:space="0" w:color="auto"/>
          </w:divBdr>
        </w:div>
      </w:divsChild>
    </w:div>
    <w:div w:id="112673750">
      <w:bodyDiv w:val="1"/>
      <w:marLeft w:val="0"/>
      <w:marRight w:val="0"/>
      <w:marTop w:val="0"/>
      <w:marBottom w:val="0"/>
      <w:divBdr>
        <w:top w:val="none" w:sz="0" w:space="0" w:color="auto"/>
        <w:left w:val="none" w:sz="0" w:space="0" w:color="auto"/>
        <w:bottom w:val="none" w:sz="0" w:space="0" w:color="auto"/>
        <w:right w:val="none" w:sz="0" w:space="0" w:color="auto"/>
      </w:divBdr>
      <w:divsChild>
        <w:div w:id="351691933">
          <w:marLeft w:val="0"/>
          <w:marRight w:val="0"/>
          <w:marTop w:val="0"/>
          <w:marBottom w:val="0"/>
          <w:divBdr>
            <w:top w:val="none" w:sz="0" w:space="0" w:color="auto"/>
            <w:left w:val="none" w:sz="0" w:space="0" w:color="auto"/>
            <w:bottom w:val="none" w:sz="0" w:space="0" w:color="auto"/>
            <w:right w:val="none" w:sz="0" w:space="0" w:color="auto"/>
          </w:divBdr>
        </w:div>
      </w:divsChild>
    </w:div>
    <w:div w:id="121271677">
      <w:bodyDiv w:val="1"/>
      <w:marLeft w:val="0"/>
      <w:marRight w:val="0"/>
      <w:marTop w:val="0"/>
      <w:marBottom w:val="0"/>
      <w:divBdr>
        <w:top w:val="none" w:sz="0" w:space="0" w:color="auto"/>
        <w:left w:val="none" w:sz="0" w:space="0" w:color="auto"/>
        <w:bottom w:val="none" w:sz="0" w:space="0" w:color="auto"/>
        <w:right w:val="none" w:sz="0" w:space="0" w:color="auto"/>
      </w:divBdr>
      <w:divsChild>
        <w:div w:id="1431507335">
          <w:marLeft w:val="0"/>
          <w:marRight w:val="0"/>
          <w:marTop w:val="0"/>
          <w:marBottom w:val="0"/>
          <w:divBdr>
            <w:top w:val="none" w:sz="0" w:space="0" w:color="auto"/>
            <w:left w:val="none" w:sz="0" w:space="0" w:color="auto"/>
            <w:bottom w:val="none" w:sz="0" w:space="0" w:color="auto"/>
            <w:right w:val="none" w:sz="0" w:space="0" w:color="auto"/>
          </w:divBdr>
        </w:div>
      </w:divsChild>
    </w:div>
    <w:div w:id="122844869">
      <w:bodyDiv w:val="1"/>
      <w:marLeft w:val="0"/>
      <w:marRight w:val="0"/>
      <w:marTop w:val="0"/>
      <w:marBottom w:val="0"/>
      <w:divBdr>
        <w:top w:val="none" w:sz="0" w:space="0" w:color="auto"/>
        <w:left w:val="none" w:sz="0" w:space="0" w:color="auto"/>
        <w:bottom w:val="none" w:sz="0" w:space="0" w:color="auto"/>
        <w:right w:val="none" w:sz="0" w:space="0" w:color="auto"/>
      </w:divBdr>
      <w:divsChild>
        <w:div w:id="529228277">
          <w:marLeft w:val="0"/>
          <w:marRight w:val="0"/>
          <w:marTop w:val="0"/>
          <w:marBottom w:val="0"/>
          <w:divBdr>
            <w:top w:val="none" w:sz="0" w:space="0" w:color="auto"/>
            <w:left w:val="none" w:sz="0" w:space="0" w:color="auto"/>
            <w:bottom w:val="none" w:sz="0" w:space="0" w:color="auto"/>
            <w:right w:val="none" w:sz="0" w:space="0" w:color="auto"/>
          </w:divBdr>
        </w:div>
      </w:divsChild>
    </w:div>
    <w:div w:id="140662084">
      <w:bodyDiv w:val="1"/>
      <w:marLeft w:val="0"/>
      <w:marRight w:val="0"/>
      <w:marTop w:val="0"/>
      <w:marBottom w:val="0"/>
      <w:divBdr>
        <w:top w:val="none" w:sz="0" w:space="0" w:color="auto"/>
        <w:left w:val="none" w:sz="0" w:space="0" w:color="auto"/>
        <w:bottom w:val="none" w:sz="0" w:space="0" w:color="auto"/>
        <w:right w:val="none" w:sz="0" w:space="0" w:color="auto"/>
      </w:divBdr>
      <w:divsChild>
        <w:div w:id="1932927419">
          <w:marLeft w:val="0"/>
          <w:marRight w:val="0"/>
          <w:marTop w:val="0"/>
          <w:marBottom w:val="0"/>
          <w:divBdr>
            <w:top w:val="none" w:sz="0" w:space="0" w:color="auto"/>
            <w:left w:val="none" w:sz="0" w:space="0" w:color="auto"/>
            <w:bottom w:val="none" w:sz="0" w:space="0" w:color="auto"/>
            <w:right w:val="none" w:sz="0" w:space="0" w:color="auto"/>
          </w:divBdr>
        </w:div>
      </w:divsChild>
    </w:div>
    <w:div w:id="185754938">
      <w:bodyDiv w:val="1"/>
      <w:marLeft w:val="0"/>
      <w:marRight w:val="0"/>
      <w:marTop w:val="0"/>
      <w:marBottom w:val="0"/>
      <w:divBdr>
        <w:top w:val="none" w:sz="0" w:space="0" w:color="auto"/>
        <w:left w:val="none" w:sz="0" w:space="0" w:color="auto"/>
        <w:bottom w:val="none" w:sz="0" w:space="0" w:color="auto"/>
        <w:right w:val="none" w:sz="0" w:space="0" w:color="auto"/>
      </w:divBdr>
      <w:divsChild>
        <w:div w:id="1565136688">
          <w:marLeft w:val="0"/>
          <w:marRight w:val="0"/>
          <w:marTop w:val="0"/>
          <w:marBottom w:val="0"/>
          <w:divBdr>
            <w:top w:val="none" w:sz="0" w:space="0" w:color="auto"/>
            <w:left w:val="none" w:sz="0" w:space="0" w:color="auto"/>
            <w:bottom w:val="none" w:sz="0" w:space="0" w:color="auto"/>
            <w:right w:val="none" w:sz="0" w:space="0" w:color="auto"/>
          </w:divBdr>
        </w:div>
      </w:divsChild>
    </w:div>
    <w:div w:id="202792657">
      <w:bodyDiv w:val="1"/>
      <w:marLeft w:val="0"/>
      <w:marRight w:val="0"/>
      <w:marTop w:val="0"/>
      <w:marBottom w:val="0"/>
      <w:divBdr>
        <w:top w:val="none" w:sz="0" w:space="0" w:color="auto"/>
        <w:left w:val="none" w:sz="0" w:space="0" w:color="auto"/>
        <w:bottom w:val="none" w:sz="0" w:space="0" w:color="auto"/>
        <w:right w:val="none" w:sz="0" w:space="0" w:color="auto"/>
      </w:divBdr>
      <w:divsChild>
        <w:div w:id="1021586158">
          <w:marLeft w:val="0"/>
          <w:marRight w:val="0"/>
          <w:marTop w:val="0"/>
          <w:marBottom w:val="0"/>
          <w:divBdr>
            <w:top w:val="none" w:sz="0" w:space="0" w:color="auto"/>
            <w:left w:val="none" w:sz="0" w:space="0" w:color="auto"/>
            <w:bottom w:val="none" w:sz="0" w:space="0" w:color="auto"/>
            <w:right w:val="none" w:sz="0" w:space="0" w:color="auto"/>
          </w:divBdr>
        </w:div>
      </w:divsChild>
    </w:div>
    <w:div w:id="218325640">
      <w:bodyDiv w:val="1"/>
      <w:marLeft w:val="0"/>
      <w:marRight w:val="0"/>
      <w:marTop w:val="0"/>
      <w:marBottom w:val="0"/>
      <w:divBdr>
        <w:top w:val="none" w:sz="0" w:space="0" w:color="auto"/>
        <w:left w:val="none" w:sz="0" w:space="0" w:color="auto"/>
        <w:bottom w:val="none" w:sz="0" w:space="0" w:color="auto"/>
        <w:right w:val="none" w:sz="0" w:space="0" w:color="auto"/>
      </w:divBdr>
      <w:divsChild>
        <w:div w:id="1601524492">
          <w:marLeft w:val="0"/>
          <w:marRight w:val="0"/>
          <w:marTop w:val="0"/>
          <w:marBottom w:val="0"/>
          <w:divBdr>
            <w:top w:val="none" w:sz="0" w:space="0" w:color="auto"/>
            <w:left w:val="none" w:sz="0" w:space="0" w:color="auto"/>
            <w:bottom w:val="none" w:sz="0" w:space="0" w:color="auto"/>
            <w:right w:val="none" w:sz="0" w:space="0" w:color="auto"/>
          </w:divBdr>
        </w:div>
      </w:divsChild>
    </w:div>
    <w:div w:id="302735945">
      <w:bodyDiv w:val="1"/>
      <w:marLeft w:val="0"/>
      <w:marRight w:val="0"/>
      <w:marTop w:val="0"/>
      <w:marBottom w:val="0"/>
      <w:divBdr>
        <w:top w:val="none" w:sz="0" w:space="0" w:color="auto"/>
        <w:left w:val="none" w:sz="0" w:space="0" w:color="auto"/>
        <w:bottom w:val="none" w:sz="0" w:space="0" w:color="auto"/>
        <w:right w:val="none" w:sz="0" w:space="0" w:color="auto"/>
      </w:divBdr>
      <w:divsChild>
        <w:div w:id="352267301">
          <w:marLeft w:val="0"/>
          <w:marRight w:val="0"/>
          <w:marTop w:val="0"/>
          <w:marBottom w:val="0"/>
          <w:divBdr>
            <w:top w:val="none" w:sz="0" w:space="0" w:color="auto"/>
            <w:left w:val="none" w:sz="0" w:space="0" w:color="auto"/>
            <w:bottom w:val="none" w:sz="0" w:space="0" w:color="auto"/>
            <w:right w:val="none" w:sz="0" w:space="0" w:color="auto"/>
          </w:divBdr>
        </w:div>
      </w:divsChild>
    </w:div>
    <w:div w:id="379482173">
      <w:bodyDiv w:val="1"/>
      <w:marLeft w:val="0"/>
      <w:marRight w:val="0"/>
      <w:marTop w:val="0"/>
      <w:marBottom w:val="0"/>
      <w:divBdr>
        <w:top w:val="none" w:sz="0" w:space="0" w:color="auto"/>
        <w:left w:val="none" w:sz="0" w:space="0" w:color="auto"/>
        <w:bottom w:val="none" w:sz="0" w:space="0" w:color="auto"/>
        <w:right w:val="none" w:sz="0" w:space="0" w:color="auto"/>
      </w:divBdr>
    </w:div>
    <w:div w:id="434403926">
      <w:bodyDiv w:val="1"/>
      <w:marLeft w:val="0"/>
      <w:marRight w:val="0"/>
      <w:marTop w:val="0"/>
      <w:marBottom w:val="0"/>
      <w:divBdr>
        <w:top w:val="none" w:sz="0" w:space="0" w:color="auto"/>
        <w:left w:val="none" w:sz="0" w:space="0" w:color="auto"/>
        <w:bottom w:val="none" w:sz="0" w:space="0" w:color="auto"/>
        <w:right w:val="none" w:sz="0" w:space="0" w:color="auto"/>
      </w:divBdr>
      <w:divsChild>
        <w:div w:id="639190131">
          <w:marLeft w:val="0"/>
          <w:marRight w:val="0"/>
          <w:marTop w:val="0"/>
          <w:marBottom w:val="0"/>
          <w:divBdr>
            <w:top w:val="none" w:sz="0" w:space="0" w:color="auto"/>
            <w:left w:val="none" w:sz="0" w:space="0" w:color="auto"/>
            <w:bottom w:val="none" w:sz="0" w:space="0" w:color="auto"/>
            <w:right w:val="none" w:sz="0" w:space="0" w:color="auto"/>
          </w:divBdr>
        </w:div>
      </w:divsChild>
    </w:div>
    <w:div w:id="505246517">
      <w:bodyDiv w:val="1"/>
      <w:marLeft w:val="0"/>
      <w:marRight w:val="0"/>
      <w:marTop w:val="0"/>
      <w:marBottom w:val="0"/>
      <w:divBdr>
        <w:top w:val="none" w:sz="0" w:space="0" w:color="auto"/>
        <w:left w:val="none" w:sz="0" w:space="0" w:color="auto"/>
        <w:bottom w:val="none" w:sz="0" w:space="0" w:color="auto"/>
        <w:right w:val="none" w:sz="0" w:space="0" w:color="auto"/>
      </w:divBdr>
      <w:divsChild>
        <w:div w:id="1029994141">
          <w:marLeft w:val="0"/>
          <w:marRight w:val="0"/>
          <w:marTop w:val="0"/>
          <w:marBottom w:val="0"/>
          <w:divBdr>
            <w:top w:val="none" w:sz="0" w:space="0" w:color="auto"/>
            <w:left w:val="none" w:sz="0" w:space="0" w:color="auto"/>
            <w:bottom w:val="none" w:sz="0" w:space="0" w:color="auto"/>
            <w:right w:val="none" w:sz="0" w:space="0" w:color="auto"/>
          </w:divBdr>
        </w:div>
      </w:divsChild>
    </w:div>
    <w:div w:id="564876421">
      <w:bodyDiv w:val="1"/>
      <w:marLeft w:val="0"/>
      <w:marRight w:val="0"/>
      <w:marTop w:val="0"/>
      <w:marBottom w:val="0"/>
      <w:divBdr>
        <w:top w:val="none" w:sz="0" w:space="0" w:color="auto"/>
        <w:left w:val="none" w:sz="0" w:space="0" w:color="auto"/>
        <w:bottom w:val="none" w:sz="0" w:space="0" w:color="auto"/>
        <w:right w:val="none" w:sz="0" w:space="0" w:color="auto"/>
      </w:divBdr>
      <w:divsChild>
        <w:div w:id="966545361">
          <w:marLeft w:val="0"/>
          <w:marRight w:val="0"/>
          <w:marTop w:val="0"/>
          <w:marBottom w:val="0"/>
          <w:divBdr>
            <w:top w:val="none" w:sz="0" w:space="0" w:color="auto"/>
            <w:left w:val="none" w:sz="0" w:space="0" w:color="auto"/>
            <w:bottom w:val="none" w:sz="0" w:space="0" w:color="auto"/>
            <w:right w:val="none" w:sz="0" w:space="0" w:color="auto"/>
          </w:divBdr>
        </w:div>
      </w:divsChild>
    </w:div>
    <w:div w:id="680281193">
      <w:bodyDiv w:val="1"/>
      <w:marLeft w:val="0"/>
      <w:marRight w:val="0"/>
      <w:marTop w:val="0"/>
      <w:marBottom w:val="0"/>
      <w:divBdr>
        <w:top w:val="none" w:sz="0" w:space="0" w:color="auto"/>
        <w:left w:val="none" w:sz="0" w:space="0" w:color="auto"/>
        <w:bottom w:val="none" w:sz="0" w:space="0" w:color="auto"/>
        <w:right w:val="none" w:sz="0" w:space="0" w:color="auto"/>
      </w:divBdr>
    </w:div>
    <w:div w:id="680814199">
      <w:bodyDiv w:val="1"/>
      <w:marLeft w:val="0"/>
      <w:marRight w:val="0"/>
      <w:marTop w:val="0"/>
      <w:marBottom w:val="0"/>
      <w:divBdr>
        <w:top w:val="none" w:sz="0" w:space="0" w:color="auto"/>
        <w:left w:val="none" w:sz="0" w:space="0" w:color="auto"/>
        <w:bottom w:val="none" w:sz="0" w:space="0" w:color="auto"/>
        <w:right w:val="none" w:sz="0" w:space="0" w:color="auto"/>
      </w:divBdr>
      <w:divsChild>
        <w:div w:id="650451894">
          <w:marLeft w:val="0"/>
          <w:marRight w:val="0"/>
          <w:marTop w:val="0"/>
          <w:marBottom w:val="0"/>
          <w:divBdr>
            <w:top w:val="none" w:sz="0" w:space="0" w:color="auto"/>
            <w:left w:val="none" w:sz="0" w:space="0" w:color="auto"/>
            <w:bottom w:val="none" w:sz="0" w:space="0" w:color="auto"/>
            <w:right w:val="none" w:sz="0" w:space="0" w:color="auto"/>
          </w:divBdr>
        </w:div>
      </w:divsChild>
    </w:div>
    <w:div w:id="719748431">
      <w:bodyDiv w:val="1"/>
      <w:marLeft w:val="0"/>
      <w:marRight w:val="0"/>
      <w:marTop w:val="0"/>
      <w:marBottom w:val="0"/>
      <w:divBdr>
        <w:top w:val="none" w:sz="0" w:space="0" w:color="auto"/>
        <w:left w:val="none" w:sz="0" w:space="0" w:color="auto"/>
        <w:bottom w:val="none" w:sz="0" w:space="0" w:color="auto"/>
        <w:right w:val="none" w:sz="0" w:space="0" w:color="auto"/>
      </w:divBdr>
      <w:divsChild>
        <w:div w:id="996302869">
          <w:marLeft w:val="0"/>
          <w:marRight w:val="0"/>
          <w:marTop w:val="0"/>
          <w:marBottom w:val="0"/>
          <w:divBdr>
            <w:top w:val="none" w:sz="0" w:space="0" w:color="auto"/>
            <w:left w:val="none" w:sz="0" w:space="0" w:color="auto"/>
            <w:bottom w:val="none" w:sz="0" w:space="0" w:color="auto"/>
            <w:right w:val="none" w:sz="0" w:space="0" w:color="auto"/>
          </w:divBdr>
        </w:div>
      </w:divsChild>
    </w:div>
    <w:div w:id="779685036">
      <w:bodyDiv w:val="1"/>
      <w:marLeft w:val="0"/>
      <w:marRight w:val="0"/>
      <w:marTop w:val="0"/>
      <w:marBottom w:val="0"/>
      <w:divBdr>
        <w:top w:val="none" w:sz="0" w:space="0" w:color="auto"/>
        <w:left w:val="none" w:sz="0" w:space="0" w:color="auto"/>
        <w:bottom w:val="none" w:sz="0" w:space="0" w:color="auto"/>
        <w:right w:val="none" w:sz="0" w:space="0" w:color="auto"/>
      </w:divBdr>
      <w:divsChild>
        <w:div w:id="1223903618">
          <w:marLeft w:val="0"/>
          <w:marRight w:val="0"/>
          <w:marTop w:val="0"/>
          <w:marBottom w:val="0"/>
          <w:divBdr>
            <w:top w:val="none" w:sz="0" w:space="0" w:color="auto"/>
            <w:left w:val="none" w:sz="0" w:space="0" w:color="auto"/>
            <w:bottom w:val="none" w:sz="0" w:space="0" w:color="auto"/>
            <w:right w:val="none" w:sz="0" w:space="0" w:color="auto"/>
          </w:divBdr>
        </w:div>
      </w:divsChild>
    </w:div>
    <w:div w:id="893345782">
      <w:bodyDiv w:val="1"/>
      <w:marLeft w:val="0"/>
      <w:marRight w:val="0"/>
      <w:marTop w:val="0"/>
      <w:marBottom w:val="0"/>
      <w:divBdr>
        <w:top w:val="none" w:sz="0" w:space="0" w:color="auto"/>
        <w:left w:val="none" w:sz="0" w:space="0" w:color="auto"/>
        <w:bottom w:val="none" w:sz="0" w:space="0" w:color="auto"/>
        <w:right w:val="none" w:sz="0" w:space="0" w:color="auto"/>
      </w:divBdr>
      <w:divsChild>
        <w:div w:id="36778436">
          <w:marLeft w:val="0"/>
          <w:marRight w:val="0"/>
          <w:marTop w:val="0"/>
          <w:marBottom w:val="0"/>
          <w:divBdr>
            <w:top w:val="none" w:sz="0" w:space="0" w:color="auto"/>
            <w:left w:val="none" w:sz="0" w:space="0" w:color="auto"/>
            <w:bottom w:val="none" w:sz="0" w:space="0" w:color="auto"/>
            <w:right w:val="none" w:sz="0" w:space="0" w:color="auto"/>
          </w:divBdr>
        </w:div>
      </w:divsChild>
    </w:div>
    <w:div w:id="922035501">
      <w:bodyDiv w:val="1"/>
      <w:marLeft w:val="0"/>
      <w:marRight w:val="0"/>
      <w:marTop w:val="0"/>
      <w:marBottom w:val="0"/>
      <w:divBdr>
        <w:top w:val="none" w:sz="0" w:space="0" w:color="auto"/>
        <w:left w:val="none" w:sz="0" w:space="0" w:color="auto"/>
        <w:bottom w:val="none" w:sz="0" w:space="0" w:color="auto"/>
        <w:right w:val="none" w:sz="0" w:space="0" w:color="auto"/>
      </w:divBdr>
    </w:div>
    <w:div w:id="1025598725">
      <w:bodyDiv w:val="1"/>
      <w:marLeft w:val="0"/>
      <w:marRight w:val="0"/>
      <w:marTop w:val="0"/>
      <w:marBottom w:val="0"/>
      <w:divBdr>
        <w:top w:val="none" w:sz="0" w:space="0" w:color="auto"/>
        <w:left w:val="none" w:sz="0" w:space="0" w:color="auto"/>
        <w:bottom w:val="none" w:sz="0" w:space="0" w:color="auto"/>
        <w:right w:val="none" w:sz="0" w:space="0" w:color="auto"/>
      </w:divBdr>
      <w:divsChild>
        <w:div w:id="1254823349">
          <w:marLeft w:val="0"/>
          <w:marRight w:val="0"/>
          <w:marTop w:val="0"/>
          <w:marBottom w:val="0"/>
          <w:divBdr>
            <w:top w:val="none" w:sz="0" w:space="0" w:color="auto"/>
            <w:left w:val="none" w:sz="0" w:space="0" w:color="auto"/>
            <w:bottom w:val="none" w:sz="0" w:space="0" w:color="auto"/>
            <w:right w:val="none" w:sz="0" w:space="0" w:color="auto"/>
          </w:divBdr>
        </w:div>
      </w:divsChild>
    </w:div>
    <w:div w:id="1038970667">
      <w:bodyDiv w:val="1"/>
      <w:marLeft w:val="0"/>
      <w:marRight w:val="0"/>
      <w:marTop w:val="0"/>
      <w:marBottom w:val="0"/>
      <w:divBdr>
        <w:top w:val="none" w:sz="0" w:space="0" w:color="auto"/>
        <w:left w:val="none" w:sz="0" w:space="0" w:color="auto"/>
        <w:bottom w:val="none" w:sz="0" w:space="0" w:color="auto"/>
        <w:right w:val="none" w:sz="0" w:space="0" w:color="auto"/>
      </w:divBdr>
      <w:divsChild>
        <w:div w:id="652374376">
          <w:marLeft w:val="0"/>
          <w:marRight w:val="0"/>
          <w:marTop w:val="0"/>
          <w:marBottom w:val="0"/>
          <w:divBdr>
            <w:top w:val="none" w:sz="0" w:space="0" w:color="auto"/>
            <w:left w:val="none" w:sz="0" w:space="0" w:color="auto"/>
            <w:bottom w:val="none" w:sz="0" w:space="0" w:color="auto"/>
            <w:right w:val="none" w:sz="0" w:space="0" w:color="auto"/>
          </w:divBdr>
        </w:div>
      </w:divsChild>
    </w:div>
    <w:div w:id="1060597532">
      <w:bodyDiv w:val="1"/>
      <w:marLeft w:val="0"/>
      <w:marRight w:val="0"/>
      <w:marTop w:val="0"/>
      <w:marBottom w:val="0"/>
      <w:divBdr>
        <w:top w:val="none" w:sz="0" w:space="0" w:color="auto"/>
        <w:left w:val="none" w:sz="0" w:space="0" w:color="auto"/>
        <w:bottom w:val="none" w:sz="0" w:space="0" w:color="auto"/>
        <w:right w:val="none" w:sz="0" w:space="0" w:color="auto"/>
      </w:divBdr>
      <w:divsChild>
        <w:div w:id="2013146594">
          <w:marLeft w:val="0"/>
          <w:marRight w:val="0"/>
          <w:marTop w:val="0"/>
          <w:marBottom w:val="0"/>
          <w:divBdr>
            <w:top w:val="none" w:sz="0" w:space="0" w:color="auto"/>
            <w:left w:val="none" w:sz="0" w:space="0" w:color="auto"/>
            <w:bottom w:val="none" w:sz="0" w:space="0" w:color="auto"/>
            <w:right w:val="none" w:sz="0" w:space="0" w:color="auto"/>
          </w:divBdr>
        </w:div>
      </w:divsChild>
    </w:div>
    <w:div w:id="1105425129">
      <w:bodyDiv w:val="1"/>
      <w:marLeft w:val="0"/>
      <w:marRight w:val="0"/>
      <w:marTop w:val="0"/>
      <w:marBottom w:val="0"/>
      <w:divBdr>
        <w:top w:val="none" w:sz="0" w:space="0" w:color="auto"/>
        <w:left w:val="none" w:sz="0" w:space="0" w:color="auto"/>
        <w:bottom w:val="none" w:sz="0" w:space="0" w:color="auto"/>
        <w:right w:val="none" w:sz="0" w:space="0" w:color="auto"/>
      </w:divBdr>
      <w:divsChild>
        <w:div w:id="1243948180">
          <w:marLeft w:val="0"/>
          <w:marRight w:val="0"/>
          <w:marTop w:val="0"/>
          <w:marBottom w:val="0"/>
          <w:divBdr>
            <w:top w:val="none" w:sz="0" w:space="0" w:color="auto"/>
            <w:left w:val="none" w:sz="0" w:space="0" w:color="auto"/>
            <w:bottom w:val="none" w:sz="0" w:space="0" w:color="auto"/>
            <w:right w:val="none" w:sz="0" w:space="0" w:color="auto"/>
          </w:divBdr>
        </w:div>
      </w:divsChild>
    </w:div>
    <w:div w:id="1226376251">
      <w:bodyDiv w:val="1"/>
      <w:marLeft w:val="0"/>
      <w:marRight w:val="0"/>
      <w:marTop w:val="0"/>
      <w:marBottom w:val="0"/>
      <w:divBdr>
        <w:top w:val="none" w:sz="0" w:space="0" w:color="auto"/>
        <w:left w:val="none" w:sz="0" w:space="0" w:color="auto"/>
        <w:bottom w:val="none" w:sz="0" w:space="0" w:color="auto"/>
        <w:right w:val="none" w:sz="0" w:space="0" w:color="auto"/>
      </w:divBdr>
      <w:divsChild>
        <w:div w:id="279993332">
          <w:marLeft w:val="0"/>
          <w:marRight w:val="0"/>
          <w:marTop w:val="0"/>
          <w:marBottom w:val="0"/>
          <w:divBdr>
            <w:top w:val="none" w:sz="0" w:space="0" w:color="auto"/>
            <w:left w:val="none" w:sz="0" w:space="0" w:color="auto"/>
            <w:bottom w:val="none" w:sz="0" w:space="0" w:color="auto"/>
            <w:right w:val="none" w:sz="0" w:space="0" w:color="auto"/>
          </w:divBdr>
        </w:div>
      </w:divsChild>
    </w:div>
    <w:div w:id="1266770366">
      <w:bodyDiv w:val="1"/>
      <w:marLeft w:val="0"/>
      <w:marRight w:val="0"/>
      <w:marTop w:val="0"/>
      <w:marBottom w:val="0"/>
      <w:divBdr>
        <w:top w:val="none" w:sz="0" w:space="0" w:color="auto"/>
        <w:left w:val="none" w:sz="0" w:space="0" w:color="auto"/>
        <w:bottom w:val="none" w:sz="0" w:space="0" w:color="auto"/>
        <w:right w:val="none" w:sz="0" w:space="0" w:color="auto"/>
      </w:divBdr>
      <w:divsChild>
        <w:div w:id="2104261205">
          <w:marLeft w:val="0"/>
          <w:marRight w:val="0"/>
          <w:marTop w:val="0"/>
          <w:marBottom w:val="0"/>
          <w:divBdr>
            <w:top w:val="none" w:sz="0" w:space="0" w:color="auto"/>
            <w:left w:val="none" w:sz="0" w:space="0" w:color="auto"/>
            <w:bottom w:val="none" w:sz="0" w:space="0" w:color="auto"/>
            <w:right w:val="none" w:sz="0" w:space="0" w:color="auto"/>
          </w:divBdr>
        </w:div>
      </w:divsChild>
    </w:div>
    <w:div w:id="1407192297">
      <w:bodyDiv w:val="1"/>
      <w:marLeft w:val="0"/>
      <w:marRight w:val="0"/>
      <w:marTop w:val="0"/>
      <w:marBottom w:val="0"/>
      <w:divBdr>
        <w:top w:val="none" w:sz="0" w:space="0" w:color="auto"/>
        <w:left w:val="none" w:sz="0" w:space="0" w:color="auto"/>
        <w:bottom w:val="none" w:sz="0" w:space="0" w:color="auto"/>
        <w:right w:val="none" w:sz="0" w:space="0" w:color="auto"/>
      </w:divBdr>
      <w:divsChild>
        <w:div w:id="705907259">
          <w:marLeft w:val="0"/>
          <w:marRight w:val="0"/>
          <w:marTop w:val="0"/>
          <w:marBottom w:val="0"/>
          <w:divBdr>
            <w:top w:val="none" w:sz="0" w:space="0" w:color="auto"/>
            <w:left w:val="none" w:sz="0" w:space="0" w:color="auto"/>
            <w:bottom w:val="none" w:sz="0" w:space="0" w:color="auto"/>
            <w:right w:val="none" w:sz="0" w:space="0" w:color="auto"/>
          </w:divBdr>
        </w:div>
      </w:divsChild>
    </w:div>
    <w:div w:id="1429891673">
      <w:bodyDiv w:val="1"/>
      <w:marLeft w:val="0"/>
      <w:marRight w:val="0"/>
      <w:marTop w:val="0"/>
      <w:marBottom w:val="0"/>
      <w:divBdr>
        <w:top w:val="none" w:sz="0" w:space="0" w:color="auto"/>
        <w:left w:val="none" w:sz="0" w:space="0" w:color="auto"/>
        <w:bottom w:val="none" w:sz="0" w:space="0" w:color="auto"/>
        <w:right w:val="none" w:sz="0" w:space="0" w:color="auto"/>
      </w:divBdr>
      <w:divsChild>
        <w:div w:id="637343544">
          <w:marLeft w:val="0"/>
          <w:marRight w:val="0"/>
          <w:marTop w:val="0"/>
          <w:marBottom w:val="0"/>
          <w:divBdr>
            <w:top w:val="none" w:sz="0" w:space="0" w:color="auto"/>
            <w:left w:val="none" w:sz="0" w:space="0" w:color="auto"/>
            <w:bottom w:val="none" w:sz="0" w:space="0" w:color="auto"/>
            <w:right w:val="none" w:sz="0" w:space="0" w:color="auto"/>
          </w:divBdr>
        </w:div>
      </w:divsChild>
    </w:div>
    <w:div w:id="1488009590">
      <w:bodyDiv w:val="1"/>
      <w:marLeft w:val="0"/>
      <w:marRight w:val="0"/>
      <w:marTop w:val="0"/>
      <w:marBottom w:val="0"/>
      <w:divBdr>
        <w:top w:val="none" w:sz="0" w:space="0" w:color="auto"/>
        <w:left w:val="none" w:sz="0" w:space="0" w:color="auto"/>
        <w:bottom w:val="none" w:sz="0" w:space="0" w:color="auto"/>
        <w:right w:val="none" w:sz="0" w:space="0" w:color="auto"/>
      </w:divBdr>
      <w:divsChild>
        <w:div w:id="1169249455">
          <w:marLeft w:val="0"/>
          <w:marRight w:val="0"/>
          <w:marTop w:val="0"/>
          <w:marBottom w:val="0"/>
          <w:divBdr>
            <w:top w:val="none" w:sz="0" w:space="0" w:color="auto"/>
            <w:left w:val="none" w:sz="0" w:space="0" w:color="auto"/>
            <w:bottom w:val="none" w:sz="0" w:space="0" w:color="auto"/>
            <w:right w:val="none" w:sz="0" w:space="0" w:color="auto"/>
          </w:divBdr>
        </w:div>
      </w:divsChild>
    </w:div>
    <w:div w:id="1550650113">
      <w:bodyDiv w:val="1"/>
      <w:marLeft w:val="0"/>
      <w:marRight w:val="0"/>
      <w:marTop w:val="0"/>
      <w:marBottom w:val="0"/>
      <w:divBdr>
        <w:top w:val="none" w:sz="0" w:space="0" w:color="auto"/>
        <w:left w:val="none" w:sz="0" w:space="0" w:color="auto"/>
        <w:bottom w:val="none" w:sz="0" w:space="0" w:color="auto"/>
        <w:right w:val="none" w:sz="0" w:space="0" w:color="auto"/>
      </w:divBdr>
      <w:divsChild>
        <w:div w:id="734427430">
          <w:marLeft w:val="0"/>
          <w:marRight w:val="0"/>
          <w:marTop w:val="0"/>
          <w:marBottom w:val="0"/>
          <w:divBdr>
            <w:top w:val="none" w:sz="0" w:space="0" w:color="auto"/>
            <w:left w:val="none" w:sz="0" w:space="0" w:color="auto"/>
            <w:bottom w:val="none" w:sz="0" w:space="0" w:color="auto"/>
            <w:right w:val="none" w:sz="0" w:space="0" w:color="auto"/>
          </w:divBdr>
        </w:div>
      </w:divsChild>
    </w:div>
    <w:div w:id="1589655089">
      <w:bodyDiv w:val="1"/>
      <w:marLeft w:val="0"/>
      <w:marRight w:val="0"/>
      <w:marTop w:val="0"/>
      <w:marBottom w:val="0"/>
      <w:divBdr>
        <w:top w:val="none" w:sz="0" w:space="0" w:color="auto"/>
        <w:left w:val="none" w:sz="0" w:space="0" w:color="auto"/>
        <w:bottom w:val="none" w:sz="0" w:space="0" w:color="auto"/>
        <w:right w:val="none" w:sz="0" w:space="0" w:color="auto"/>
      </w:divBdr>
      <w:divsChild>
        <w:div w:id="961569084">
          <w:marLeft w:val="0"/>
          <w:marRight w:val="0"/>
          <w:marTop w:val="0"/>
          <w:marBottom w:val="0"/>
          <w:divBdr>
            <w:top w:val="none" w:sz="0" w:space="0" w:color="auto"/>
            <w:left w:val="none" w:sz="0" w:space="0" w:color="auto"/>
            <w:bottom w:val="none" w:sz="0" w:space="0" w:color="auto"/>
            <w:right w:val="none" w:sz="0" w:space="0" w:color="auto"/>
          </w:divBdr>
        </w:div>
      </w:divsChild>
    </w:div>
    <w:div w:id="1662541822">
      <w:bodyDiv w:val="1"/>
      <w:marLeft w:val="0"/>
      <w:marRight w:val="0"/>
      <w:marTop w:val="0"/>
      <w:marBottom w:val="0"/>
      <w:divBdr>
        <w:top w:val="none" w:sz="0" w:space="0" w:color="auto"/>
        <w:left w:val="none" w:sz="0" w:space="0" w:color="auto"/>
        <w:bottom w:val="none" w:sz="0" w:space="0" w:color="auto"/>
        <w:right w:val="none" w:sz="0" w:space="0" w:color="auto"/>
      </w:divBdr>
      <w:divsChild>
        <w:div w:id="1108088396">
          <w:marLeft w:val="0"/>
          <w:marRight w:val="0"/>
          <w:marTop w:val="0"/>
          <w:marBottom w:val="0"/>
          <w:divBdr>
            <w:top w:val="none" w:sz="0" w:space="0" w:color="auto"/>
            <w:left w:val="none" w:sz="0" w:space="0" w:color="auto"/>
            <w:bottom w:val="none" w:sz="0" w:space="0" w:color="auto"/>
            <w:right w:val="none" w:sz="0" w:space="0" w:color="auto"/>
          </w:divBdr>
        </w:div>
      </w:divsChild>
    </w:div>
    <w:div w:id="1959871057">
      <w:bodyDiv w:val="1"/>
      <w:marLeft w:val="0"/>
      <w:marRight w:val="0"/>
      <w:marTop w:val="0"/>
      <w:marBottom w:val="0"/>
      <w:divBdr>
        <w:top w:val="none" w:sz="0" w:space="0" w:color="auto"/>
        <w:left w:val="none" w:sz="0" w:space="0" w:color="auto"/>
        <w:bottom w:val="none" w:sz="0" w:space="0" w:color="auto"/>
        <w:right w:val="none" w:sz="0" w:space="0" w:color="auto"/>
      </w:divBdr>
      <w:divsChild>
        <w:div w:id="90275505">
          <w:marLeft w:val="0"/>
          <w:marRight w:val="0"/>
          <w:marTop w:val="0"/>
          <w:marBottom w:val="0"/>
          <w:divBdr>
            <w:top w:val="none" w:sz="0" w:space="0" w:color="auto"/>
            <w:left w:val="none" w:sz="0" w:space="0" w:color="auto"/>
            <w:bottom w:val="none" w:sz="0" w:space="0" w:color="auto"/>
            <w:right w:val="none" w:sz="0" w:space="0" w:color="auto"/>
          </w:divBdr>
        </w:div>
      </w:divsChild>
    </w:div>
    <w:div w:id="1962105098">
      <w:bodyDiv w:val="1"/>
      <w:marLeft w:val="0"/>
      <w:marRight w:val="0"/>
      <w:marTop w:val="0"/>
      <w:marBottom w:val="0"/>
      <w:divBdr>
        <w:top w:val="none" w:sz="0" w:space="0" w:color="auto"/>
        <w:left w:val="none" w:sz="0" w:space="0" w:color="auto"/>
        <w:bottom w:val="none" w:sz="0" w:space="0" w:color="auto"/>
        <w:right w:val="none" w:sz="0" w:space="0" w:color="auto"/>
      </w:divBdr>
      <w:divsChild>
        <w:div w:id="135610279">
          <w:marLeft w:val="0"/>
          <w:marRight w:val="0"/>
          <w:marTop w:val="0"/>
          <w:marBottom w:val="0"/>
          <w:divBdr>
            <w:top w:val="none" w:sz="0" w:space="0" w:color="auto"/>
            <w:left w:val="none" w:sz="0" w:space="0" w:color="auto"/>
            <w:bottom w:val="none" w:sz="0" w:space="0" w:color="auto"/>
            <w:right w:val="none" w:sz="0" w:space="0" w:color="auto"/>
          </w:divBdr>
        </w:div>
      </w:divsChild>
    </w:div>
    <w:div w:id="1999504576">
      <w:bodyDiv w:val="1"/>
      <w:marLeft w:val="0"/>
      <w:marRight w:val="0"/>
      <w:marTop w:val="0"/>
      <w:marBottom w:val="0"/>
      <w:divBdr>
        <w:top w:val="none" w:sz="0" w:space="0" w:color="auto"/>
        <w:left w:val="none" w:sz="0" w:space="0" w:color="auto"/>
        <w:bottom w:val="none" w:sz="0" w:space="0" w:color="auto"/>
        <w:right w:val="none" w:sz="0" w:space="0" w:color="auto"/>
      </w:divBdr>
    </w:div>
    <w:div w:id="2076197778">
      <w:bodyDiv w:val="1"/>
      <w:marLeft w:val="0"/>
      <w:marRight w:val="0"/>
      <w:marTop w:val="0"/>
      <w:marBottom w:val="0"/>
      <w:divBdr>
        <w:top w:val="none" w:sz="0" w:space="0" w:color="auto"/>
        <w:left w:val="none" w:sz="0" w:space="0" w:color="auto"/>
        <w:bottom w:val="none" w:sz="0" w:space="0" w:color="auto"/>
        <w:right w:val="none" w:sz="0" w:space="0" w:color="auto"/>
      </w:divBdr>
      <w:divsChild>
        <w:div w:id="1024985325">
          <w:marLeft w:val="0"/>
          <w:marRight w:val="0"/>
          <w:marTop w:val="0"/>
          <w:marBottom w:val="0"/>
          <w:divBdr>
            <w:top w:val="none" w:sz="0" w:space="0" w:color="auto"/>
            <w:left w:val="none" w:sz="0" w:space="0" w:color="auto"/>
            <w:bottom w:val="none" w:sz="0" w:space="0" w:color="auto"/>
            <w:right w:val="none" w:sz="0" w:space="0" w:color="auto"/>
          </w:divBdr>
        </w:div>
      </w:divsChild>
    </w:div>
    <w:div w:id="2103644246">
      <w:bodyDiv w:val="1"/>
      <w:marLeft w:val="0"/>
      <w:marRight w:val="0"/>
      <w:marTop w:val="0"/>
      <w:marBottom w:val="0"/>
      <w:divBdr>
        <w:top w:val="none" w:sz="0" w:space="0" w:color="auto"/>
        <w:left w:val="none" w:sz="0" w:space="0" w:color="auto"/>
        <w:bottom w:val="none" w:sz="0" w:space="0" w:color="auto"/>
        <w:right w:val="none" w:sz="0" w:space="0" w:color="auto"/>
      </w:divBdr>
      <w:divsChild>
        <w:div w:id="1955743822">
          <w:marLeft w:val="0"/>
          <w:marRight w:val="0"/>
          <w:marTop w:val="0"/>
          <w:marBottom w:val="0"/>
          <w:divBdr>
            <w:top w:val="none" w:sz="0" w:space="0" w:color="auto"/>
            <w:left w:val="none" w:sz="0" w:space="0" w:color="auto"/>
            <w:bottom w:val="none" w:sz="0" w:space="0" w:color="auto"/>
            <w:right w:val="none" w:sz="0" w:space="0" w:color="auto"/>
          </w:divBdr>
        </w:div>
      </w:divsChild>
    </w:div>
    <w:div w:id="2109496350">
      <w:bodyDiv w:val="1"/>
      <w:marLeft w:val="0"/>
      <w:marRight w:val="0"/>
      <w:marTop w:val="0"/>
      <w:marBottom w:val="0"/>
      <w:divBdr>
        <w:top w:val="none" w:sz="0" w:space="0" w:color="auto"/>
        <w:left w:val="none" w:sz="0" w:space="0" w:color="auto"/>
        <w:bottom w:val="none" w:sz="0" w:space="0" w:color="auto"/>
        <w:right w:val="none" w:sz="0" w:space="0" w:color="auto"/>
      </w:divBdr>
      <w:divsChild>
        <w:div w:id="329910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b15b2b2c-30c7-4662-b243-dacfd4144c63">
      <UserInfo>
        <DisplayName/>
        <AccountId xsi:nil="true"/>
        <AccountType/>
      </UserInfo>
    </Owner>
    <lcf76f155ced4ddcb4097134ff3c332f xmlns="b15b2b2c-30c7-4662-b243-dacfd4144c63">
      <Terms xmlns="http://schemas.microsoft.com/office/infopath/2007/PartnerControls"/>
    </lcf76f155ced4ddcb4097134ff3c332f>
    <TaxCatchAll xmlns="12829ca4-0385-4523-9b4f-cacf3f5ee675" xsi:nil="true"/>
    <UploadedtoRise xmlns="b15b2b2c-30c7-4662-b243-dacfd4144c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ECA166BF1EC4786CD79FC173BA86C" ma:contentTypeVersion="18" ma:contentTypeDescription="Create a new document." ma:contentTypeScope="" ma:versionID="7230a6f06d032e099c959992112eb0a8">
  <xsd:schema xmlns:xsd="http://www.w3.org/2001/XMLSchema" xmlns:xs="http://www.w3.org/2001/XMLSchema" xmlns:p="http://schemas.microsoft.com/office/2006/metadata/properties" xmlns:ns2="b15b2b2c-30c7-4662-b243-dacfd4144c63" xmlns:ns3="12829ca4-0385-4523-9b4f-cacf3f5ee675" targetNamespace="http://schemas.microsoft.com/office/2006/metadata/properties" ma:root="true" ma:fieldsID="591f25fc5d513ddaecbd93ac54b85a3c" ns2:_="" ns3:_="">
    <xsd:import namespace="b15b2b2c-30c7-4662-b243-dacfd4144c63"/>
    <xsd:import namespace="12829ca4-0385-4523-9b4f-cacf3f5ee6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Owne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ploadedtoRi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b2b2c-30c7-4662-b243-dacfd4144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Owner" ma:index="16"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UploadedtoRise" ma:index="25" nillable="true" ma:displayName="Uploaded to Rise" ma:format="Dropdown" ma:internalName="UploadedtoRi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829ca4-0385-4523-9b4f-cacf3f5ee6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421dd7-939e-4322-a262-2bffbeda544a}" ma:internalName="TaxCatchAll" ma:showField="CatchAllData" ma:web="12829ca4-0385-4523-9b4f-cacf3f5ee6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42C3C-88AE-47F8-80C7-D9FB8C7E1F9E}">
  <ds:schemaRefs>
    <ds:schemaRef ds:uri="12829ca4-0385-4523-9b4f-cacf3f5ee675"/>
    <ds:schemaRef ds:uri="b15b2b2c-30c7-4662-b243-dacfd4144c63"/>
    <ds:schemaRef ds:uri="http://www.w3.org/XML/1998/namespace"/>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7A8D10E-B622-4F2B-A973-237F5B0AF4BB}">
  <ds:schemaRefs>
    <ds:schemaRef ds:uri="http://schemas.microsoft.com/sharepoint/v3/contenttype/forms"/>
  </ds:schemaRefs>
</ds:datastoreItem>
</file>

<file path=customXml/itemProps3.xml><?xml version="1.0" encoding="utf-8"?>
<ds:datastoreItem xmlns:ds="http://schemas.openxmlformats.org/officeDocument/2006/customXml" ds:itemID="{C6CD1424-09EE-458F-9AFF-5902C67FC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b2b2c-30c7-4662-b243-dacfd4144c63"/>
    <ds:schemaRef ds:uri="12829ca4-0385-4523-9b4f-cacf3f5ee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5928</Words>
  <Characters>33790</Characters>
  <Application>Microsoft Office Word</Application>
  <DocSecurity>0</DocSecurity>
  <Lines>281</Lines>
  <Paragraphs>79</Paragraphs>
  <ScaleCrop>false</ScaleCrop>
  <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Jane Bryant</dc:creator>
  <cp:keywords/>
  <dc:description/>
  <cp:lastModifiedBy>Jane Miskovic-Wheatley</cp:lastModifiedBy>
  <cp:revision>480</cp:revision>
  <cp:lastPrinted>2022-07-19T02:41:00Z</cp:lastPrinted>
  <dcterms:created xsi:type="dcterms:W3CDTF">2022-01-09T06:45:00Z</dcterms:created>
  <dcterms:modified xsi:type="dcterms:W3CDTF">2023-05-24T07:19:00Z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0x010100223ECA166BF1EC4786CD79FC173BA86C</vt:lpwstr>
  </property>
  <property fmtid="{D5CDD505-2E9C-101B-9397-08002B2CF9AE}" pid="3" name="MediaServiceImageTags">
    <vt:lpwstr/>
  </property>
</Properties>
</file>