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394A5" w14:textId="77777777" w:rsidR="004C2F7B" w:rsidRDefault="004C2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3D486C" w14:textId="77777777" w:rsidR="00A56011" w:rsidRDefault="00A560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EA6D10" w14:textId="7BD87942" w:rsidR="004C2F7B" w:rsidRPr="00EA715C" w:rsidRDefault="00EA715C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EA715C">
        <w:rPr>
          <w:rFonts w:ascii="Times New Roman" w:eastAsia="Times New Roman" w:hAnsi="Times New Roman" w:cs="Times New Roman"/>
          <w:b/>
          <w:sz w:val="24"/>
          <w:szCs w:val="24"/>
        </w:rPr>
        <w:t>Additional file 1</w:t>
      </w:r>
    </w:p>
    <w:bookmarkEnd w:id="0"/>
    <w:p w14:paraId="0A66C09A" w14:textId="77777777" w:rsidR="004C2F7B" w:rsidRDefault="00BD3C10">
      <w:pPr>
        <w:spacing w:line="48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S1. Misclassification for ROC analysis</w:t>
      </w:r>
    </w:p>
    <w:p w14:paraId="22F799DB" w14:textId="77777777" w:rsidR="004C2F7B" w:rsidRDefault="00BD3C10">
      <w:pPr>
        <w:spacing w:line="48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Figure S1.1 shows the same data as Figure 1f in the main text, but with individual patient trajectories broken out rather than shown as an average. This gives a better sense of the variation in trajectories and %EBW at admission for patients in each group, as well as how close some patients are to reaching 95% EBW at week 20. </w:t>
      </w:r>
    </w:p>
    <w:p w14:paraId="0FD62C18" w14:textId="77777777" w:rsidR="004C2F7B" w:rsidRDefault="004C2F7B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Style w:val="a2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C2F7B" w14:paraId="40285297" w14:textId="77777777">
        <w:trPr>
          <w:jc w:val="center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65DC7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114300" distB="114300" distL="114300" distR="114300" wp14:anchorId="7FE8F8E2" wp14:editId="27A0E8E5">
                  <wp:extent cx="4615439" cy="4615439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5439" cy="46154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F7B" w14:paraId="0DA3EEFA" w14:textId="77777777">
        <w:trPr>
          <w:jc w:val="center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546A4" w14:textId="77777777" w:rsidR="004C2F7B" w:rsidRDefault="00BD3C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Figure S1.1. ROC misclassification individual patient trajectories.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Individual trajectories of patients based on whether the ROC analysis correctly or incorrectly classified them at week 5. The horizontal dashed line gives 95% of EBW. This is the same plot as Figure 1f in the main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text, but with the individual patients plotted separately as opposed to plotting the average. </w:t>
            </w:r>
          </w:p>
        </w:tc>
      </w:tr>
    </w:tbl>
    <w:p w14:paraId="6513A7C9" w14:textId="77777777" w:rsidR="004C2F7B" w:rsidRDefault="004C2F7B">
      <w:pPr>
        <w:widowControl w:val="0"/>
        <w:spacing w:line="48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E18C859" w14:textId="77777777" w:rsidR="004C2F7B" w:rsidRDefault="00BD3C10">
      <w:pPr>
        <w:widowControl w:val="0"/>
        <w:spacing w:line="48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S2. Additional results for models that include the starting % EBW</w:t>
      </w:r>
    </w:p>
    <w:p w14:paraId="57CAE19C" w14:textId="77777777" w:rsidR="004C2F7B" w:rsidRDefault="00BD3C1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S2.1 gives the estimated probability that a patient will achieve 95% EBW based on both their weight gain (columns) and their starting %EBW (columns). As described in the main text, a series of logistic regression models were run for each week of treatment (weeks 1 - 19), which took the following form</w:t>
      </w:r>
    </w:p>
    <w:p w14:paraId="1D3E115D" w14:textId="77777777" w:rsidR="004C2F7B" w:rsidRDefault="00BD3C1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Times New Roman" w:eastAsia="Times New Roman" w:hAnsi="Times New Roman" w:cs="Times New Roman"/>
              <w:sz w:val="24"/>
              <w:szCs w:val="24"/>
            </w:rPr>
            <m:t>log</m:t>
          </m:r>
          <m:f>
            <m:f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1-</m:t>
              </m:r>
              <m:sSub>
                <m:sSubPr>
                  <m:ctrl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w:rPr>
              <w:rFonts w:ascii="Times New Roman" w:eastAsia="Times New Roman" w:hAnsi="Times New Roman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sSubPr>
            <m:e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Times New Roman" w:eastAsia="Times New Roman" w:hAnsi="Times New Roman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sSubPr>
            <m:e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Times New Roman" w:eastAsia="Times New Roman" w:hAnsi="Times New Roman" w:cs="Times New Roman"/>
              <w:sz w:val="24"/>
              <w:szCs w:val="24"/>
            </w:rPr>
            <m:t>%EB</m:t>
          </m:r>
          <m:sSub>
            <m:sSub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sSubPr>
            <m:e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W</m:t>
              </m:r>
            </m:e>
            <m:sub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i,0</m:t>
              </m:r>
            </m:sub>
          </m:sSub>
          <m:r>
            <w:rPr>
              <w:rFonts w:ascii="Times New Roman" w:eastAsia="Times New Roman" w:hAnsi="Times New Roman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sSubPr>
            <m:e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Times New Roman" w:eastAsia="Times New Roman" w:hAnsi="Times New Roman" w:cs="Times New Roman"/>
              <w:sz w:val="24"/>
              <w:szCs w:val="24"/>
            </w:rPr>
            <m:t>Gai</m:t>
          </m:r>
          <m:sSub>
            <m:sSub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sSubPr>
            <m:e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n</m:t>
              </m:r>
            </m:e>
            <m:sub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i,n</m:t>
              </m:r>
            </m:sub>
          </m:sSub>
          <m:r>
            <w:rPr>
              <w:rFonts w:ascii="Times New Roman" w:eastAsia="Times New Roman" w:hAnsi="Times New Roman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sSubPr>
            <m:e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3</m:t>
              </m:r>
            </m:sub>
          </m:sSub>
          <m:r>
            <w:rPr>
              <w:rFonts w:ascii="Times New Roman" w:eastAsia="Times New Roman" w:hAnsi="Times New Roman" w:cs="Times New Roman"/>
              <w:sz w:val="24"/>
              <w:szCs w:val="24"/>
            </w:rPr>
            <m:t>(%EB</m:t>
          </m:r>
          <m:sSub>
            <m:sSub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sSubPr>
            <m:e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W</m:t>
              </m:r>
            </m:e>
            <m:sub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i,0</m:t>
              </m:r>
            </m:sub>
          </m:sSub>
          <m:r>
            <w:rPr>
              <w:rFonts w:ascii="Times New Roman" w:eastAsia="Times New Roman" w:hAnsi="Times New Roman" w:cs="Times New Roman"/>
              <w:sz w:val="24"/>
              <w:szCs w:val="24"/>
            </w:rPr>
            <m:t>×Gai</m:t>
          </m:r>
          <m:sSub>
            <m:sSub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sSubPr>
            <m:e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n</m:t>
              </m:r>
            </m:e>
            <m:sub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>i,n</m:t>
              </m:r>
            </m:sub>
          </m:sSub>
          <m:r>
            <w:rPr>
              <w:rFonts w:ascii="Times New Roman" w:eastAsia="Times New Roman" w:hAnsi="Times New Roman" w:cs="Times New Roman"/>
              <w:sz w:val="24"/>
              <w:szCs w:val="24"/>
            </w:rPr>
            <m:t>)</m:t>
          </m:r>
        </m:oMath>
      </m:oMathPara>
    </w:p>
    <w:p w14:paraId="712CE1A4" w14:textId="77777777" w:rsidR="004C2F7B" w:rsidRDefault="00BD3C1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Where </w:t>
      </w:r>
      <m:oMath>
        <m:r>
          <w:rPr>
            <w:rFonts w:ascii="Times New Roman" w:eastAsia="Times New Roman" w:hAnsi="Times New Roman" w:cs="Times New Roman"/>
            <w:sz w:val="24"/>
            <w:szCs w:val="24"/>
          </w:rPr>
          <m:t>log</m:t>
        </m:r>
        <m:f>
          <m:fPr>
            <m:ctrlPr>
              <w:rPr>
                <w:rFonts w:ascii="Times New Roman" w:eastAsia="Times New Roman" w:hAnsi="Times New Roman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m:t>i</m:t>
                </m:r>
              </m:sub>
            </m:sSub>
          </m:num>
          <m:den>
            <m:r>
              <w:rPr>
                <w:rFonts w:ascii="Times New Roman" w:eastAsia="Times New Roman" w:hAnsi="Times New Roman" w:cs="Times New Roman"/>
                <w:sz w:val="24"/>
                <w:szCs w:val="24"/>
              </w:rPr>
              <m:t>1-</m:t>
            </m:r>
            <m:sSub>
              <m:sSubPr>
                <m:ctrlP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m:t>i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is the log odds that patient i will achieve 95% EBW by week 20, %EBW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i,0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the patient’s starting %EBW,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Gain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i,n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the weight gained by the patient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by week n. The estimated probabilities are formed by transforming the log odds into a probability</w:t>
      </w:r>
    </w:p>
    <w:p w14:paraId="61D94E02" w14:textId="77777777" w:rsidR="004C2F7B" w:rsidRDefault="00BD3C1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Times New Roman" w:eastAsia="Times New Roman" w:hAnsi="Times New Roman" w:cs="Times New Roman"/>
              <w:sz w:val="24"/>
              <w:szCs w:val="24"/>
            </w:rPr>
            <m:t xml:space="preserve">P = </m:t>
          </m:r>
          <m:f>
            <m:fPr>
              <m:ctrlPr>
                <w:rPr>
                  <w:rFonts w:ascii="Times New Roman" w:eastAsia="Times New Roman" w:hAnsi="Times New Roman" w:cs="Times New Roman"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%EB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i,0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Gai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i,n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(%EB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i,0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×Gai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i,n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)</m:t>
                  </m:r>
                </m:sup>
              </m:sSup>
            </m:num>
            <m:den>
              <m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m:t xml:space="preserve">1 + </m:t>
              </m:r>
              <m:sSup>
                <m:sSupPr>
                  <m:ctrl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%EB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i,0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Gai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i,n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(%EB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i,0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×Gai</m:t>
                  </m:r>
                  <m:sSub>
                    <m:sSubPr>
                      <m:ctrl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m:t>i,n</m:t>
                      </m:r>
                    </m:sub>
                  </m:sSub>
                  <m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m:t>)</m:t>
                  </m:r>
                </m:sup>
              </m:sSup>
            </m:den>
          </m:f>
        </m:oMath>
      </m:oMathPara>
    </w:p>
    <w:p w14:paraId="68927F1C" w14:textId="77777777" w:rsidR="004C2F7B" w:rsidRDefault="00BD3C1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coefficients we found for week 5 were 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=-37.5 (8.7), 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=42.1 (9.9), 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=3.2 (1.4), and 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=-3.2 (1.7). The worst of these series of models (week 1 AUC = 0.83 [0.76, 0.90]) still outperformed the best ROC model (week 5, AUC = 0.72 [0.63, 0.81]).</w:t>
      </w:r>
    </w:p>
    <w:p w14:paraId="572353F3" w14:textId="77777777" w:rsidR="004C2F7B" w:rsidRDefault="004C2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1680"/>
        <w:gridCol w:w="1185"/>
        <w:gridCol w:w="1215"/>
        <w:gridCol w:w="1230"/>
        <w:gridCol w:w="1215"/>
        <w:gridCol w:w="1065"/>
      </w:tblGrid>
      <w:tr w:rsidR="004C2F7B" w14:paraId="3A009954" w14:textId="77777777">
        <w:trPr>
          <w:trHeight w:val="101"/>
        </w:trPr>
        <w:tc>
          <w:tcPr>
            <w:tcW w:w="9255" w:type="dxa"/>
            <w:gridSpan w:val="7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87802" w14:textId="77777777" w:rsidR="004C2F7B" w:rsidRDefault="00BD3C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Table S2.1: Logistic Regression Model – Probability of Reaching 95% EBW in week 20 (P (SE))</w:t>
            </w:r>
          </w:p>
        </w:tc>
      </w:tr>
      <w:tr w:rsidR="004C2F7B" w14:paraId="1BC2ABBB" w14:textId="77777777">
        <w:tc>
          <w:tcPr>
            <w:tcW w:w="166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F2A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Weight Gained by Week</w:t>
            </w:r>
          </w:p>
        </w:tc>
        <w:tc>
          <w:tcPr>
            <w:tcW w:w="168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6B18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EBW at Admission</w:t>
            </w:r>
          </w:p>
        </w:tc>
        <w:tc>
          <w:tcPr>
            <w:tcW w:w="118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553E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pounds</w:t>
            </w:r>
          </w:p>
        </w:tc>
        <w:tc>
          <w:tcPr>
            <w:tcW w:w="121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F64F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pounds</w:t>
            </w:r>
          </w:p>
        </w:tc>
        <w:tc>
          <w:tcPr>
            <w:tcW w:w="123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E7C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pounds</w:t>
            </w:r>
          </w:p>
        </w:tc>
        <w:tc>
          <w:tcPr>
            <w:tcW w:w="121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81F1A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pounds</w:t>
            </w:r>
          </w:p>
        </w:tc>
        <w:tc>
          <w:tcPr>
            <w:tcW w:w="106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DD43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 pounds</w:t>
            </w:r>
          </w:p>
        </w:tc>
      </w:tr>
      <w:tr w:rsidR="004C2F7B" w14:paraId="1AB9EB2E" w14:textId="77777777">
        <w:trPr>
          <w:trHeight w:val="470"/>
        </w:trPr>
        <w:tc>
          <w:tcPr>
            <w:tcW w:w="16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2E5E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A6E8A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F70A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0.152 (0.07)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0E227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0.314 (0.11)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0A9D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0.539 (0.16)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0755F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0.749 (0.16)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3964D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0.884 (0.11)</w:t>
            </w:r>
          </w:p>
        </w:tc>
      </w:tr>
      <w:tr w:rsidR="004C2F7B" w14:paraId="30C65456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00A11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F1D8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C4E0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0.353 (0.08)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82B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0.535 (0.09)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84DBE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0.708 (0.09)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B52C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0.836 (0.08)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2A30F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0.915 (0.06)</w:t>
            </w:r>
          </w:p>
        </w:tc>
      </w:tr>
      <w:tr w:rsidR="004C2F7B" w14:paraId="71D42C0B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E3192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08F1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880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0.624 (0.07)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0F0A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0.743 (0.07)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8BE7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0.834 (0.06)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F87D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0.897 (0.05)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A1352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0.938 (0.04)</w:t>
            </w:r>
          </w:p>
        </w:tc>
      </w:tr>
      <w:tr w:rsidR="004C2F7B" w14:paraId="5F35BFC9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A9A7A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53D8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5F34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0.835 (0.05)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1D9A9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0.879 (0.05)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7E217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0.912 (0.05)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960F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0.937 (0.05)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926E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0.955 (0.04)</w:t>
            </w:r>
          </w:p>
        </w:tc>
      </w:tr>
      <w:tr w:rsidR="004C2F7B" w14:paraId="2FA554EA" w14:textId="77777777">
        <w:trPr>
          <w:trHeight w:val="440"/>
        </w:trPr>
        <w:tc>
          <w:tcPr>
            <w:tcW w:w="16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0B5C62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3F7B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1FDD8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0.064 (0.04)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4185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0.125 (0.06)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5B4E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0.229 (0.09)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9640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0.383 (0.13)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F01D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0.564 (0.16)</w:t>
            </w:r>
          </w:p>
        </w:tc>
      </w:tr>
      <w:tr w:rsidR="004C2F7B" w14:paraId="45F83E80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B7725E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666D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53B3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0.206 (0.07)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C873E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0.32 (0.08)  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D1117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0.46 (0.09)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588B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0.607 (0.09)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A4A1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0.737 (0.09)</w:t>
            </w:r>
          </w:p>
        </w:tc>
      </w:tr>
      <w:tr w:rsidR="004C2F7B" w14:paraId="5B416E9D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82838C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D83E7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9F9EE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0.496 (0.07)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DE1A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0.608 (0.07)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65F98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0.71 (0.07) 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DFD05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0.794 (0.07)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0888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0.859 (0.06)</w:t>
            </w:r>
          </w:p>
        </w:tc>
      </w:tr>
      <w:tr w:rsidR="004C2F7B" w14:paraId="6FE22DC9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3D6E40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78B2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230A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0.789 (0.06)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AD3D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0.837 (0.06)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2D6B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0.875 (0.06)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36D3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0.906 (0.05)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0B44F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0.93 (0.05) </w:t>
            </w:r>
          </w:p>
        </w:tc>
      </w:tr>
      <w:tr w:rsidR="004C2F7B" w14:paraId="73E7613C" w14:textId="77777777">
        <w:trPr>
          <w:trHeight w:val="440"/>
        </w:trPr>
        <w:tc>
          <w:tcPr>
            <w:tcW w:w="16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37839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7F47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9E67F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0.025 (0.02) 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C869A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0.054 (0.03)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4B46F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0.112 (0.06)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AF52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0.218 (0.1)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B58B8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0.379 (0.15)</w:t>
            </w:r>
          </w:p>
        </w:tc>
      </w:tr>
      <w:tr w:rsidR="004C2F7B" w14:paraId="52400DBF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8A2533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1C64E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181B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0.117 (0.05)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93797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0.199 (0.07)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6A96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0.318 (0.08)  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D662E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0.466 (0.1)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A82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0.62 (0.1) </w:t>
            </w:r>
          </w:p>
        </w:tc>
      </w:tr>
      <w:tr w:rsidR="004C2F7B" w14:paraId="641FBE79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C39B7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F1FD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42B7B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0.402 (0.07)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4DB0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0.518 (0.07)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2C6F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0.631 (0.07)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2F58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0.732 (0.07)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01F5B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0.814 (0.07)</w:t>
            </w:r>
          </w:p>
        </w:tc>
      </w:tr>
      <w:tr w:rsidR="004C2F7B" w14:paraId="71FD75E9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B0EAF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F2A89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FB73D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0.773 (0.06)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877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0.823 (0.06)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A8DB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0.863 (0.05)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B62C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0.896 (0.05)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0FBD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0.921 (0.05)</w:t>
            </w:r>
          </w:p>
        </w:tc>
      </w:tr>
      <w:tr w:rsidR="004C2F7B" w14:paraId="2037418F" w14:textId="77777777">
        <w:trPr>
          <w:trHeight w:val="440"/>
        </w:trPr>
        <w:tc>
          <w:tcPr>
            <w:tcW w:w="16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16AF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0B723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E5870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0.015 (0.01)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3864C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0.028 (0.02)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3F8A2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0.054 (0.03)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627C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0.102 (0.05)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00D32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0.183 (0.08)</w:t>
            </w:r>
          </w:p>
        </w:tc>
      </w:tr>
      <w:tr w:rsidR="004C2F7B" w14:paraId="1875EE41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AD150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C8CAF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DC5E8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0.08 (0.04) 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E25D5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0.131 (0.06)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E19F8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0.208 (0.07)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724C6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0.314 (0.08)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A861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0.444 (0.09)</w:t>
            </w:r>
          </w:p>
        </w:tc>
      </w:tr>
      <w:tr w:rsidR="004C2F7B" w14:paraId="225CFDA2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1F04D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CBF1F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CD98F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0.339 (0.07)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31FDC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0.44 (0.07) 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A1DC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0.547 (0.08) 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43F11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0.65 (0.08)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453BB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0.74 (0.08)</w:t>
            </w:r>
          </w:p>
        </w:tc>
      </w:tr>
      <w:tr w:rsidR="004C2F7B" w14:paraId="441FE3D1" w14:textId="77777777">
        <w:trPr>
          <w:trHeight w:val="440"/>
        </w:trPr>
        <w:tc>
          <w:tcPr>
            <w:tcW w:w="16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AFB61" w14:textId="77777777" w:rsidR="004C2F7B" w:rsidRDefault="004C2F7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A95AC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CD4BA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0.751 (0.06)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9DD54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0.803 (0.06) 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CBFCC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0.847 (0.06)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6DE9C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0.882 (0.05)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6D6EC" w14:textId="77777777" w:rsidR="004C2F7B" w:rsidRDefault="00BD3C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0.91 (0.05) </w:t>
            </w:r>
          </w:p>
        </w:tc>
      </w:tr>
    </w:tbl>
    <w:p w14:paraId="167398BA" w14:textId="77777777" w:rsidR="004C2F7B" w:rsidRDefault="004C2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B6DC34" w14:textId="77777777" w:rsidR="004C2F7B" w:rsidRDefault="004C2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2A9F6A" w14:textId="77777777" w:rsidR="004C2F7B" w:rsidRDefault="004C2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C2F7B" w:rsidSect="00BD3C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C1FB4" w14:textId="77777777" w:rsidR="006D2C85" w:rsidRDefault="006D2C85">
      <w:pPr>
        <w:spacing w:line="240" w:lineRule="auto"/>
      </w:pPr>
      <w:r>
        <w:separator/>
      </w:r>
    </w:p>
  </w:endnote>
  <w:endnote w:type="continuationSeparator" w:id="0">
    <w:p w14:paraId="39AAB5A6" w14:textId="77777777" w:rsidR="006D2C85" w:rsidRDefault="006D2C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564F0" w14:textId="77777777" w:rsidR="006D2C85" w:rsidRDefault="006D2C85">
      <w:pPr>
        <w:spacing w:line="240" w:lineRule="auto"/>
      </w:pPr>
      <w:r>
        <w:separator/>
      </w:r>
    </w:p>
  </w:footnote>
  <w:footnote w:type="continuationSeparator" w:id="0">
    <w:p w14:paraId="48CE1624" w14:textId="77777777" w:rsidR="006D2C85" w:rsidRDefault="006D2C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4BEC0" w14:textId="51DC0769" w:rsidR="004C2F7B" w:rsidRDefault="00BD3C10">
    <w:pPr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EARLY WEIGHT GAIN IN ARFID TREATMENT</w:t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 w:rsidR="00A56011">
      <w:rPr>
        <w:rFonts w:ascii="Times New Roman" w:eastAsia="Times New Roman" w:hAnsi="Times New Roman" w:cs="Times New Roman"/>
        <w:sz w:val="24"/>
        <w:szCs w:val="24"/>
      </w:rPr>
      <w:t xml:space="preserve">          </w:t>
    </w: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EA715C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42303" w14:textId="7786DE4E" w:rsidR="004C2F7B" w:rsidRDefault="00BD3C10" w:rsidP="00A56011">
    <w:r>
      <w:t>Running Head: EARLY WEIGHT GAIN IN ARFID TREATMENT</w:t>
    </w:r>
    <w:r w:rsidR="00A56011">
      <w:tab/>
    </w:r>
    <w:r w:rsidR="00A56011">
      <w:tab/>
    </w:r>
    <w:r w:rsidR="00A56011">
      <w:tab/>
    </w:r>
    <w:r w:rsidR="00A56011">
      <w:tab/>
      <w:t xml:space="preserve">         </w:t>
    </w:r>
    <w:r>
      <w:fldChar w:fldCharType="begin"/>
    </w:r>
    <w:r>
      <w:instrText>PAGE</w:instrText>
    </w:r>
    <w:r>
      <w:fldChar w:fldCharType="separate"/>
    </w:r>
    <w:r w:rsidR="00EA715C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F7B"/>
    <w:rsid w:val="004C2F7B"/>
    <w:rsid w:val="005E00CD"/>
    <w:rsid w:val="006D2C85"/>
    <w:rsid w:val="00A56011"/>
    <w:rsid w:val="00BD3C10"/>
    <w:rsid w:val="00EA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53854"/>
  <w15:docId w15:val="{B61617F3-88B8-0443-A6E0-4A478CE2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A56011"/>
  </w:style>
  <w:style w:type="paragraph" w:styleId="Header">
    <w:name w:val="header"/>
    <w:basedOn w:val="Normal"/>
    <w:link w:val="HeaderChar"/>
    <w:uiPriority w:val="99"/>
    <w:unhideWhenUsed/>
    <w:rsid w:val="00A5601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011"/>
  </w:style>
  <w:style w:type="paragraph" w:styleId="Footer">
    <w:name w:val="footer"/>
    <w:basedOn w:val="Normal"/>
    <w:link w:val="FooterChar"/>
    <w:uiPriority w:val="99"/>
    <w:unhideWhenUsed/>
    <w:rsid w:val="00A5601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Yamuna R.</cp:lastModifiedBy>
  <cp:revision>5</cp:revision>
  <dcterms:created xsi:type="dcterms:W3CDTF">2024-01-09T20:34:00Z</dcterms:created>
  <dcterms:modified xsi:type="dcterms:W3CDTF">2024-01-23T06:08:00Z</dcterms:modified>
</cp:coreProperties>
</file>