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0D5EE" w14:textId="4F3B9CFC" w:rsidR="339F3C98" w:rsidRDefault="339F3C98" w:rsidP="006F2D8B">
      <w:pPr>
        <w:spacing w:line="480" w:lineRule="auto"/>
        <w:rPr>
          <w:rFonts w:eastAsiaTheme="minorEastAsia"/>
        </w:rPr>
      </w:pPr>
    </w:p>
    <w:p w14:paraId="4699A773" w14:textId="63E893AE" w:rsidR="07C7638B" w:rsidRPr="006F2D8B" w:rsidRDefault="00602925" w:rsidP="006F2D8B">
      <w:pPr>
        <w:jc w:val="center"/>
      </w:pPr>
      <w:r>
        <w:rPr>
          <w:rFonts w:eastAsiaTheme="minorEastAsia"/>
          <w:b/>
          <w:bCs/>
          <w:color w:val="222222"/>
        </w:rPr>
        <w:t>Supplementary Material</w:t>
      </w:r>
      <w:r w:rsidR="00B5555F">
        <w:rPr>
          <w:rFonts w:eastAsiaTheme="minorEastAsia"/>
          <w:b/>
          <w:bCs/>
          <w:color w:val="222222"/>
        </w:rPr>
        <w:t>s</w:t>
      </w:r>
    </w:p>
    <w:p w14:paraId="504845D7" w14:textId="69C7FF1B" w:rsidR="4520FBC1" w:rsidRDefault="339F3C98" w:rsidP="339F3C98">
      <w:pPr>
        <w:spacing w:line="480" w:lineRule="auto"/>
        <w:rPr>
          <w:rFonts w:eastAsiaTheme="minorEastAsia"/>
          <w:b/>
          <w:bCs/>
          <w:color w:val="222222"/>
        </w:rPr>
      </w:pPr>
      <w:r w:rsidRPr="339F3C98">
        <w:rPr>
          <w:rFonts w:eastAsiaTheme="minorEastAsia"/>
          <w:b/>
          <w:bCs/>
          <w:color w:val="222222"/>
        </w:rPr>
        <w:t>S</w:t>
      </w:r>
      <w:r w:rsidR="00602925">
        <w:rPr>
          <w:rFonts w:eastAsiaTheme="minorEastAsia"/>
          <w:b/>
          <w:bCs/>
          <w:color w:val="222222"/>
        </w:rPr>
        <w:t>M</w:t>
      </w:r>
      <w:r w:rsidRPr="339F3C98">
        <w:rPr>
          <w:rFonts w:eastAsiaTheme="minorEastAsia"/>
          <w:b/>
          <w:bCs/>
          <w:color w:val="222222"/>
        </w:rPr>
        <w:t>.1 TWS Calculation</w:t>
      </w:r>
    </w:p>
    <w:p w14:paraId="4218F620" w14:textId="4F597436" w:rsidR="4520FBC1" w:rsidRDefault="339F3C98" w:rsidP="339F3C98">
      <w:pPr>
        <w:spacing w:line="480" w:lineRule="auto"/>
        <w:ind w:firstLine="720"/>
        <w:rPr>
          <w:rFonts w:eastAsiaTheme="minorEastAsia"/>
          <w:color w:val="000000" w:themeColor="text1"/>
        </w:rPr>
      </w:pPr>
      <w:r w:rsidRPr="339F3C98">
        <w:rPr>
          <w:rFonts w:eastAsiaTheme="minorEastAsia"/>
          <w:color w:val="000000" w:themeColor="text1"/>
        </w:rPr>
        <w:t xml:space="preserve">TWS was calculated by subtracting an individual’s current (i.e., admission) weight from their self-reported highest past weight. Of 703 individuals eligible for TWS analyses, there were </w:t>
      </w:r>
      <w:proofErr w:type="gramStart"/>
      <w:r w:rsidRPr="339F3C98">
        <w:rPr>
          <w:rFonts w:eastAsiaTheme="minorEastAsia"/>
          <w:color w:val="000000" w:themeColor="text1"/>
        </w:rPr>
        <w:t>100</w:t>
      </w:r>
      <w:proofErr w:type="gramEnd"/>
      <w:r w:rsidRPr="339F3C98">
        <w:rPr>
          <w:rFonts w:eastAsiaTheme="minorEastAsia"/>
          <w:color w:val="000000" w:themeColor="text1"/>
        </w:rPr>
        <w:t xml:space="preserve"> cases of “negative WS,” wherein current weights were greater than reported highest past weights. In these cases, self-reported highest weight was replaced with current weight. While the average discrepancy was only 1.2 </w:t>
      </w:r>
      <w:proofErr w:type="spellStart"/>
      <w:r w:rsidRPr="339F3C98">
        <w:rPr>
          <w:rFonts w:eastAsiaTheme="minorEastAsia"/>
          <w:color w:val="000000" w:themeColor="text1"/>
        </w:rPr>
        <w:t>lb</w:t>
      </w:r>
      <w:proofErr w:type="spellEnd"/>
      <w:r w:rsidRPr="339F3C98">
        <w:rPr>
          <w:rFonts w:eastAsiaTheme="minorEastAsia"/>
          <w:color w:val="000000" w:themeColor="text1"/>
        </w:rPr>
        <w:t xml:space="preserve"> (</w:t>
      </w:r>
      <w:r w:rsidRPr="339F3C98">
        <w:rPr>
          <w:rFonts w:eastAsiaTheme="minorEastAsia"/>
          <w:i/>
          <w:iCs/>
          <w:color w:val="000000" w:themeColor="text1"/>
        </w:rPr>
        <w:t>SD</w:t>
      </w:r>
      <w:r w:rsidRPr="339F3C98">
        <w:rPr>
          <w:rFonts w:eastAsiaTheme="minorEastAsia"/>
          <w:color w:val="000000" w:themeColor="text1"/>
        </w:rPr>
        <w:t xml:space="preserve"> = 6.5), suggesting small differences in rounding or normal weight fluctuations, the largest discrepancy was 94.2 lb.</w:t>
      </w:r>
    </w:p>
    <w:p w14:paraId="450D47FC" w14:textId="6FF14099" w:rsidR="4520FBC1" w:rsidRDefault="58F614D5" w:rsidP="58F614D5">
      <w:pPr>
        <w:spacing w:line="480" w:lineRule="auto"/>
        <w:ind w:firstLine="720"/>
        <w:rPr>
          <w:rFonts w:eastAsiaTheme="minorEastAsia"/>
          <w:color w:val="000000" w:themeColor="text1"/>
        </w:rPr>
      </w:pPr>
      <w:r w:rsidRPr="58F614D5">
        <w:rPr>
          <w:rFonts w:eastAsiaTheme="minorEastAsia"/>
          <w:color w:val="000000" w:themeColor="text1"/>
        </w:rPr>
        <w:t>After calculating TWS, a tertile split was used to derive low and high groups. This method was deemed appropriate based on prior findings by Lowe et al. (2011) in their sample with BN, which suggested that TWS levels in their bottom tertile of patients were indeed low, comparable to those found in individuals without EDs. Hereafter, the “TWS sample” will refer to those individuals captured within either the low or high tertile group according to TWS. Of note, because different variables were required for the respective calculations for TWS and DWS, sample sizes differed slightly. Furthermore, the resulting samples did not include all of the same participants. This non-overlap was largely due to individuals being categorized into either the low or high tertile according to one formulation, but the middle tertile according to the other.</w:t>
      </w:r>
    </w:p>
    <w:p w14:paraId="66A08923" w14:textId="22327220" w:rsidR="6D5C381B" w:rsidRDefault="6D5C381B">
      <w:r>
        <w:br w:type="page"/>
      </w:r>
    </w:p>
    <w:p w14:paraId="3E60A048" w14:textId="6D0366C3" w:rsidR="4520FBC1" w:rsidRDefault="339F3C98" w:rsidP="339F3C98">
      <w:pPr>
        <w:spacing w:line="480" w:lineRule="auto"/>
        <w:rPr>
          <w:rFonts w:eastAsiaTheme="minorEastAsia"/>
          <w:b/>
          <w:bCs/>
          <w:color w:val="000000" w:themeColor="text1"/>
        </w:rPr>
      </w:pPr>
      <w:r w:rsidRPr="339F3C98">
        <w:rPr>
          <w:rFonts w:eastAsiaTheme="minorEastAsia"/>
          <w:b/>
          <w:bCs/>
          <w:color w:val="000000" w:themeColor="text1"/>
        </w:rPr>
        <w:lastRenderedPageBreak/>
        <w:t>S</w:t>
      </w:r>
      <w:r w:rsidR="00602925">
        <w:rPr>
          <w:rFonts w:eastAsiaTheme="minorEastAsia"/>
          <w:b/>
          <w:bCs/>
          <w:color w:val="000000" w:themeColor="text1"/>
        </w:rPr>
        <w:t>M</w:t>
      </w:r>
      <w:r w:rsidRPr="339F3C98">
        <w:rPr>
          <w:rFonts w:eastAsiaTheme="minorEastAsia"/>
          <w:b/>
          <w:bCs/>
          <w:color w:val="000000" w:themeColor="text1"/>
        </w:rPr>
        <w:t>.2 Analytic Plan Using TWS</w:t>
      </w:r>
    </w:p>
    <w:p w14:paraId="157137C3" w14:textId="1910178D" w:rsidR="4520FBC1" w:rsidRDefault="6D5C381B" w:rsidP="339F3C98">
      <w:pPr>
        <w:spacing w:line="480" w:lineRule="auto"/>
        <w:ind w:firstLine="720"/>
        <w:rPr>
          <w:rFonts w:eastAsiaTheme="minorEastAsia"/>
          <w:b/>
          <w:bCs/>
          <w:color w:val="000000" w:themeColor="text1"/>
        </w:rPr>
      </w:pPr>
      <w:r w:rsidRPr="6D5C381B">
        <w:rPr>
          <w:rFonts w:eastAsiaTheme="minorEastAsia"/>
          <w:color w:val="000000" w:themeColor="text1"/>
        </w:rPr>
        <w:t xml:space="preserve">Mixed-model ANOVAs were used to assess differences in weight history between low and high WS groups. All four TWS weight history variables (i.e., premorbid high weight, postmorbid low weight, postmorbid high weight, and admission weight) were </w:t>
      </w:r>
      <w:proofErr w:type="spellStart"/>
      <w:r w:rsidRPr="6D5C381B">
        <w:rPr>
          <w:rFonts w:eastAsiaTheme="minorEastAsia"/>
          <w:color w:val="000000" w:themeColor="text1"/>
        </w:rPr>
        <w:t>winsorized</w:t>
      </w:r>
      <w:proofErr w:type="spellEnd"/>
      <w:r w:rsidRPr="6D5C381B">
        <w:rPr>
          <w:rFonts w:eastAsiaTheme="minorEastAsia"/>
          <w:color w:val="000000" w:themeColor="text1"/>
        </w:rPr>
        <w:t xml:space="preserve"> to the 95</w:t>
      </w:r>
      <w:r w:rsidRPr="6D5C381B">
        <w:rPr>
          <w:rFonts w:eastAsiaTheme="minorEastAsia"/>
          <w:color w:val="000000" w:themeColor="text1"/>
          <w:vertAlign w:val="superscript"/>
        </w:rPr>
        <w:t>th</w:t>
      </w:r>
      <w:r w:rsidRPr="6D5C381B">
        <w:rPr>
          <w:rFonts w:eastAsiaTheme="minorEastAsia"/>
          <w:color w:val="000000" w:themeColor="text1"/>
        </w:rPr>
        <w:t xml:space="preserve"> percentile to address extreme outliers. Acceptable normality, skewness, and kurtosis were then confirmed for each variable. The assumption of sphericity was tested through Mauchly’s W and found to be violated (</w:t>
      </w:r>
      <w:r w:rsidRPr="6D5C381B">
        <w:rPr>
          <w:rFonts w:eastAsiaTheme="minorEastAsia"/>
          <w:i/>
          <w:iCs/>
          <w:color w:val="000000" w:themeColor="text1"/>
        </w:rPr>
        <w:t>p</w:t>
      </w:r>
      <w:r w:rsidRPr="6D5C381B">
        <w:rPr>
          <w:rFonts w:eastAsiaTheme="minorEastAsia"/>
          <w:color w:val="000000" w:themeColor="text1"/>
        </w:rPr>
        <w:t xml:space="preserve"> &lt; .001); therefore, our final results are reported with the Greenhouse-</w:t>
      </w:r>
      <w:proofErr w:type="spellStart"/>
      <w:r w:rsidRPr="6D5C381B">
        <w:rPr>
          <w:rFonts w:eastAsiaTheme="minorEastAsia"/>
          <w:color w:val="000000" w:themeColor="text1"/>
        </w:rPr>
        <w:t>Geisser</w:t>
      </w:r>
      <w:proofErr w:type="spellEnd"/>
      <w:r w:rsidRPr="6D5C381B">
        <w:rPr>
          <w:rFonts w:eastAsiaTheme="minorEastAsia"/>
          <w:color w:val="000000" w:themeColor="text1"/>
        </w:rPr>
        <w:t xml:space="preserve"> correction. Finally, Bonferroni post-hoc tests were conducted to probe for the source(s) of significant interactions.</w:t>
      </w:r>
    </w:p>
    <w:p w14:paraId="63085B0F" w14:textId="60514085" w:rsidR="6D5C381B" w:rsidRDefault="6D5C381B">
      <w:r>
        <w:br w:type="page"/>
      </w:r>
    </w:p>
    <w:p w14:paraId="10798E86" w14:textId="132E77B0" w:rsidR="4520FBC1" w:rsidRDefault="339F3C98" w:rsidP="339F3C98">
      <w:pPr>
        <w:spacing w:line="480" w:lineRule="auto"/>
        <w:rPr>
          <w:rFonts w:eastAsiaTheme="minorEastAsia"/>
          <w:color w:val="000000" w:themeColor="text1"/>
        </w:rPr>
      </w:pPr>
      <w:r w:rsidRPr="339F3C98">
        <w:rPr>
          <w:rFonts w:eastAsiaTheme="minorEastAsia"/>
          <w:b/>
          <w:bCs/>
          <w:color w:val="000000" w:themeColor="text1"/>
        </w:rPr>
        <w:lastRenderedPageBreak/>
        <w:t>S</w:t>
      </w:r>
      <w:r w:rsidR="00602925">
        <w:rPr>
          <w:rFonts w:eastAsiaTheme="minorEastAsia"/>
          <w:b/>
          <w:bCs/>
          <w:color w:val="000000" w:themeColor="text1"/>
        </w:rPr>
        <w:t>M</w:t>
      </w:r>
      <w:r w:rsidRPr="339F3C98">
        <w:rPr>
          <w:rFonts w:eastAsiaTheme="minorEastAsia"/>
          <w:b/>
          <w:bCs/>
          <w:color w:val="000000" w:themeColor="text1"/>
        </w:rPr>
        <w:t>.3 TWS Sample Characteristics</w:t>
      </w:r>
    </w:p>
    <w:p w14:paraId="77AA5C51" w14:textId="250225DF" w:rsidR="4520FBC1" w:rsidRDefault="339F3C98" w:rsidP="339F3C98">
      <w:pPr>
        <w:spacing w:line="480" w:lineRule="auto"/>
        <w:ind w:firstLine="720"/>
        <w:rPr>
          <w:rFonts w:eastAsiaTheme="minorEastAsia"/>
          <w:b/>
          <w:bCs/>
          <w:color w:val="000000" w:themeColor="text1"/>
        </w:rPr>
      </w:pPr>
      <w:r w:rsidRPr="339F3C98">
        <w:rPr>
          <w:rFonts w:eastAsiaTheme="minorEastAsia"/>
          <w:color w:val="000000" w:themeColor="text1"/>
        </w:rPr>
        <w:t xml:space="preserve">Table S1 shows participant characteristics for the TWS sample. Most participants (78.6%) were White. On average, participants presented to the clinic as adults (mean age of 25.3 years) and reported experiencing their first ED sign as adolescents (mean age of 14.6 years). Comparing low and high tertile groups on demographic variables resulted in significant differences among the TWS sample. Specifically, the low TWS group was found to present to treatment at an earlier age (23.4 years vs. 27.2 years), </w:t>
      </w:r>
      <w:r w:rsidRPr="339F3C98">
        <w:rPr>
          <w:rFonts w:eastAsiaTheme="minorEastAsia"/>
          <w:i/>
          <w:iCs/>
          <w:color w:val="000000" w:themeColor="text1"/>
        </w:rPr>
        <w:t>t</w:t>
      </w:r>
      <w:r w:rsidRPr="339F3C98">
        <w:rPr>
          <w:rFonts w:eastAsiaTheme="minorEastAsia"/>
          <w:color w:val="000000" w:themeColor="text1"/>
        </w:rPr>
        <w:t xml:space="preserve">(447.6) = -4.24, </w:t>
      </w:r>
      <w:r w:rsidRPr="339F3C98">
        <w:rPr>
          <w:rFonts w:eastAsiaTheme="minorEastAsia"/>
          <w:i/>
          <w:iCs/>
          <w:color w:val="000000" w:themeColor="text1"/>
        </w:rPr>
        <w:t>p</w:t>
      </w:r>
      <w:r w:rsidRPr="339F3C98">
        <w:rPr>
          <w:rFonts w:eastAsiaTheme="minorEastAsia"/>
          <w:color w:val="000000" w:themeColor="text1"/>
        </w:rPr>
        <w:t xml:space="preserve"> &lt; .001, and have a shorter length of stay (27.3 days vs. 29.8 days), </w:t>
      </w:r>
      <w:r w:rsidRPr="339F3C98">
        <w:rPr>
          <w:rFonts w:eastAsiaTheme="minorEastAsia"/>
          <w:i/>
          <w:iCs/>
          <w:color w:val="000000" w:themeColor="text1"/>
        </w:rPr>
        <w:t>t</w:t>
      </w:r>
      <w:r w:rsidRPr="339F3C98">
        <w:rPr>
          <w:rFonts w:eastAsiaTheme="minorEastAsia"/>
          <w:color w:val="000000" w:themeColor="text1"/>
        </w:rPr>
        <w:t xml:space="preserve">(464) = -2.25, </w:t>
      </w:r>
      <w:r w:rsidRPr="339F3C98">
        <w:rPr>
          <w:rFonts w:eastAsiaTheme="minorEastAsia"/>
          <w:i/>
          <w:iCs/>
          <w:color w:val="000000" w:themeColor="text1"/>
        </w:rPr>
        <w:t>p</w:t>
      </w:r>
      <w:r w:rsidRPr="339F3C98">
        <w:rPr>
          <w:rFonts w:eastAsiaTheme="minorEastAsia"/>
          <w:color w:val="000000" w:themeColor="text1"/>
        </w:rPr>
        <w:t xml:space="preserve"> = .025, than the high TWS group. No significant differences were found on age of symptom onset between the low and high TWS groups (</w:t>
      </w:r>
      <w:r w:rsidRPr="339F3C98">
        <w:rPr>
          <w:rFonts w:eastAsiaTheme="minorEastAsia"/>
          <w:i/>
          <w:iCs/>
          <w:color w:val="000000" w:themeColor="text1"/>
        </w:rPr>
        <w:t>p</w:t>
      </w:r>
      <w:r w:rsidRPr="339F3C98">
        <w:rPr>
          <w:rFonts w:eastAsiaTheme="minorEastAsia"/>
          <w:color w:val="000000" w:themeColor="text1"/>
        </w:rPr>
        <w:t xml:space="preserve"> = .20).</w:t>
      </w:r>
    </w:p>
    <w:p w14:paraId="03B7E865" w14:textId="767D7903" w:rsidR="4520FBC1" w:rsidRDefault="339F3C98" w:rsidP="339F3C98">
      <w:pPr>
        <w:spacing w:line="480" w:lineRule="auto"/>
        <w:rPr>
          <w:rFonts w:eastAsiaTheme="minorEastAsia"/>
          <w:b/>
          <w:bCs/>
          <w:color w:val="000000" w:themeColor="text1"/>
        </w:rPr>
      </w:pPr>
      <w:r w:rsidRPr="339F3C98">
        <w:rPr>
          <w:rFonts w:eastAsiaTheme="minorEastAsia"/>
          <w:b/>
          <w:bCs/>
          <w:color w:val="000000" w:themeColor="text1"/>
        </w:rPr>
        <w:t>Table S1</w:t>
      </w:r>
    </w:p>
    <w:p w14:paraId="1E3564C4" w14:textId="12A56500" w:rsidR="4520FBC1" w:rsidRDefault="339F3C98" w:rsidP="339F3C98">
      <w:pPr>
        <w:rPr>
          <w:rFonts w:eastAsiaTheme="minorEastAsia"/>
          <w:i/>
          <w:iCs/>
          <w:color w:val="000000" w:themeColor="text1"/>
        </w:rPr>
      </w:pPr>
      <w:r w:rsidRPr="339F3C98">
        <w:rPr>
          <w:rFonts w:eastAsiaTheme="minorEastAsia"/>
          <w:i/>
          <w:iCs/>
          <w:color w:val="000000" w:themeColor="text1"/>
        </w:rPr>
        <w:t>Participant characteristics for the TWS sample</w:t>
      </w:r>
    </w:p>
    <w:tbl>
      <w:tblPr>
        <w:tblStyle w:val="PlainTable1"/>
        <w:tblW w:w="7515"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300"/>
        <w:gridCol w:w="870"/>
        <w:gridCol w:w="885"/>
        <w:gridCol w:w="1035"/>
        <w:gridCol w:w="1425"/>
      </w:tblGrid>
      <w:tr w:rsidR="4520FBC1" w14:paraId="496ECF05" w14:textId="77777777" w:rsidTr="00E6478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0" w:type="dxa"/>
          </w:tcPr>
          <w:p w14:paraId="5EC25A5F" w14:textId="2F198702" w:rsidR="4520FBC1" w:rsidRDefault="4520FBC1" w:rsidP="339F3C98">
            <w:pPr>
              <w:rPr>
                <w:rFonts w:eastAsiaTheme="minorEastAsia"/>
              </w:rPr>
            </w:pPr>
          </w:p>
        </w:tc>
        <w:tc>
          <w:tcPr>
            <w:tcW w:w="4215" w:type="dxa"/>
            <w:gridSpan w:val="4"/>
          </w:tcPr>
          <w:p w14:paraId="7048BEC8" w14:textId="6D25C8EB" w:rsidR="4520FBC1"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TWS</w:t>
            </w:r>
          </w:p>
        </w:tc>
      </w:tr>
      <w:tr w:rsidR="4520FBC1" w14:paraId="4C7904B0"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1740E66E" w14:textId="04091C51" w:rsidR="4520FBC1" w:rsidRDefault="4520FBC1" w:rsidP="339F3C98">
            <w:pPr>
              <w:rPr>
                <w:rFonts w:eastAsiaTheme="minorEastAsia"/>
              </w:rPr>
            </w:pPr>
          </w:p>
        </w:tc>
        <w:tc>
          <w:tcPr>
            <w:tcW w:w="870" w:type="dxa"/>
          </w:tcPr>
          <w:p w14:paraId="04ED875E" w14:textId="022872F7"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i/>
                <w:iCs/>
              </w:rPr>
              <w:t>n</w:t>
            </w:r>
          </w:p>
        </w:tc>
        <w:tc>
          <w:tcPr>
            <w:tcW w:w="885" w:type="dxa"/>
          </w:tcPr>
          <w:p w14:paraId="3F267423" w14:textId="2D0AE4F0"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Min</w:t>
            </w:r>
          </w:p>
        </w:tc>
        <w:tc>
          <w:tcPr>
            <w:tcW w:w="1035" w:type="dxa"/>
          </w:tcPr>
          <w:p w14:paraId="680B7043" w14:textId="01A5648E"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Max</w:t>
            </w:r>
          </w:p>
        </w:tc>
        <w:tc>
          <w:tcPr>
            <w:tcW w:w="1425" w:type="dxa"/>
          </w:tcPr>
          <w:p w14:paraId="31E8F4EE" w14:textId="6DC392F3"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i/>
                <w:iCs/>
              </w:rPr>
              <w:t>M</w:t>
            </w:r>
            <w:r w:rsidRPr="339F3C98">
              <w:rPr>
                <w:rFonts w:eastAsiaTheme="minorEastAsia"/>
              </w:rPr>
              <w:t xml:space="preserve"> (</w:t>
            </w:r>
            <w:r w:rsidRPr="339F3C98">
              <w:rPr>
                <w:rFonts w:eastAsiaTheme="minorEastAsia"/>
                <w:i/>
                <w:iCs/>
              </w:rPr>
              <w:t>SD</w:t>
            </w:r>
            <w:r w:rsidRPr="339F3C98">
              <w:rPr>
                <w:rFonts w:eastAsiaTheme="minorEastAsia"/>
              </w:rPr>
              <w:t>)</w:t>
            </w:r>
          </w:p>
        </w:tc>
      </w:tr>
      <w:tr w:rsidR="4520FBC1" w14:paraId="550BF17A"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528DBFA7" w14:textId="4C93045E" w:rsidR="4520FBC1" w:rsidRDefault="339F3C98" w:rsidP="339F3C98">
            <w:pPr>
              <w:rPr>
                <w:rFonts w:eastAsiaTheme="minorEastAsia"/>
              </w:rPr>
            </w:pPr>
            <w:r w:rsidRPr="339F3C98">
              <w:rPr>
                <w:rFonts w:eastAsiaTheme="minorEastAsia"/>
                <w:b w:val="0"/>
                <w:bCs w:val="0"/>
                <w:i/>
                <w:iCs/>
              </w:rPr>
              <w:t>Age at admission</w:t>
            </w:r>
          </w:p>
        </w:tc>
        <w:tc>
          <w:tcPr>
            <w:tcW w:w="870" w:type="dxa"/>
          </w:tcPr>
          <w:p w14:paraId="0F985FC3" w14:textId="5FF784CB"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467</w:t>
            </w:r>
          </w:p>
        </w:tc>
        <w:tc>
          <w:tcPr>
            <w:tcW w:w="885" w:type="dxa"/>
          </w:tcPr>
          <w:p w14:paraId="085AE25E" w14:textId="6F275F73"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14</w:t>
            </w:r>
          </w:p>
        </w:tc>
        <w:tc>
          <w:tcPr>
            <w:tcW w:w="1035" w:type="dxa"/>
          </w:tcPr>
          <w:p w14:paraId="0CEDFF35" w14:textId="4AE4B8A6"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61</w:t>
            </w:r>
          </w:p>
        </w:tc>
        <w:tc>
          <w:tcPr>
            <w:tcW w:w="1425" w:type="dxa"/>
          </w:tcPr>
          <w:p w14:paraId="499D12DE" w14:textId="7FB61ECD"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25.3 (9.9)</w:t>
            </w:r>
          </w:p>
        </w:tc>
      </w:tr>
      <w:tr w:rsidR="4520FBC1" w14:paraId="5A5295F8"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6E546489" w14:textId="15F7B3B6" w:rsidR="4520FBC1" w:rsidRDefault="339F3C98" w:rsidP="339F3C98">
            <w:pPr>
              <w:rPr>
                <w:rFonts w:eastAsiaTheme="minorEastAsia"/>
              </w:rPr>
            </w:pPr>
            <w:r w:rsidRPr="339F3C98">
              <w:rPr>
                <w:rFonts w:eastAsiaTheme="minorEastAsia"/>
                <w:b w:val="0"/>
                <w:bCs w:val="0"/>
                <w:i/>
                <w:iCs/>
              </w:rPr>
              <w:t>Treatment length of stay, in days</w:t>
            </w:r>
          </w:p>
        </w:tc>
        <w:tc>
          <w:tcPr>
            <w:tcW w:w="870" w:type="dxa"/>
          </w:tcPr>
          <w:p w14:paraId="056A9844" w14:textId="742B394A"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466</w:t>
            </w:r>
          </w:p>
        </w:tc>
        <w:tc>
          <w:tcPr>
            <w:tcW w:w="885" w:type="dxa"/>
          </w:tcPr>
          <w:p w14:paraId="084C182B" w14:textId="3DB02F3E"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2</w:t>
            </w:r>
          </w:p>
        </w:tc>
        <w:tc>
          <w:tcPr>
            <w:tcW w:w="1035" w:type="dxa"/>
          </w:tcPr>
          <w:p w14:paraId="16362ECD" w14:textId="36F495FD"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99</w:t>
            </w:r>
          </w:p>
        </w:tc>
        <w:tc>
          <w:tcPr>
            <w:tcW w:w="1425" w:type="dxa"/>
          </w:tcPr>
          <w:p w14:paraId="13D428E3" w14:textId="64359C5B"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28.6 (11.6)</w:t>
            </w:r>
          </w:p>
        </w:tc>
      </w:tr>
      <w:tr w:rsidR="4520FBC1" w14:paraId="1332E647"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12D319BA" w14:textId="5DBD579C" w:rsidR="4520FBC1" w:rsidRDefault="339F3C98" w:rsidP="339F3C98">
            <w:pPr>
              <w:rPr>
                <w:rFonts w:eastAsiaTheme="minorEastAsia"/>
              </w:rPr>
            </w:pPr>
            <w:r w:rsidRPr="339F3C98">
              <w:rPr>
                <w:rFonts w:eastAsiaTheme="minorEastAsia"/>
                <w:b w:val="0"/>
                <w:bCs w:val="0"/>
                <w:i/>
                <w:iCs/>
              </w:rPr>
              <w:t>Age of symptom onset</w:t>
            </w:r>
          </w:p>
        </w:tc>
        <w:tc>
          <w:tcPr>
            <w:tcW w:w="870" w:type="dxa"/>
          </w:tcPr>
          <w:p w14:paraId="686ACED8" w14:textId="6320014E"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467</w:t>
            </w:r>
          </w:p>
        </w:tc>
        <w:tc>
          <w:tcPr>
            <w:tcW w:w="885" w:type="dxa"/>
          </w:tcPr>
          <w:p w14:paraId="70E35017" w14:textId="0B469D6C"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4</w:t>
            </w:r>
          </w:p>
        </w:tc>
        <w:tc>
          <w:tcPr>
            <w:tcW w:w="1035" w:type="dxa"/>
          </w:tcPr>
          <w:p w14:paraId="3B89EEAE" w14:textId="77631598"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38</w:t>
            </w:r>
          </w:p>
        </w:tc>
        <w:tc>
          <w:tcPr>
            <w:tcW w:w="1425" w:type="dxa"/>
          </w:tcPr>
          <w:p w14:paraId="50550FA9" w14:textId="4E672C7A"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14.6 (4.3)</w:t>
            </w:r>
          </w:p>
        </w:tc>
      </w:tr>
      <w:tr w:rsidR="4520FBC1" w14:paraId="2B27A394"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7515" w:type="dxa"/>
            <w:gridSpan w:val="5"/>
          </w:tcPr>
          <w:p w14:paraId="27A6796C" w14:textId="3822B5F5" w:rsidR="4520FBC1" w:rsidRDefault="4520FBC1" w:rsidP="339F3C98">
            <w:pPr>
              <w:jc w:val="center"/>
              <w:rPr>
                <w:rFonts w:eastAsiaTheme="minorEastAsia"/>
              </w:rPr>
            </w:pPr>
          </w:p>
        </w:tc>
      </w:tr>
      <w:tr w:rsidR="4520FBC1" w14:paraId="2E252020"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4B1B3595" w14:textId="2C00419C" w:rsidR="4520FBC1" w:rsidRDefault="339F3C98" w:rsidP="339F3C98">
            <w:pPr>
              <w:rPr>
                <w:rFonts w:eastAsiaTheme="minorEastAsia"/>
              </w:rPr>
            </w:pPr>
            <w:r w:rsidRPr="339F3C98">
              <w:rPr>
                <w:rFonts w:eastAsiaTheme="minorEastAsia"/>
                <w:b w:val="0"/>
                <w:bCs w:val="0"/>
                <w:i/>
                <w:iCs/>
              </w:rPr>
              <w:t>Ethnicity</w:t>
            </w:r>
          </w:p>
        </w:tc>
        <w:tc>
          <w:tcPr>
            <w:tcW w:w="4215" w:type="dxa"/>
            <w:gridSpan w:val="4"/>
          </w:tcPr>
          <w:p w14:paraId="29302092" w14:textId="5EC7E9CA"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i/>
                <w:iCs/>
                <w:color w:val="000000" w:themeColor="text1"/>
              </w:rPr>
              <w:t xml:space="preserve">n </w:t>
            </w:r>
            <w:r w:rsidRPr="339F3C98">
              <w:rPr>
                <w:rFonts w:eastAsiaTheme="minorEastAsia"/>
                <w:color w:val="000000" w:themeColor="text1"/>
              </w:rPr>
              <w:t>(%)</w:t>
            </w:r>
          </w:p>
        </w:tc>
      </w:tr>
      <w:tr w:rsidR="4520FBC1" w14:paraId="2E656FB0"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63F6D359" w14:textId="136D4D3B" w:rsidR="4520FBC1" w:rsidRDefault="6D5C381B" w:rsidP="339F3C98">
            <w:pPr>
              <w:rPr>
                <w:rFonts w:eastAsiaTheme="minorEastAsia"/>
              </w:rPr>
            </w:pPr>
            <w:r w:rsidRPr="6D5C381B">
              <w:rPr>
                <w:rFonts w:eastAsiaTheme="minorEastAsia"/>
                <w:b w:val="0"/>
                <w:bCs w:val="0"/>
              </w:rPr>
              <w:t xml:space="preserve">  White</w:t>
            </w:r>
          </w:p>
        </w:tc>
        <w:tc>
          <w:tcPr>
            <w:tcW w:w="4215" w:type="dxa"/>
            <w:gridSpan w:val="4"/>
          </w:tcPr>
          <w:p w14:paraId="1163EE7C" w14:textId="06D05B99"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367 (78.6)</w:t>
            </w:r>
          </w:p>
        </w:tc>
      </w:tr>
      <w:tr w:rsidR="4520FBC1" w14:paraId="7A457154"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23A7F6A3" w14:textId="47475CAC" w:rsidR="4520FBC1" w:rsidRDefault="6D5C381B" w:rsidP="339F3C98">
            <w:pPr>
              <w:rPr>
                <w:rFonts w:eastAsiaTheme="minorEastAsia"/>
              </w:rPr>
            </w:pPr>
            <w:r w:rsidRPr="6D5C381B">
              <w:rPr>
                <w:rFonts w:eastAsiaTheme="minorEastAsia"/>
                <w:b w:val="0"/>
                <w:bCs w:val="0"/>
              </w:rPr>
              <w:t xml:space="preserve">  African American</w:t>
            </w:r>
          </w:p>
        </w:tc>
        <w:tc>
          <w:tcPr>
            <w:tcW w:w="4215" w:type="dxa"/>
            <w:gridSpan w:val="4"/>
          </w:tcPr>
          <w:p w14:paraId="12C83967" w14:textId="231926BB"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11 (2.4)</w:t>
            </w:r>
          </w:p>
        </w:tc>
      </w:tr>
      <w:tr w:rsidR="4520FBC1" w14:paraId="4AD85CB5"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3A8B39A4" w14:textId="708B52EC" w:rsidR="4520FBC1" w:rsidRDefault="6D5C381B" w:rsidP="339F3C98">
            <w:pPr>
              <w:rPr>
                <w:rFonts w:eastAsiaTheme="minorEastAsia"/>
              </w:rPr>
            </w:pPr>
            <w:r w:rsidRPr="6D5C381B">
              <w:rPr>
                <w:rFonts w:eastAsiaTheme="minorEastAsia"/>
                <w:b w:val="0"/>
                <w:bCs w:val="0"/>
              </w:rPr>
              <w:t xml:space="preserve">  Asian or Pacific Islander</w:t>
            </w:r>
          </w:p>
        </w:tc>
        <w:tc>
          <w:tcPr>
            <w:tcW w:w="4215" w:type="dxa"/>
            <w:gridSpan w:val="4"/>
          </w:tcPr>
          <w:p w14:paraId="46EBB742" w14:textId="5279F754"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10 (2.1)</w:t>
            </w:r>
          </w:p>
        </w:tc>
      </w:tr>
      <w:tr w:rsidR="4520FBC1" w14:paraId="36084CE4"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3F54F890" w14:textId="5AF83877" w:rsidR="4520FBC1" w:rsidRDefault="6D5C381B" w:rsidP="339F3C98">
            <w:pPr>
              <w:rPr>
                <w:rFonts w:eastAsiaTheme="minorEastAsia"/>
              </w:rPr>
            </w:pPr>
            <w:r w:rsidRPr="6D5C381B">
              <w:rPr>
                <w:rFonts w:eastAsiaTheme="minorEastAsia"/>
                <w:b w:val="0"/>
                <w:bCs w:val="0"/>
              </w:rPr>
              <w:t xml:space="preserve">  Hispanic</w:t>
            </w:r>
          </w:p>
        </w:tc>
        <w:tc>
          <w:tcPr>
            <w:tcW w:w="4215" w:type="dxa"/>
            <w:gridSpan w:val="4"/>
          </w:tcPr>
          <w:p w14:paraId="35C4D7EA" w14:textId="53389FC9"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30 (6.4)</w:t>
            </w:r>
          </w:p>
        </w:tc>
      </w:tr>
      <w:tr w:rsidR="4520FBC1" w14:paraId="6A6B234E"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56488572" w14:textId="2C9370EE" w:rsidR="4520FBC1" w:rsidRDefault="6D5C381B" w:rsidP="339F3C98">
            <w:pPr>
              <w:rPr>
                <w:rFonts w:eastAsiaTheme="minorEastAsia"/>
              </w:rPr>
            </w:pPr>
            <w:r w:rsidRPr="6D5C381B">
              <w:rPr>
                <w:rFonts w:eastAsiaTheme="minorEastAsia"/>
                <w:b w:val="0"/>
                <w:bCs w:val="0"/>
              </w:rPr>
              <w:t xml:space="preserve">  Native American</w:t>
            </w:r>
          </w:p>
        </w:tc>
        <w:tc>
          <w:tcPr>
            <w:tcW w:w="4215" w:type="dxa"/>
            <w:gridSpan w:val="4"/>
          </w:tcPr>
          <w:p w14:paraId="57515605" w14:textId="350B969E"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6 (1.3)</w:t>
            </w:r>
          </w:p>
        </w:tc>
      </w:tr>
      <w:tr w:rsidR="4520FBC1" w14:paraId="071554A0"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750F918E" w14:textId="08A6EFAB" w:rsidR="4520FBC1" w:rsidRDefault="6D5C381B" w:rsidP="339F3C98">
            <w:pPr>
              <w:rPr>
                <w:rFonts w:eastAsiaTheme="minorEastAsia"/>
              </w:rPr>
            </w:pPr>
            <w:r w:rsidRPr="6D5C381B">
              <w:rPr>
                <w:rFonts w:eastAsiaTheme="minorEastAsia"/>
                <w:b w:val="0"/>
                <w:bCs w:val="0"/>
              </w:rPr>
              <w:t xml:space="preserve">  Other</w:t>
            </w:r>
          </w:p>
        </w:tc>
        <w:tc>
          <w:tcPr>
            <w:tcW w:w="4215" w:type="dxa"/>
            <w:gridSpan w:val="4"/>
          </w:tcPr>
          <w:p w14:paraId="3FB8ACC7" w14:textId="01183BFF"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15 (3.2)</w:t>
            </w:r>
          </w:p>
        </w:tc>
      </w:tr>
      <w:tr w:rsidR="4520FBC1" w14:paraId="2497537C"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3300" w:type="dxa"/>
          </w:tcPr>
          <w:p w14:paraId="10E93479" w14:textId="408565E1" w:rsidR="4520FBC1" w:rsidRDefault="6D5C381B" w:rsidP="339F3C98">
            <w:pPr>
              <w:rPr>
                <w:rFonts w:eastAsiaTheme="minorEastAsia"/>
              </w:rPr>
            </w:pPr>
            <w:r w:rsidRPr="6D5C381B">
              <w:rPr>
                <w:rFonts w:eastAsiaTheme="minorEastAsia"/>
                <w:b w:val="0"/>
                <w:bCs w:val="0"/>
              </w:rPr>
              <w:t xml:space="preserve">  Multiracial</w:t>
            </w:r>
          </w:p>
        </w:tc>
        <w:tc>
          <w:tcPr>
            <w:tcW w:w="4215" w:type="dxa"/>
            <w:gridSpan w:val="4"/>
          </w:tcPr>
          <w:p w14:paraId="543BA6C8" w14:textId="54E22F10"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21 (4.5)</w:t>
            </w:r>
          </w:p>
        </w:tc>
      </w:tr>
      <w:tr w:rsidR="4520FBC1" w14:paraId="30D261CE" w14:textId="77777777" w:rsidTr="00E64787">
        <w:trPr>
          <w:trHeight w:val="105"/>
        </w:trPr>
        <w:tc>
          <w:tcPr>
            <w:cnfStyle w:val="001000000000" w:firstRow="0" w:lastRow="0" w:firstColumn="1" w:lastColumn="0" w:oddVBand="0" w:evenVBand="0" w:oddHBand="0" w:evenHBand="0" w:firstRowFirstColumn="0" w:firstRowLastColumn="0" w:lastRowFirstColumn="0" w:lastRowLastColumn="0"/>
            <w:tcW w:w="3300" w:type="dxa"/>
          </w:tcPr>
          <w:p w14:paraId="1175B59C" w14:textId="69D8E064" w:rsidR="4520FBC1" w:rsidRDefault="6D5C381B" w:rsidP="339F3C98">
            <w:pPr>
              <w:rPr>
                <w:rFonts w:eastAsiaTheme="minorEastAsia"/>
              </w:rPr>
            </w:pPr>
            <w:r w:rsidRPr="6D5C381B">
              <w:rPr>
                <w:rFonts w:eastAsiaTheme="minorEastAsia"/>
                <w:b w:val="0"/>
                <w:bCs w:val="0"/>
              </w:rPr>
              <w:t xml:space="preserve">  Total</w:t>
            </w:r>
          </w:p>
        </w:tc>
        <w:tc>
          <w:tcPr>
            <w:tcW w:w="4215" w:type="dxa"/>
            <w:gridSpan w:val="4"/>
          </w:tcPr>
          <w:p w14:paraId="584EBF09" w14:textId="749F64D9" w:rsidR="4520FBC1"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39F3C98">
              <w:rPr>
                <w:rFonts w:eastAsiaTheme="minorEastAsia"/>
                <w:color w:val="000000" w:themeColor="text1"/>
              </w:rPr>
              <w:t>460 (98.5)</w:t>
            </w:r>
          </w:p>
        </w:tc>
      </w:tr>
    </w:tbl>
    <w:p w14:paraId="05B84647" w14:textId="60AD7EBA" w:rsidR="4520FBC1" w:rsidRDefault="6D5C381B" w:rsidP="339F3C98">
      <w:pPr>
        <w:rPr>
          <w:rFonts w:eastAsiaTheme="minorEastAsia"/>
          <w:color w:val="000000" w:themeColor="text1"/>
        </w:rPr>
      </w:pPr>
      <w:r w:rsidRPr="6D5C381B">
        <w:rPr>
          <w:rFonts w:eastAsiaTheme="minorEastAsia"/>
          <w:i/>
          <w:iCs/>
          <w:color w:val="000000" w:themeColor="text1"/>
        </w:rPr>
        <w:t>Note</w:t>
      </w:r>
      <w:r w:rsidRPr="6D5C381B">
        <w:rPr>
          <w:rFonts w:eastAsiaTheme="minorEastAsia"/>
          <w:color w:val="000000" w:themeColor="text1"/>
        </w:rPr>
        <w:t>. Age of symptom onset was self-reported age at which first eating disorder sign was experienced, derived from the Dieting and Weight History Questionnaire (DWHQ). TWS = traditional weight suppression.</w:t>
      </w:r>
    </w:p>
    <w:p w14:paraId="7B9DCAEA" w14:textId="07FB7B61" w:rsidR="4520FBC1" w:rsidRDefault="4520FBC1" w:rsidP="339F3C98">
      <w:pPr>
        <w:spacing w:line="480" w:lineRule="auto"/>
        <w:ind w:firstLine="720"/>
        <w:rPr>
          <w:rFonts w:eastAsiaTheme="minorEastAsia"/>
          <w:color w:val="000000" w:themeColor="text1"/>
        </w:rPr>
      </w:pPr>
    </w:p>
    <w:p w14:paraId="48487326" w14:textId="482A6C10" w:rsidR="6D5C381B" w:rsidRDefault="6D5C381B">
      <w:r>
        <w:br w:type="page"/>
      </w:r>
    </w:p>
    <w:p w14:paraId="7EAA423B" w14:textId="6E232B66" w:rsidR="07C7638B" w:rsidRDefault="339F3C98" w:rsidP="339F3C98">
      <w:pPr>
        <w:spacing w:line="480" w:lineRule="auto"/>
        <w:rPr>
          <w:rFonts w:eastAsiaTheme="minorEastAsia"/>
          <w:b/>
          <w:bCs/>
          <w:color w:val="222222"/>
        </w:rPr>
      </w:pPr>
      <w:r w:rsidRPr="339F3C98">
        <w:rPr>
          <w:rFonts w:eastAsiaTheme="minorEastAsia"/>
          <w:b/>
          <w:bCs/>
          <w:color w:val="222222"/>
        </w:rPr>
        <w:lastRenderedPageBreak/>
        <w:t>S</w:t>
      </w:r>
      <w:r w:rsidR="00602925">
        <w:rPr>
          <w:rFonts w:eastAsiaTheme="minorEastAsia"/>
          <w:b/>
          <w:bCs/>
          <w:color w:val="222222"/>
        </w:rPr>
        <w:t>M</w:t>
      </w:r>
      <w:r w:rsidRPr="339F3C98">
        <w:rPr>
          <w:rFonts w:eastAsiaTheme="minorEastAsia"/>
          <w:b/>
          <w:bCs/>
          <w:color w:val="222222"/>
        </w:rPr>
        <w:t>.4 Weight History Analyses Using TWS</w:t>
      </w:r>
    </w:p>
    <w:p w14:paraId="04FB263E" w14:textId="1866FE53" w:rsidR="07C7638B" w:rsidRDefault="339F3C98" w:rsidP="339F3C98">
      <w:pPr>
        <w:spacing w:line="480" w:lineRule="auto"/>
        <w:ind w:firstLine="720"/>
        <w:rPr>
          <w:rFonts w:eastAsiaTheme="minorEastAsia"/>
          <w:color w:val="000000" w:themeColor="text1"/>
        </w:rPr>
      </w:pPr>
      <w:r w:rsidRPr="339F3C98">
        <w:rPr>
          <w:rFonts w:eastAsiaTheme="minorEastAsia"/>
          <w:color w:val="000000" w:themeColor="text1"/>
        </w:rPr>
        <w:t xml:space="preserve">A 2 x 4 mixed-model ANOVA was used to examine differences in weight history between low and high TWS groups. Raw weights were analyzed (rather than BMIs) to maintain consistency with the TWS formulation. However, </w:t>
      </w:r>
      <w:r w:rsidRPr="339F3C98">
        <w:rPr>
          <w:rFonts w:eastAsiaTheme="minorEastAsia"/>
          <w:i/>
          <w:iCs/>
          <w:color w:val="000000" w:themeColor="text1"/>
        </w:rPr>
        <w:t>t</w:t>
      </w:r>
      <w:r w:rsidRPr="339F3C98">
        <w:rPr>
          <w:rFonts w:eastAsiaTheme="minorEastAsia"/>
          <w:color w:val="000000" w:themeColor="text1"/>
        </w:rPr>
        <w:t xml:space="preserve">-tests confirmed that the two groups did not differ significantly on height at any of the four timepoints (all </w:t>
      </w:r>
      <w:proofErr w:type="spellStart"/>
      <w:r w:rsidRPr="339F3C98">
        <w:rPr>
          <w:rFonts w:eastAsiaTheme="minorEastAsia"/>
          <w:i/>
          <w:iCs/>
          <w:color w:val="000000" w:themeColor="text1"/>
        </w:rPr>
        <w:t>p</w:t>
      </w:r>
      <w:r w:rsidRPr="339F3C98">
        <w:rPr>
          <w:rFonts w:eastAsiaTheme="minorEastAsia"/>
          <w:color w:val="000000" w:themeColor="text1"/>
        </w:rPr>
        <w:t>s</w:t>
      </w:r>
      <w:proofErr w:type="spellEnd"/>
      <w:r w:rsidRPr="339F3C98">
        <w:rPr>
          <w:rFonts w:eastAsiaTheme="minorEastAsia"/>
          <w:color w:val="000000" w:themeColor="text1"/>
        </w:rPr>
        <w:t xml:space="preserve"> &gt; .05), suggesting that results would not have differed substantially if BMI (i.e., weight adjusted by height) had been used in place of raw weights. Age was included as a covariate in a second ANOVA model, since low and high TWS groups differed significantly on age of admission; however, results were identical between the two models, so findings are reported without the covariate for simplicity.</w:t>
      </w:r>
    </w:p>
    <w:p w14:paraId="045782A0" w14:textId="1D106D6C" w:rsidR="07C7638B" w:rsidRDefault="339F3C98" w:rsidP="339F3C98">
      <w:pPr>
        <w:spacing w:line="480" w:lineRule="auto"/>
        <w:ind w:firstLine="720"/>
        <w:rPr>
          <w:rFonts w:eastAsiaTheme="minorEastAsia"/>
          <w:color w:val="000000" w:themeColor="text1"/>
        </w:rPr>
      </w:pPr>
      <w:r w:rsidRPr="339F3C98">
        <w:rPr>
          <w:rFonts w:eastAsiaTheme="minorEastAsia"/>
          <w:color w:val="000000" w:themeColor="text1"/>
        </w:rPr>
        <w:t xml:space="preserve">The mixed-model ANOVA revealed a significant interaction between weight category (i.e., premorbid high, postmorbid high, postmorbid low, and admission) and tertile group (i.e., low TWS and high TWS), </w:t>
      </w:r>
      <w:proofErr w:type="gramStart"/>
      <w:r w:rsidRPr="339F3C98">
        <w:rPr>
          <w:rFonts w:eastAsiaTheme="minorEastAsia"/>
          <w:i/>
          <w:iCs/>
          <w:color w:val="000000" w:themeColor="text1"/>
        </w:rPr>
        <w:t>F</w:t>
      </w:r>
      <w:r w:rsidRPr="339F3C98">
        <w:rPr>
          <w:rFonts w:eastAsiaTheme="minorEastAsia"/>
          <w:color w:val="000000" w:themeColor="text1"/>
        </w:rPr>
        <w:t>(</w:t>
      </w:r>
      <w:proofErr w:type="gramEnd"/>
      <w:r w:rsidRPr="339F3C98">
        <w:rPr>
          <w:rFonts w:eastAsiaTheme="minorEastAsia"/>
          <w:color w:val="000000" w:themeColor="text1"/>
        </w:rPr>
        <w:t xml:space="preserve">1.84,712.98) = 52.17, </w:t>
      </w:r>
      <w:r w:rsidRPr="339F3C98">
        <w:rPr>
          <w:rFonts w:eastAsiaTheme="minorEastAsia"/>
          <w:i/>
          <w:iCs/>
          <w:color w:val="000000" w:themeColor="text1"/>
        </w:rPr>
        <w:t>p</w:t>
      </w:r>
      <w:r w:rsidRPr="339F3C98">
        <w:rPr>
          <w:rFonts w:eastAsiaTheme="minorEastAsia"/>
          <w:color w:val="000000" w:themeColor="text1"/>
        </w:rPr>
        <w:t xml:space="preserve"> &lt; .001, </w:t>
      </w:r>
      <w:r w:rsidRPr="339F3C98">
        <w:rPr>
          <w:rFonts w:eastAsiaTheme="minorEastAsia"/>
          <w:i/>
          <w:iCs/>
          <w:color w:val="000000" w:themeColor="text1"/>
        </w:rPr>
        <w:t>η</w:t>
      </w:r>
      <w:r w:rsidRPr="339F3C98">
        <w:rPr>
          <w:rFonts w:eastAsiaTheme="minorEastAsia"/>
          <w:i/>
          <w:iCs/>
          <w:color w:val="000000" w:themeColor="text1"/>
          <w:vertAlign w:val="subscript"/>
        </w:rPr>
        <w:t>p</w:t>
      </w:r>
      <w:r w:rsidRPr="339F3C98">
        <w:rPr>
          <w:rFonts w:eastAsiaTheme="minorEastAsia"/>
          <w:i/>
          <w:iCs/>
          <w:color w:val="000000" w:themeColor="text1"/>
          <w:vertAlign w:val="superscript"/>
        </w:rPr>
        <w:t>2</w:t>
      </w:r>
      <w:r w:rsidRPr="339F3C98">
        <w:rPr>
          <w:rFonts w:eastAsiaTheme="minorEastAsia"/>
          <w:color w:val="000000" w:themeColor="text1"/>
          <w:vertAlign w:val="superscript"/>
        </w:rPr>
        <w:t xml:space="preserve"> </w:t>
      </w:r>
      <w:r w:rsidRPr="339F3C98">
        <w:rPr>
          <w:rFonts w:eastAsiaTheme="minorEastAsia"/>
          <w:color w:val="000000" w:themeColor="text1"/>
        </w:rPr>
        <w:t xml:space="preserve">= 0.12 (see Figure S1). There were also significant main effects of both weight history category, </w:t>
      </w:r>
      <w:proofErr w:type="gramStart"/>
      <w:r w:rsidRPr="339F3C98">
        <w:rPr>
          <w:rFonts w:eastAsiaTheme="minorEastAsia"/>
          <w:i/>
          <w:iCs/>
          <w:color w:val="000000" w:themeColor="text1"/>
        </w:rPr>
        <w:t>F</w:t>
      </w:r>
      <w:r w:rsidRPr="339F3C98">
        <w:rPr>
          <w:rFonts w:eastAsiaTheme="minorEastAsia"/>
          <w:color w:val="000000" w:themeColor="text1"/>
        </w:rPr>
        <w:t>(</w:t>
      </w:r>
      <w:proofErr w:type="gramEnd"/>
      <w:r w:rsidRPr="339F3C98">
        <w:rPr>
          <w:rFonts w:eastAsiaTheme="minorEastAsia"/>
          <w:color w:val="000000" w:themeColor="text1"/>
        </w:rPr>
        <w:t xml:space="preserve">1.84,712.98) = 328.25, </w:t>
      </w:r>
      <w:r w:rsidRPr="339F3C98">
        <w:rPr>
          <w:rFonts w:eastAsiaTheme="minorEastAsia"/>
          <w:i/>
          <w:iCs/>
          <w:color w:val="000000" w:themeColor="text1"/>
        </w:rPr>
        <w:t>p</w:t>
      </w:r>
      <w:r w:rsidRPr="339F3C98">
        <w:rPr>
          <w:rFonts w:eastAsiaTheme="minorEastAsia"/>
          <w:color w:val="000000" w:themeColor="text1"/>
        </w:rPr>
        <w:t xml:space="preserve"> &lt; .001, </w:t>
      </w:r>
      <w:r w:rsidRPr="339F3C98">
        <w:rPr>
          <w:rFonts w:eastAsiaTheme="minorEastAsia"/>
          <w:i/>
          <w:iCs/>
          <w:color w:val="000000" w:themeColor="text1"/>
        </w:rPr>
        <w:t>η</w:t>
      </w:r>
      <w:r w:rsidRPr="339F3C98">
        <w:rPr>
          <w:rFonts w:eastAsiaTheme="minorEastAsia"/>
          <w:i/>
          <w:iCs/>
          <w:color w:val="000000" w:themeColor="text1"/>
          <w:vertAlign w:val="subscript"/>
        </w:rPr>
        <w:t>p</w:t>
      </w:r>
      <w:r w:rsidRPr="339F3C98">
        <w:rPr>
          <w:rFonts w:eastAsiaTheme="minorEastAsia"/>
          <w:i/>
          <w:iCs/>
          <w:color w:val="000000" w:themeColor="text1"/>
          <w:vertAlign w:val="superscript"/>
        </w:rPr>
        <w:t>2</w:t>
      </w:r>
      <w:r w:rsidRPr="339F3C98">
        <w:rPr>
          <w:rFonts w:eastAsiaTheme="minorEastAsia"/>
          <w:color w:val="000000" w:themeColor="text1"/>
          <w:vertAlign w:val="superscript"/>
        </w:rPr>
        <w:t xml:space="preserve"> </w:t>
      </w:r>
      <w:r w:rsidRPr="339F3C98">
        <w:rPr>
          <w:rFonts w:eastAsiaTheme="minorEastAsia"/>
          <w:color w:val="000000" w:themeColor="text1"/>
        </w:rPr>
        <w:t xml:space="preserve">= 0.46, and tertile group, </w:t>
      </w:r>
      <w:r w:rsidRPr="339F3C98">
        <w:rPr>
          <w:rFonts w:eastAsiaTheme="minorEastAsia"/>
          <w:i/>
          <w:iCs/>
          <w:color w:val="000000" w:themeColor="text1"/>
        </w:rPr>
        <w:t>F</w:t>
      </w:r>
      <w:r w:rsidRPr="339F3C98">
        <w:rPr>
          <w:rFonts w:eastAsiaTheme="minorEastAsia"/>
          <w:color w:val="000000" w:themeColor="text1"/>
        </w:rPr>
        <w:t xml:space="preserve">(1,387) = 4.69, </w:t>
      </w:r>
      <w:r w:rsidRPr="339F3C98">
        <w:rPr>
          <w:rFonts w:eastAsiaTheme="minorEastAsia"/>
          <w:i/>
          <w:iCs/>
          <w:color w:val="000000" w:themeColor="text1"/>
        </w:rPr>
        <w:t>p</w:t>
      </w:r>
      <w:r w:rsidRPr="339F3C98">
        <w:rPr>
          <w:rFonts w:eastAsiaTheme="minorEastAsia"/>
          <w:color w:val="000000" w:themeColor="text1"/>
        </w:rPr>
        <w:t xml:space="preserve"> = .03, </w:t>
      </w:r>
      <w:r w:rsidRPr="339F3C98">
        <w:rPr>
          <w:rFonts w:eastAsiaTheme="minorEastAsia"/>
          <w:i/>
          <w:iCs/>
          <w:color w:val="000000" w:themeColor="text1"/>
        </w:rPr>
        <w:t>η</w:t>
      </w:r>
      <w:r w:rsidRPr="339F3C98">
        <w:rPr>
          <w:rFonts w:eastAsiaTheme="minorEastAsia"/>
          <w:i/>
          <w:iCs/>
          <w:color w:val="000000" w:themeColor="text1"/>
          <w:vertAlign w:val="subscript"/>
        </w:rPr>
        <w:t>p</w:t>
      </w:r>
      <w:r w:rsidRPr="339F3C98">
        <w:rPr>
          <w:rFonts w:eastAsiaTheme="minorEastAsia"/>
          <w:i/>
          <w:iCs/>
          <w:color w:val="000000" w:themeColor="text1"/>
          <w:vertAlign w:val="superscript"/>
        </w:rPr>
        <w:t>2</w:t>
      </w:r>
      <w:r w:rsidRPr="339F3C98">
        <w:rPr>
          <w:rFonts w:eastAsiaTheme="minorEastAsia"/>
          <w:color w:val="000000" w:themeColor="text1"/>
          <w:vertAlign w:val="superscript"/>
        </w:rPr>
        <w:t xml:space="preserve"> </w:t>
      </w:r>
      <w:r w:rsidRPr="339F3C98">
        <w:rPr>
          <w:rFonts w:eastAsiaTheme="minorEastAsia"/>
          <w:color w:val="000000" w:themeColor="text1"/>
        </w:rPr>
        <w:t xml:space="preserve">= 0.01. </w:t>
      </w:r>
    </w:p>
    <w:p w14:paraId="294B7E13" w14:textId="72BA501F" w:rsidR="07C7638B" w:rsidRDefault="339F3C98" w:rsidP="339F3C98">
      <w:pPr>
        <w:rPr>
          <w:rFonts w:eastAsiaTheme="minorEastAsia"/>
          <w:color w:val="000000" w:themeColor="text1"/>
        </w:rPr>
      </w:pPr>
      <w:r w:rsidRPr="339F3C98">
        <w:rPr>
          <w:rFonts w:eastAsiaTheme="minorEastAsia"/>
          <w:b/>
          <w:bCs/>
          <w:color w:val="000000" w:themeColor="text1"/>
        </w:rPr>
        <w:t>Figure S1</w:t>
      </w:r>
    </w:p>
    <w:p w14:paraId="2419A25B" w14:textId="6A56B5DC" w:rsidR="07C7638B" w:rsidRDefault="339F3C98" w:rsidP="339F3C98">
      <w:pPr>
        <w:rPr>
          <w:rFonts w:eastAsiaTheme="minorEastAsia"/>
          <w:color w:val="000000" w:themeColor="text1"/>
        </w:rPr>
      </w:pPr>
      <w:r w:rsidRPr="339F3C98">
        <w:rPr>
          <w:rFonts w:eastAsiaTheme="minorEastAsia"/>
          <w:i/>
          <w:iCs/>
          <w:color w:val="000000" w:themeColor="text1"/>
        </w:rPr>
        <w:t>Weight history by age for low and high TWS groups</w:t>
      </w:r>
    </w:p>
    <w:p w14:paraId="3BE0967F" w14:textId="7CB3B623" w:rsidR="07C7638B" w:rsidRDefault="07C7638B" w:rsidP="339F3C98">
      <w:pPr>
        <w:rPr>
          <w:rFonts w:eastAsiaTheme="minorEastAsia"/>
          <w:color w:val="000000" w:themeColor="text1"/>
        </w:rPr>
      </w:pPr>
      <w:r>
        <w:rPr>
          <w:noProof/>
        </w:rPr>
        <w:drawing>
          <wp:inline distT="0" distB="0" distL="0" distR="0" wp14:anchorId="6F2E9B1B" wp14:editId="1017AF7E">
            <wp:extent cx="3590925" cy="2144580"/>
            <wp:effectExtent l="0" t="0" r="0" b="0"/>
            <wp:docPr id="1537156961" name="Picture 892712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71218"/>
                    <pic:cNvPicPr/>
                  </pic:nvPicPr>
                  <pic:blipFill>
                    <a:blip r:embed="rId6">
                      <a:extLst>
                        <a:ext uri="{28A0092B-C50C-407E-A947-70E740481C1C}">
                          <a14:useLocalDpi xmlns:a14="http://schemas.microsoft.com/office/drawing/2010/main" val="0"/>
                        </a:ext>
                      </a:extLst>
                    </a:blip>
                    <a:stretch>
                      <a:fillRect/>
                    </a:stretch>
                  </pic:blipFill>
                  <pic:spPr>
                    <a:xfrm>
                      <a:off x="0" y="0"/>
                      <a:ext cx="3590925" cy="2144580"/>
                    </a:xfrm>
                    <a:prstGeom prst="rect">
                      <a:avLst/>
                    </a:prstGeom>
                  </pic:spPr>
                </pic:pic>
              </a:graphicData>
            </a:graphic>
          </wp:inline>
        </w:drawing>
      </w:r>
      <w:r w:rsidR="339F3C98" w:rsidRPr="339F3C98">
        <w:rPr>
          <w:rFonts w:eastAsiaTheme="minorEastAsia"/>
          <w:color w:val="000000" w:themeColor="text1"/>
        </w:rPr>
        <w:t xml:space="preserve"> </w:t>
      </w:r>
    </w:p>
    <w:p w14:paraId="3F7B1CB4" w14:textId="47236719" w:rsidR="07C7638B" w:rsidRDefault="6D5C381B" w:rsidP="006F2D8B">
      <w:pPr>
        <w:spacing w:line="276" w:lineRule="auto"/>
        <w:rPr>
          <w:rFonts w:eastAsiaTheme="minorEastAsia"/>
          <w:color w:val="000000" w:themeColor="text1"/>
        </w:rPr>
      </w:pPr>
      <w:r w:rsidRPr="6D5C381B">
        <w:rPr>
          <w:rFonts w:eastAsiaTheme="minorEastAsia"/>
          <w:i/>
          <w:iCs/>
          <w:color w:val="000000" w:themeColor="text1"/>
        </w:rPr>
        <w:lastRenderedPageBreak/>
        <w:t>Note</w:t>
      </w:r>
      <w:r w:rsidRPr="6D5C381B">
        <w:rPr>
          <w:rFonts w:eastAsiaTheme="minorEastAsia"/>
          <w:color w:val="000000" w:themeColor="text1"/>
        </w:rPr>
        <w:t>. Of those included in weight history analyses among the TWS sample (</w:t>
      </w:r>
      <w:r w:rsidRPr="6D5C381B">
        <w:rPr>
          <w:rFonts w:eastAsiaTheme="minorEastAsia"/>
          <w:i/>
          <w:iCs/>
          <w:color w:val="000000" w:themeColor="text1"/>
        </w:rPr>
        <w:t xml:space="preserve">n </w:t>
      </w:r>
      <w:r w:rsidRPr="6D5C381B">
        <w:rPr>
          <w:rFonts w:eastAsiaTheme="minorEastAsia"/>
          <w:color w:val="000000" w:themeColor="text1"/>
        </w:rPr>
        <w:t>= 389), age of symptom onset was 14.5 (</w:t>
      </w:r>
      <w:r w:rsidRPr="6D5C381B">
        <w:rPr>
          <w:rFonts w:eastAsiaTheme="minorEastAsia"/>
          <w:i/>
          <w:iCs/>
          <w:color w:val="000000" w:themeColor="text1"/>
        </w:rPr>
        <w:t>SD</w:t>
      </w:r>
      <w:r w:rsidRPr="6D5C381B">
        <w:rPr>
          <w:rFonts w:eastAsiaTheme="minorEastAsia"/>
          <w:color w:val="000000" w:themeColor="text1"/>
        </w:rPr>
        <w:t xml:space="preserve"> = 3.8) for low TWS and 14.9 (</w:t>
      </w:r>
      <w:r w:rsidRPr="6D5C381B">
        <w:rPr>
          <w:rFonts w:eastAsiaTheme="minorEastAsia"/>
          <w:i/>
          <w:iCs/>
          <w:color w:val="000000" w:themeColor="text1"/>
        </w:rPr>
        <w:t>SD</w:t>
      </w:r>
      <w:r w:rsidRPr="6D5C381B">
        <w:rPr>
          <w:rFonts w:eastAsiaTheme="minorEastAsia"/>
          <w:color w:val="000000" w:themeColor="text1"/>
        </w:rPr>
        <w:t xml:space="preserve"> = 5.0) for high TWS.</w:t>
      </w:r>
    </w:p>
    <w:p w14:paraId="62571D8D" w14:textId="5683E994" w:rsidR="07C7638B" w:rsidRDefault="339F3C98" w:rsidP="339F3C98">
      <w:pPr>
        <w:spacing w:line="480" w:lineRule="auto"/>
        <w:ind w:firstLine="720"/>
        <w:rPr>
          <w:rFonts w:eastAsiaTheme="minorEastAsia"/>
          <w:color w:val="000000" w:themeColor="text1"/>
        </w:rPr>
      </w:pPr>
      <w:r w:rsidRPr="339F3C98">
        <w:rPr>
          <w:rFonts w:eastAsiaTheme="minorEastAsia"/>
          <w:color w:val="000000" w:themeColor="text1"/>
        </w:rPr>
        <w:t>Within-group comparisons revealed that postmorbid low weights were significantly lower than premorbid high, postmorbid high, and admission weights for both low and high TWS groups (</w:t>
      </w:r>
      <w:r w:rsidRPr="339F3C98">
        <w:rPr>
          <w:rFonts w:eastAsiaTheme="minorEastAsia"/>
          <w:i/>
          <w:iCs/>
          <w:color w:val="000000" w:themeColor="text1"/>
        </w:rPr>
        <w:t xml:space="preserve">p </w:t>
      </w:r>
      <w:r w:rsidRPr="339F3C98">
        <w:rPr>
          <w:rFonts w:eastAsiaTheme="minorEastAsia"/>
          <w:color w:val="000000" w:themeColor="text1"/>
        </w:rPr>
        <w:t xml:space="preserve">&lt; .001), and both groups surpassed their premorbid high weights </w:t>
      </w:r>
      <w:proofErr w:type="spellStart"/>
      <w:r w:rsidRPr="339F3C98">
        <w:rPr>
          <w:rFonts w:eastAsiaTheme="minorEastAsia"/>
          <w:color w:val="000000" w:themeColor="text1"/>
        </w:rPr>
        <w:t>postmorbidly</w:t>
      </w:r>
      <w:proofErr w:type="spellEnd"/>
      <w:r w:rsidRPr="339F3C98">
        <w:rPr>
          <w:rFonts w:eastAsiaTheme="minorEastAsia"/>
          <w:color w:val="000000" w:themeColor="text1"/>
        </w:rPr>
        <w:t xml:space="preserve"> (i.e., postmorbid high weights were significantly greater than premorbid high weights; </w:t>
      </w:r>
      <w:r w:rsidRPr="339F3C98">
        <w:rPr>
          <w:rFonts w:eastAsiaTheme="minorEastAsia"/>
          <w:i/>
          <w:iCs/>
          <w:color w:val="000000" w:themeColor="text1"/>
        </w:rPr>
        <w:t xml:space="preserve">p </w:t>
      </w:r>
      <w:r w:rsidRPr="339F3C98">
        <w:rPr>
          <w:rFonts w:eastAsiaTheme="minorEastAsia"/>
          <w:color w:val="000000" w:themeColor="text1"/>
        </w:rPr>
        <w:t>&lt; .001). Additionally, for both groups, admission weights were significantly lower than postmorbid high weights (</w:t>
      </w:r>
      <w:proofErr w:type="spellStart"/>
      <w:r w:rsidRPr="339F3C98">
        <w:rPr>
          <w:rFonts w:eastAsiaTheme="minorEastAsia"/>
          <w:i/>
          <w:iCs/>
          <w:color w:val="000000" w:themeColor="text1"/>
        </w:rPr>
        <w:t>p</w:t>
      </w:r>
      <w:r w:rsidRPr="339F3C98">
        <w:rPr>
          <w:rFonts w:eastAsiaTheme="minorEastAsia"/>
          <w:color w:val="000000" w:themeColor="text1"/>
        </w:rPr>
        <w:t>s</w:t>
      </w:r>
      <w:proofErr w:type="spellEnd"/>
      <w:r w:rsidRPr="339F3C98">
        <w:rPr>
          <w:rFonts w:eastAsiaTheme="minorEastAsia"/>
          <w:i/>
          <w:iCs/>
          <w:color w:val="000000" w:themeColor="text1"/>
        </w:rPr>
        <w:t xml:space="preserve"> </w:t>
      </w:r>
      <w:r w:rsidRPr="339F3C98">
        <w:rPr>
          <w:rFonts w:eastAsiaTheme="minorEastAsia"/>
          <w:color w:val="000000" w:themeColor="text1"/>
        </w:rPr>
        <w:t xml:space="preserve">&lt; .001). That is, both groups were weight-suppressed compared to their postmorbid high weights; however, the deficit was much greater for the high TWS group (mean difference of -42.5 </w:t>
      </w:r>
      <w:proofErr w:type="spellStart"/>
      <w:r w:rsidRPr="339F3C98">
        <w:rPr>
          <w:rFonts w:eastAsiaTheme="minorEastAsia"/>
          <w:color w:val="000000" w:themeColor="text1"/>
        </w:rPr>
        <w:t>lb</w:t>
      </w:r>
      <w:proofErr w:type="spellEnd"/>
      <w:r w:rsidRPr="339F3C98">
        <w:rPr>
          <w:rFonts w:eastAsiaTheme="minorEastAsia"/>
          <w:color w:val="000000" w:themeColor="text1"/>
        </w:rPr>
        <w:t xml:space="preserve">) compared to the low TWS group (mean difference of -4.6 </w:t>
      </w:r>
      <w:proofErr w:type="spellStart"/>
      <w:r w:rsidRPr="339F3C98">
        <w:rPr>
          <w:rFonts w:eastAsiaTheme="minorEastAsia"/>
          <w:color w:val="000000" w:themeColor="text1"/>
        </w:rPr>
        <w:t>lb</w:t>
      </w:r>
      <w:proofErr w:type="spellEnd"/>
      <w:r w:rsidRPr="339F3C98">
        <w:rPr>
          <w:rFonts w:eastAsiaTheme="minorEastAsia"/>
          <w:color w:val="000000" w:themeColor="text1"/>
        </w:rPr>
        <w:t xml:space="preserve">). Furthermore, only the high TWS group was significantly weight-suppressed compared to their premorbid high weight (mean difference of -12.0 </w:t>
      </w:r>
      <w:proofErr w:type="spellStart"/>
      <w:r w:rsidRPr="339F3C98">
        <w:rPr>
          <w:rFonts w:eastAsiaTheme="minorEastAsia"/>
          <w:color w:val="000000" w:themeColor="text1"/>
        </w:rPr>
        <w:t>lb</w:t>
      </w:r>
      <w:proofErr w:type="spellEnd"/>
      <w:r w:rsidRPr="339F3C98">
        <w:rPr>
          <w:rFonts w:eastAsiaTheme="minorEastAsia"/>
          <w:color w:val="000000" w:themeColor="text1"/>
        </w:rPr>
        <w:t xml:space="preserve">; </w:t>
      </w:r>
      <w:r w:rsidRPr="339F3C98">
        <w:rPr>
          <w:rFonts w:eastAsiaTheme="minorEastAsia"/>
          <w:i/>
          <w:iCs/>
          <w:color w:val="000000" w:themeColor="text1"/>
        </w:rPr>
        <w:t xml:space="preserve">p </w:t>
      </w:r>
      <w:r w:rsidRPr="339F3C98">
        <w:rPr>
          <w:rFonts w:eastAsiaTheme="minorEastAsia"/>
          <w:color w:val="000000" w:themeColor="text1"/>
        </w:rPr>
        <w:t xml:space="preserve">&lt; .001). In fact, the low TWS group presented to treatment at weights that were significantly </w:t>
      </w:r>
      <w:r w:rsidRPr="339F3C98">
        <w:rPr>
          <w:rFonts w:eastAsiaTheme="minorEastAsia"/>
          <w:i/>
          <w:iCs/>
          <w:color w:val="000000" w:themeColor="text1"/>
        </w:rPr>
        <w:t xml:space="preserve">greater </w:t>
      </w:r>
      <w:r w:rsidRPr="339F3C98">
        <w:rPr>
          <w:rFonts w:eastAsiaTheme="minorEastAsia"/>
          <w:color w:val="000000" w:themeColor="text1"/>
        </w:rPr>
        <w:t xml:space="preserve">than their premorbid high weights (mean difference of 27.8 </w:t>
      </w:r>
      <w:proofErr w:type="spellStart"/>
      <w:r w:rsidRPr="339F3C98">
        <w:rPr>
          <w:rFonts w:eastAsiaTheme="minorEastAsia"/>
          <w:color w:val="000000" w:themeColor="text1"/>
        </w:rPr>
        <w:t>lb</w:t>
      </w:r>
      <w:proofErr w:type="spellEnd"/>
      <w:r w:rsidRPr="339F3C98">
        <w:rPr>
          <w:rFonts w:eastAsiaTheme="minorEastAsia"/>
          <w:color w:val="000000" w:themeColor="text1"/>
        </w:rPr>
        <w:t xml:space="preserve">; </w:t>
      </w:r>
      <w:r w:rsidRPr="339F3C98">
        <w:rPr>
          <w:rFonts w:eastAsiaTheme="minorEastAsia"/>
          <w:i/>
          <w:iCs/>
          <w:color w:val="000000" w:themeColor="text1"/>
        </w:rPr>
        <w:t xml:space="preserve">p </w:t>
      </w:r>
      <w:r w:rsidRPr="339F3C98">
        <w:rPr>
          <w:rFonts w:eastAsiaTheme="minorEastAsia"/>
          <w:color w:val="000000" w:themeColor="text1"/>
        </w:rPr>
        <w:t xml:space="preserve">= .037). Thus, while the high TWS group was significantly weight-reduced compared to both their premorbid high and postmorbid high weights upon admission, the low TWS group was only minimally weight-reduced compared to their postmorbid high weight and demonstrated weight </w:t>
      </w:r>
      <w:r w:rsidRPr="339F3C98">
        <w:rPr>
          <w:rFonts w:eastAsiaTheme="minorEastAsia"/>
          <w:i/>
          <w:iCs/>
          <w:color w:val="000000" w:themeColor="text1"/>
        </w:rPr>
        <w:t>gain</w:t>
      </w:r>
      <w:r w:rsidRPr="339F3C98">
        <w:rPr>
          <w:rFonts w:eastAsiaTheme="minorEastAsia"/>
          <w:color w:val="000000" w:themeColor="text1"/>
        </w:rPr>
        <w:t xml:space="preserve"> compared to their premorbid high weight.</w:t>
      </w:r>
    </w:p>
    <w:p w14:paraId="7D3B930F" w14:textId="2EC27758" w:rsidR="07C7638B" w:rsidRDefault="0598203A" w:rsidP="6D5C381B">
      <w:pPr>
        <w:spacing w:line="480" w:lineRule="auto"/>
        <w:ind w:firstLine="720"/>
        <w:rPr>
          <w:rFonts w:eastAsiaTheme="minorEastAsia"/>
          <w:color w:val="000000" w:themeColor="text1"/>
        </w:rPr>
      </w:pPr>
      <w:r w:rsidRPr="0598203A">
        <w:rPr>
          <w:rFonts w:eastAsiaTheme="minorEastAsia"/>
          <w:color w:val="000000" w:themeColor="text1"/>
        </w:rPr>
        <w:t>Between-group comparisons revealed that the high TWS group had significantly higher premorbid high and postmorbid high weights, but lower admission weights, than the low TWS group (</w:t>
      </w:r>
      <w:r w:rsidRPr="0598203A">
        <w:rPr>
          <w:rFonts w:eastAsiaTheme="minorEastAsia"/>
          <w:i/>
          <w:iCs/>
          <w:color w:val="000000" w:themeColor="text1"/>
        </w:rPr>
        <w:t>p’</w:t>
      </w:r>
      <w:r w:rsidRPr="0598203A">
        <w:rPr>
          <w:rFonts w:eastAsiaTheme="minorEastAsia"/>
          <w:color w:val="000000" w:themeColor="text1"/>
        </w:rPr>
        <w:t xml:space="preserve">s &lt; .001; see Table S2), indicating that the relatively greater TWS of the high TWS group (compared to the low TWS group), came from </w:t>
      </w:r>
      <w:r w:rsidRPr="0598203A">
        <w:rPr>
          <w:rFonts w:eastAsiaTheme="minorEastAsia"/>
          <w:i/>
          <w:iCs/>
          <w:color w:val="000000" w:themeColor="text1"/>
        </w:rPr>
        <w:t>both</w:t>
      </w:r>
      <w:r w:rsidRPr="0598203A">
        <w:rPr>
          <w:rFonts w:eastAsiaTheme="minorEastAsia"/>
          <w:color w:val="000000" w:themeColor="text1"/>
        </w:rPr>
        <w:t xml:space="preserve"> higher past weights and lower admission weights. Postmorbid low weights were not found to be significantly different between the two groups (</w:t>
      </w:r>
      <w:r w:rsidRPr="0598203A">
        <w:rPr>
          <w:rFonts w:eastAsiaTheme="minorEastAsia"/>
          <w:i/>
          <w:iCs/>
          <w:color w:val="000000" w:themeColor="text1"/>
        </w:rPr>
        <w:t xml:space="preserve">p </w:t>
      </w:r>
      <w:r w:rsidRPr="0598203A">
        <w:rPr>
          <w:rFonts w:eastAsiaTheme="minorEastAsia"/>
          <w:color w:val="000000" w:themeColor="text1"/>
        </w:rPr>
        <w:t>= .69).</w:t>
      </w:r>
    </w:p>
    <w:p w14:paraId="1EDA869A" w14:textId="74CC5B96" w:rsidR="0598203A" w:rsidRDefault="0598203A" w:rsidP="0598203A">
      <w:pPr>
        <w:spacing w:after="0" w:line="480" w:lineRule="auto"/>
        <w:rPr>
          <w:rFonts w:eastAsiaTheme="minorEastAsia"/>
          <w:b/>
          <w:bCs/>
          <w:color w:val="000000" w:themeColor="text1"/>
        </w:rPr>
      </w:pPr>
    </w:p>
    <w:p w14:paraId="16AC3F4D" w14:textId="078100AD" w:rsidR="0598203A" w:rsidRDefault="0598203A" w:rsidP="0598203A">
      <w:pPr>
        <w:spacing w:after="0" w:line="480" w:lineRule="auto"/>
        <w:rPr>
          <w:rFonts w:eastAsiaTheme="minorEastAsia"/>
          <w:b/>
          <w:bCs/>
          <w:color w:val="000000" w:themeColor="text1"/>
        </w:rPr>
      </w:pPr>
    </w:p>
    <w:p w14:paraId="5C5A45BE" w14:textId="2491AE70" w:rsidR="0598203A" w:rsidRDefault="0598203A" w:rsidP="0598203A">
      <w:pPr>
        <w:spacing w:after="0" w:line="480" w:lineRule="auto"/>
        <w:rPr>
          <w:rFonts w:eastAsiaTheme="minorEastAsia"/>
          <w:b/>
          <w:bCs/>
          <w:color w:val="000000" w:themeColor="text1"/>
        </w:rPr>
      </w:pPr>
    </w:p>
    <w:p w14:paraId="28C17A96" w14:textId="6730087F" w:rsidR="07C7638B" w:rsidRDefault="6D5C381B" w:rsidP="6D5C381B">
      <w:pPr>
        <w:spacing w:after="0" w:line="480" w:lineRule="auto"/>
        <w:rPr>
          <w:rFonts w:eastAsiaTheme="minorEastAsia"/>
          <w:b/>
          <w:bCs/>
          <w:color w:val="000000" w:themeColor="text1"/>
        </w:rPr>
      </w:pPr>
      <w:r w:rsidRPr="6D5C381B">
        <w:rPr>
          <w:rFonts w:eastAsiaTheme="minorEastAsia"/>
          <w:b/>
          <w:bCs/>
          <w:color w:val="000000" w:themeColor="text1"/>
        </w:rPr>
        <w:lastRenderedPageBreak/>
        <w:t>Table S2</w:t>
      </w:r>
    </w:p>
    <w:p w14:paraId="2F683CA1" w14:textId="1FC2822E" w:rsidR="07C7638B" w:rsidRDefault="6D5C381B" w:rsidP="6D5C381B">
      <w:pPr>
        <w:spacing w:after="0" w:line="480" w:lineRule="auto"/>
        <w:rPr>
          <w:rFonts w:eastAsiaTheme="minorEastAsia"/>
          <w:color w:val="000000" w:themeColor="text1"/>
        </w:rPr>
      </w:pPr>
      <w:r w:rsidRPr="6D5C381B">
        <w:rPr>
          <w:rFonts w:eastAsiaTheme="minorEastAsia"/>
          <w:i/>
          <w:iCs/>
          <w:color w:val="000000" w:themeColor="text1"/>
        </w:rPr>
        <w:t xml:space="preserve">Weight history comparisons (in </w:t>
      </w:r>
      <w:proofErr w:type="spellStart"/>
      <w:r w:rsidRPr="6D5C381B">
        <w:rPr>
          <w:rFonts w:eastAsiaTheme="minorEastAsia"/>
          <w:i/>
          <w:iCs/>
          <w:color w:val="000000" w:themeColor="text1"/>
        </w:rPr>
        <w:t>lbs</w:t>
      </w:r>
      <w:proofErr w:type="spellEnd"/>
      <w:r w:rsidRPr="6D5C381B">
        <w:rPr>
          <w:rFonts w:eastAsiaTheme="minorEastAsia"/>
          <w:i/>
          <w:iCs/>
          <w:color w:val="000000" w:themeColor="text1"/>
        </w:rPr>
        <w:t>) between low and high TWS groups</w:t>
      </w:r>
    </w:p>
    <w:tbl>
      <w:tblPr>
        <w:tblStyle w:val="PlainTable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2670"/>
        <w:gridCol w:w="1455"/>
        <w:gridCol w:w="1455"/>
        <w:gridCol w:w="1935"/>
        <w:gridCol w:w="975"/>
      </w:tblGrid>
      <w:tr w:rsidR="07C7638B" w14:paraId="2055F9E5" w14:textId="77777777" w:rsidTr="00E6478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dxa"/>
            <w:tcBorders>
              <w:top w:val="single" w:sz="4" w:space="0" w:color="000000" w:themeColor="text1"/>
              <w:left w:val="single" w:sz="4" w:space="0" w:color="000000" w:themeColor="text1"/>
            </w:tcBorders>
            <w:vAlign w:val="center"/>
          </w:tcPr>
          <w:p w14:paraId="33EEA52B" w14:textId="0515FDA3" w:rsidR="07C7638B" w:rsidRDefault="07C7638B" w:rsidP="339F3C98">
            <w:pPr>
              <w:rPr>
                <w:rFonts w:eastAsiaTheme="minorEastAsia"/>
              </w:rPr>
            </w:pPr>
          </w:p>
        </w:tc>
        <w:tc>
          <w:tcPr>
            <w:tcW w:w="1455" w:type="dxa"/>
            <w:tcBorders>
              <w:top w:val="single" w:sz="4" w:space="0" w:color="000000" w:themeColor="text1"/>
            </w:tcBorders>
          </w:tcPr>
          <w:p w14:paraId="39D714F9" w14:textId="2F5BABD9"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 xml:space="preserve">Low TWS, </w:t>
            </w:r>
          </w:p>
          <w:p w14:paraId="06C4BCBA" w14:textId="5D7FA072"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i/>
                <w:iCs/>
              </w:rPr>
              <w:t xml:space="preserve">M </w:t>
            </w:r>
            <w:r w:rsidRPr="339F3C98">
              <w:rPr>
                <w:rFonts w:eastAsiaTheme="minorEastAsia"/>
              </w:rPr>
              <w:t>(</w:t>
            </w:r>
            <w:r w:rsidRPr="339F3C98">
              <w:rPr>
                <w:rFonts w:eastAsiaTheme="minorEastAsia"/>
                <w:i/>
                <w:iCs/>
              </w:rPr>
              <w:t>SD</w:t>
            </w:r>
            <w:r w:rsidRPr="339F3C98">
              <w:rPr>
                <w:rFonts w:eastAsiaTheme="minorEastAsia"/>
              </w:rPr>
              <w:t>)</w:t>
            </w:r>
          </w:p>
        </w:tc>
        <w:tc>
          <w:tcPr>
            <w:tcW w:w="1455" w:type="dxa"/>
            <w:tcBorders>
              <w:top w:val="single" w:sz="4" w:space="0" w:color="000000" w:themeColor="text1"/>
            </w:tcBorders>
          </w:tcPr>
          <w:p w14:paraId="5FF32C2B" w14:textId="21E6570F"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High TWS,</w:t>
            </w:r>
          </w:p>
          <w:p w14:paraId="3C824935" w14:textId="5C0EDFE9"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i/>
                <w:iCs/>
              </w:rPr>
              <w:t xml:space="preserve">M </w:t>
            </w:r>
            <w:r w:rsidRPr="339F3C98">
              <w:rPr>
                <w:rFonts w:eastAsiaTheme="minorEastAsia"/>
              </w:rPr>
              <w:t>(</w:t>
            </w:r>
            <w:r w:rsidRPr="339F3C98">
              <w:rPr>
                <w:rFonts w:eastAsiaTheme="minorEastAsia"/>
                <w:i/>
                <w:iCs/>
              </w:rPr>
              <w:t>SD</w:t>
            </w:r>
            <w:r w:rsidRPr="339F3C98">
              <w:rPr>
                <w:rFonts w:eastAsiaTheme="minorEastAsia"/>
              </w:rPr>
              <w:t>)</w:t>
            </w:r>
          </w:p>
        </w:tc>
        <w:tc>
          <w:tcPr>
            <w:tcW w:w="1935" w:type="dxa"/>
            <w:tcBorders>
              <w:top w:val="single" w:sz="4" w:space="0" w:color="000000" w:themeColor="text1"/>
            </w:tcBorders>
          </w:tcPr>
          <w:p w14:paraId="7B0F84F9" w14:textId="7118CA8D"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Mean Difference (Low - High)</w:t>
            </w:r>
          </w:p>
        </w:tc>
        <w:tc>
          <w:tcPr>
            <w:tcW w:w="975" w:type="dxa"/>
            <w:tcBorders>
              <w:top w:val="single" w:sz="4" w:space="0" w:color="000000" w:themeColor="text1"/>
              <w:right w:val="single" w:sz="4" w:space="0" w:color="000000" w:themeColor="text1"/>
            </w:tcBorders>
          </w:tcPr>
          <w:p w14:paraId="2DDC701B" w14:textId="727EB56E" w:rsidR="07C7638B" w:rsidRDefault="07C7638B"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p>
          <w:p w14:paraId="70E67F55" w14:textId="06600438" w:rsidR="07C7638B" w:rsidRDefault="339F3C98" w:rsidP="339F3C98">
            <w:pPr>
              <w:jc w:val="center"/>
              <w:cnfStyle w:val="100000000000" w:firstRow="1"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i/>
                <w:iCs/>
              </w:rPr>
              <w:t>p</w:t>
            </w:r>
          </w:p>
        </w:tc>
      </w:tr>
      <w:tr w:rsidR="07C7638B" w14:paraId="6938135E"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2670" w:type="dxa"/>
            <w:tcBorders>
              <w:left w:val="single" w:sz="4" w:space="0" w:color="000000" w:themeColor="text1"/>
            </w:tcBorders>
          </w:tcPr>
          <w:p w14:paraId="1E8C3A4B" w14:textId="4794143D" w:rsidR="07C7638B" w:rsidRDefault="339F3C98" w:rsidP="339F3C98">
            <w:pPr>
              <w:rPr>
                <w:rFonts w:eastAsiaTheme="minorEastAsia"/>
              </w:rPr>
            </w:pPr>
            <w:r w:rsidRPr="339F3C98">
              <w:rPr>
                <w:rFonts w:eastAsiaTheme="minorEastAsia"/>
                <w:b w:val="0"/>
                <w:bCs w:val="0"/>
              </w:rPr>
              <w:t>Premorbid high weight</w:t>
            </w:r>
          </w:p>
        </w:tc>
        <w:tc>
          <w:tcPr>
            <w:tcW w:w="1455" w:type="dxa"/>
          </w:tcPr>
          <w:p w14:paraId="6602DA8B" w14:textId="6164BB21"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133.2 (29.2)</w:t>
            </w:r>
          </w:p>
        </w:tc>
        <w:tc>
          <w:tcPr>
            <w:tcW w:w="1455" w:type="dxa"/>
          </w:tcPr>
          <w:p w14:paraId="0D7D4711" w14:textId="1EF0300D"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155.4 (39.6)</w:t>
            </w:r>
          </w:p>
        </w:tc>
        <w:tc>
          <w:tcPr>
            <w:tcW w:w="1935" w:type="dxa"/>
          </w:tcPr>
          <w:p w14:paraId="226A5289" w14:textId="72D265AE"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-22.2 (3.5)</w:t>
            </w:r>
          </w:p>
        </w:tc>
        <w:tc>
          <w:tcPr>
            <w:tcW w:w="975" w:type="dxa"/>
            <w:tcBorders>
              <w:right w:val="single" w:sz="4" w:space="0" w:color="000000" w:themeColor="text1"/>
            </w:tcBorders>
          </w:tcPr>
          <w:p w14:paraId="4AC8C39F" w14:textId="03580F6C"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&lt;.001</w:t>
            </w:r>
          </w:p>
        </w:tc>
      </w:tr>
      <w:tr w:rsidR="07C7638B" w14:paraId="6ABD2C2E"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2670" w:type="dxa"/>
            <w:tcBorders>
              <w:left w:val="single" w:sz="4" w:space="0" w:color="000000" w:themeColor="text1"/>
            </w:tcBorders>
          </w:tcPr>
          <w:p w14:paraId="75A297BD" w14:textId="713CE203" w:rsidR="07C7638B" w:rsidRDefault="339F3C98" w:rsidP="339F3C98">
            <w:pPr>
              <w:rPr>
                <w:rFonts w:eastAsiaTheme="minorEastAsia"/>
              </w:rPr>
            </w:pPr>
            <w:r w:rsidRPr="339F3C98">
              <w:rPr>
                <w:rFonts w:eastAsiaTheme="minorEastAsia"/>
                <w:b w:val="0"/>
                <w:bCs w:val="0"/>
              </w:rPr>
              <w:t>Postmorbid high weight</w:t>
            </w:r>
          </w:p>
        </w:tc>
        <w:tc>
          <w:tcPr>
            <w:tcW w:w="1455" w:type="dxa"/>
          </w:tcPr>
          <w:p w14:paraId="48B6C284" w14:textId="5FDAC2CE"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165.5 (44.5)</w:t>
            </w:r>
          </w:p>
        </w:tc>
        <w:tc>
          <w:tcPr>
            <w:tcW w:w="1455" w:type="dxa"/>
          </w:tcPr>
          <w:p w14:paraId="06F14E14" w14:textId="727F4BFB"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185.9 (51.4)</w:t>
            </w:r>
          </w:p>
        </w:tc>
        <w:tc>
          <w:tcPr>
            <w:tcW w:w="1935" w:type="dxa"/>
          </w:tcPr>
          <w:p w14:paraId="2DC0A417" w14:textId="7AA8D62D"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-20.4 (4.9)</w:t>
            </w:r>
          </w:p>
        </w:tc>
        <w:tc>
          <w:tcPr>
            <w:tcW w:w="975" w:type="dxa"/>
            <w:tcBorders>
              <w:right w:val="single" w:sz="4" w:space="0" w:color="000000" w:themeColor="text1"/>
            </w:tcBorders>
          </w:tcPr>
          <w:p w14:paraId="48154E14" w14:textId="3FFC4A92"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&lt;.001</w:t>
            </w:r>
          </w:p>
        </w:tc>
      </w:tr>
      <w:tr w:rsidR="07C7638B" w14:paraId="46B55C9E"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2670" w:type="dxa"/>
            <w:tcBorders>
              <w:left w:val="single" w:sz="4" w:space="0" w:color="000000" w:themeColor="text1"/>
              <w:bottom w:val="single" w:sz="4" w:space="0" w:color="BFBFBF" w:themeColor="background1" w:themeShade="BF"/>
            </w:tcBorders>
          </w:tcPr>
          <w:p w14:paraId="49163425" w14:textId="17A0E502" w:rsidR="07C7638B" w:rsidRDefault="339F3C98" w:rsidP="339F3C98">
            <w:pPr>
              <w:rPr>
                <w:rFonts w:eastAsiaTheme="minorEastAsia"/>
              </w:rPr>
            </w:pPr>
            <w:r w:rsidRPr="339F3C98">
              <w:rPr>
                <w:rFonts w:eastAsiaTheme="minorEastAsia"/>
                <w:b w:val="0"/>
                <w:bCs w:val="0"/>
              </w:rPr>
              <w:t>Postmorbid low weight</w:t>
            </w:r>
          </w:p>
        </w:tc>
        <w:tc>
          <w:tcPr>
            <w:tcW w:w="1455" w:type="dxa"/>
            <w:tcBorders>
              <w:bottom w:val="single" w:sz="4" w:space="0" w:color="BFBFBF" w:themeColor="background1" w:themeShade="BF"/>
            </w:tcBorders>
          </w:tcPr>
          <w:p w14:paraId="62DA6FA0" w14:textId="3CA58B8D"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118.4 (23.8)</w:t>
            </w:r>
          </w:p>
        </w:tc>
        <w:tc>
          <w:tcPr>
            <w:tcW w:w="1455" w:type="dxa"/>
            <w:tcBorders>
              <w:bottom w:val="single" w:sz="4" w:space="0" w:color="BFBFBF" w:themeColor="background1" w:themeShade="BF"/>
            </w:tcBorders>
          </w:tcPr>
          <w:p w14:paraId="3CA6024E" w14:textId="6FE2DBFA"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119.4 (23.2)</w:t>
            </w:r>
          </w:p>
        </w:tc>
        <w:tc>
          <w:tcPr>
            <w:tcW w:w="1935" w:type="dxa"/>
            <w:tcBorders>
              <w:bottom w:val="single" w:sz="4" w:space="0" w:color="BFBFBF" w:themeColor="background1" w:themeShade="BF"/>
            </w:tcBorders>
          </w:tcPr>
          <w:p w14:paraId="2B6D308A" w14:textId="3FE63B0D"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-0.9 (2.4)</w:t>
            </w:r>
          </w:p>
        </w:tc>
        <w:tc>
          <w:tcPr>
            <w:tcW w:w="975" w:type="dxa"/>
            <w:tcBorders>
              <w:bottom w:val="single" w:sz="4" w:space="0" w:color="BFBFBF" w:themeColor="background1" w:themeShade="BF"/>
              <w:right w:val="single" w:sz="4" w:space="0" w:color="000000" w:themeColor="text1"/>
            </w:tcBorders>
          </w:tcPr>
          <w:p w14:paraId="45544471" w14:textId="7C617BE4"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.69</w:t>
            </w:r>
          </w:p>
        </w:tc>
      </w:tr>
      <w:tr w:rsidR="07C7638B" w14:paraId="4F8C4515" w14:textId="77777777" w:rsidTr="00E64787">
        <w:trPr>
          <w:trHeight w:val="300"/>
        </w:trPr>
        <w:tc>
          <w:tcPr>
            <w:cnfStyle w:val="001000000000" w:firstRow="0" w:lastRow="0" w:firstColumn="1" w:lastColumn="0" w:oddVBand="0" w:evenVBand="0" w:oddHBand="0" w:evenHBand="0" w:firstRowFirstColumn="0" w:firstRowLastColumn="0" w:lastRowFirstColumn="0" w:lastRowLastColumn="0"/>
            <w:tcW w:w="2670" w:type="dxa"/>
            <w:tcBorders>
              <w:left w:val="single" w:sz="4" w:space="0" w:color="000000" w:themeColor="text1"/>
              <w:bottom w:val="single" w:sz="4" w:space="0" w:color="000000" w:themeColor="text1"/>
            </w:tcBorders>
          </w:tcPr>
          <w:p w14:paraId="59C263C1" w14:textId="5A089FF6" w:rsidR="07C7638B" w:rsidRDefault="339F3C98" w:rsidP="339F3C98">
            <w:pPr>
              <w:rPr>
                <w:rFonts w:eastAsiaTheme="minorEastAsia"/>
              </w:rPr>
            </w:pPr>
            <w:r w:rsidRPr="339F3C98">
              <w:rPr>
                <w:rFonts w:eastAsiaTheme="minorEastAsia"/>
                <w:b w:val="0"/>
                <w:bCs w:val="0"/>
              </w:rPr>
              <w:t>Admission weight</w:t>
            </w:r>
          </w:p>
        </w:tc>
        <w:tc>
          <w:tcPr>
            <w:tcW w:w="1455" w:type="dxa"/>
            <w:tcBorders>
              <w:bottom w:val="single" w:sz="4" w:space="0" w:color="000000" w:themeColor="text1"/>
            </w:tcBorders>
          </w:tcPr>
          <w:p w14:paraId="781161DF" w14:textId="7E023CD7"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160.9 (40.6)</w:t>
            </w:r>
          </w:p>
        </w:tc>
        <w:tc>
          <w:tcPr>
            <w:tcW w:w="1455" w:type="dxa"/>
            <w:tcBorders>
              <w:bottom w:val="single" w:sz="4" w:space="0" w:color="000000" w:themeColor="text1"/>
            </w:tcBorders>
          </w:tcPr>
          <w:p w14:paraId="1B512604" w14:textId="1F455227"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143.4 (33.5)</w:t>
            </w:r>
          </w:p>
        </w:tc>
        <w:tc>
          <w:tcPr>
            <w:tcW w:w="1935" w:type="dxa"/>
            <w:tcBorders>
              <w:bottom w:val="single" w:sz="4" w:space="0" w:color="000000" w:themeColor="text1"/>
            </w:tcBorders>
          </w:tcPr>
          <w:p w14:paraId="248EF0F6" w14:textId="7BF146D7"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 xml:space="preserve"> 17.5 (3.8)</w:t>
            </w:r>
          </w:p>
        </w:tc>
        <w:tc>
          <w:tcPr>
            <w:tcW w:w="975" w:type="dxa"/>
            <w:tcBorders>
              <w:bottom w:val="single" w:sz="4" w:space="0" w:color="000000" w:themeColor="text1"/>
              <w:right w:val="single" w:sz="4" w:space="0" w:color="000000" w:themeColor="text1"/>
            </w:tcBorders>
          </w:tcPr>
          <w:p w14:paraId="483B629D" w14:textId="2332E8FA" w:rsidR="07C7638B" w:rsidRDefault="339F3C98" w:rsidP="339F3C98">
            <w:pPr>
              <w:jc w:val="center"/>
              <w:cnfStyle w:val="000000000000" w:firstRow="0" w:lastRow="0" w:firstColumn="0" w:lastColumn="0" w:oddVBand="0" w:evenVBand="0" w:oddHBand="0" w:evenHBand="0" w:firstRowFirstColumn="0" w:firstRowLastColumn="0" w:lastRowFirstColumn="0" w:lastRowLastColumn="0"/>
              <w:rPr>
                <w:rFonts w:eastAsiaTheme="minorEastAsia"/>
              </w:rPr>
            </w:pPr>
            <w:r w:rsidRPr="339F3C98">
              <w:rPr>
                <w:rFonts w:eastAsiaTheme="minorEastAsia"/>
              </w:rPr>
              <w:t>&lt;.001</w:t>
            </w:r>
          </w:p>
        </w:tc>
      </w:tr>
    </w:tbl>
    <w:p w14:paraId="1E20A7F5" w14:textId="1978AE62" w:rsidR="0598203A" w:rsidRDefault="0598203A" w:rsidP="0598203A">
      <w:pPr>
        <w:spacing w:line="480" w:lineRule="auto"/>
        <w:ind w:firstLine="720"/>
        <w:rPr>
          <w:rFonts w:eastAsiaTheme="minorEastAsia"/>
          <w:color w:val="000000" w:themeColor="text1"/>
        </w:rPr>
      </w:pPr>
    </w:p>
    <w:p w14:paraId="403F48C5" w14:textId="139A3E35" w:rsidR="07C7638B" w:rsidRDefault="6D5C381B" w:rsidP="6D5C381B">
      <w:pPr>
        <w:spacing w:line="480" w:lineRule="auto"/>
        <w:ind w:firstLine="720"/>
        <w:rPr>
          <w:rFonts w:eastAsiaTheme="minorEastAsia"/>
          <w:color w:val="000000" w:themeColor="text1"/>
        </w:rPr>
      </w:pPr>
      <w:r w:rsidRPr="6D5C381B">
        <w:rPr>
          <w:rFonts w:eastAsiaTheme="minorEastAsia"/>
          <w:color w:val="000000" w:themeColor="text1"/>
        </w:rPr>
        <w:t xml:space="preserve">In post-hoc analyses comparing TWS groups on age at which each weight occurred, we found a significant interaction between age category (i.e., premorbid high, postmorbid high, postmorbid low, and admission) and tertile group, </w:t>
      </w:r>
      <w:r w:rsidRPr="6D5C381B">
        <w:rPr>
          <w:rFonts w:eastAsiaTheme="minorEastAsia"/>
          <w:i/>
          <w:iCs/>
          <w:color w:val="000000" w:themeColor="text1"/>
        </w:rPr>
        <w:t>F</w:t>
      </w:r>
      <w:r w:rsidRPr="6D5C381B">
        <w:rPr>
          <w:rFonts w:eastAsiaTheme="minorEastAsia"/>
          <w:color w:val="000000" w:themeColor="text1"/>
        </w:rPr>
        <w:t xml:space="preserve">(2.18,826.39) = 19.70, </w:t>
      </w:r>
      <w:r w:rsidRPr="6D5C381B">
        <w:rPr>
          <w:rFonts w:eastAsiaTheme="minorEastAsia"/>
          <w:i/>
          <w:iCs/>
          <w:color w:val="000000" w:themeColor="text1"/>
        </w:rPr>
        <w:t>p</w:t>
      </w:r>
      <w:r w:rsidRPr="6D5C381B">
        <w:rPr>
          <w:rFonts w:eastAsiaTheme="minorEastAsia"/>
          <w:color w:val="000000" w:themeColor="text1"/>
        </w:rPr>
        <w:t xml:space="preserve"> &lt; .001, </w:t>
      </w:r>
      <w:r w:rsidRPr="6D5C381B">
        <w:rPr>
          <w:rFonts w:eastAsiaTheme="minorEastAsia"/>
          <w:i/>
          <w:iCs/>
          <w:color w:val="000000" w:themeColor="text1"/>
        </w:rPr>
        <w:t>η</w:t>
      </w:r>
      <w:r w:rsidRPr="6D5C381B">
        <w:rPr>
          <w:rFonts w:eastAsiaTheme="minorEastAsia"/>
          <w:i/>
          <w:iCs/>
          <w:color w:val="000000" w:themeColor="text1"/>
          <w:vertAlign w:val="subscript"/>
        </w:rPr>
        <w:t>p</w:t>
      </w:r>
      <w:r w:rsidRPr="6D5C381B">
        <w:rPr>
          <w:rFonts w:eastAsiaTheme="minorEastAsia"/>
          <w:i/>
          <w:iCs/>
          <w:color w:val="000000" w:themeColor="text1"/>
          <w:vertAlign w:val="superscript"/>
        </w:rPr>
        <w:t>2</w:t>
      </w:r>
      <w:r w:rsidRPr="6D5C381B">
        <w:rPr>
          <w:rFonts w:eastAsiaTheme="minorEastAsia"/>
          <w:color w:val="000000" w:themeColor="text1"/>
          <w:vertAlign w:val="superscript"/>
        </w:rPr>
        <w:t xml:space="preserve"> </w:t>
      </w:r>
      <w:r w:rsidRPr="6D5C381B">
        <w:rPr>
          <w:rFonts w:eastAsiaTheme="minorEastAsia"/>
          <w:color w:val="000000" w:themeColor="text1"/>
        </w:rPr>
        <w:t>= 0.05</w:t>
      </w:r>
      <w:r w:rsidRPr="6D5C381B">
        <w:rPr>
          <w:rFonts w:eastAsiaTheme="minorEastAsia"/>
          <w:i/>
          <w:iCs/>
          <w:color w:val="000000" w:themeColor="text1"/>
        </w:rPr>
        <w:t xml:space="preserve">, </w:t>
      </w:r>
      <w:r w:rsidRPr="6D5C381B">
        <w:rPr>
          <w:rFonts w:eastAsiaTheme="minorEastAsia"/>
          <w:color w:val="000000" w:themeColor="text1"/>
        </w:rPr>
        <w:t>as well as significant main effects of age category,</w:t>
      </w:r>
      <w:r w:rsidRPr="6D5C381B">
        <w:rPr>
          <w:rFonts w:eastAsiaTheme="minorEastAsia"/>
          <w:i/>
          <w:iCs/>
          <w:color w:val="000000" w:themeColor="text1"/>
        </w:rPr>
        <w:t xml:space="preserve"> F</w:t>
      </w:r>
      <w:r w:rsidRPr="6D5C381B">
        <w:rPr>
          <w:rFonts w:eastAsiaTheme="minorEastAsia"/>
          <w:color w:val="000000" w:themeColor="text1"/>
        </w:rPr>
        <w:t xml:space="preserve">(2.18,826.39) = 305.63, </w:t>
      </w:r>
      <w:r w:rsidRPr="6D5C381B">
        <w:rPr>
          <w:rFonts w:eastAsiaTheme="minorEastAsia"/>
          <w:i/>
          <w:iCs/>
          <w:color w:val="000000" w:themeColor="text1"/>
        </w:rPr>
        <w:t>p</w:t>
      </w:r>
      <w:r w:rsidRPr="6D5C381B">
        <w:rPr>
          <w:rFonts w:eastAsiaTheme="minorEastAsia"/>
          <w:color w:val="000000" w:themeColor="text1"/>
        </w:rPr>
        <w:t xml:space="preserve"> &lt; .001, </w:t>
      </w:r>
      <w:r w:rsidRPr="6D5C381B">
        <w:rPr>
          <w:rFonts w:eastAsiaTheme="minorEastAsia"/>
          <w:i/>
          <w:iCs/>
          <w:color w:val="000000" w:themeColor="text1"/>
        </w:rPr>
        <w:t>η</w:t>
      </w:r>
      <w:r w:rsidRPr="6D5C381B">
        <w:rPr>
          <w:rFonts w:eastAsiaTheme="minorEastAsia"/>
          <w:i/>
          <w:iCs/>
          <w:color w:val="000000" w:themeColor="text1"/>
          <w:vertAlign w:val="subscript"/>
        </w:rPr>
        <w:t>p</w:t>
      </w:r>
      <w:r w:rsidRPr="6D5C381B">
        <w:rPr>
          <w:rFonts w:eastAsiaTheme="minorEastAsia"/>
          <w:i/>
          <w:iCs/>
          <w:color w:val="000000" w:themeColor="text1"/>
          <w:vertAlign w:val="superscript"/>
        </w:rPr>
        <w:t>2</w:t>
      </w:r>
      <w:r w:rsidRPr="6D5C381B">
        <w:rPr>
          <w:rFonts w:eastAsiaTheme="minorEastAsia"/>
          <w:color w:val="000000" w:themeColor="text1"/>
          <w:vertAlign w:val="superscript"/>
        </w:rPr>
        <w:t xml:space="preserve"> </w:t>
      </w:r>
      <w:r w:rsidRPr="6D5C381B">
        <w:rPr>
          <w:rFonts w:eastAsiaTheme="minorEastAsia"/>
          <w:color w:val="000000" w:themeColor="text1"/>
        </w:rPr>
        <w:t xml:space="preserve">= 0.45, and tertile group, </w:t>
      </w:r>
      <w:r w:rsidRPr="6D5C381B">
        <w:rPr>
          <w:rFonts w:eastAsiaTheme="minorEastAsia"/>
          <w:i/>
          <w:iCs/>
          <w:color w:val="000000" w:themeColor="text1"/>
        </w:rPr>
        <w:t>F</w:t>
      </w:r>
      <w:r w:rsidRPr="6D5C381B">
        <w:rPr>
          <w:rFonts w:eastAsiaTheme="minorEastAsia"/>
          <w:color w:val="000000" w:themeColor="text1"/>
        </w:rPr>
        <w:t xml:space="preserve">(1,380) = 9.20, </w:t>
      </w:r>
      <w:r w:rsidRPr="6D5C381B">
        <w:rPr>
          <w:rFonts w:eastAsiaTheme="minorEastAsia"/>
          <w:i/>
          <w:iCs/>
          <w:color w:val="000000" w:themeColor="text1"/>
        </w:rPr>
        <w:t>p</w:t>
      </w:r>
      <w:r w:rsidRPr="6D5C381B">
        <w:rPr>
          <w:rFonts w:eastAsiaTheme="minorEastAsia"/>
          <w:color w:val="000000" w:themeColor="text1"/>
        </w:rPr>
        <w:t xml:space="preserve"> = .003, </w:t>
      </w:r>
      <w:r w:rsidRPr="6D5C381B">
        <w:rPr>
          <w:rFonts w:eastAsiaTheme="minorEastAsia"/>
          <w:i/>
          <w:iCs/>
          <w:color w:val="000000" w:themeColor="text1"/>
        </w:rPr>
        <w:t>η</w:t>
      </w:r>
      <w:r w:rsidRPr="6D5C381B">
        <w:rPr>
          <w:rFonts w:eastAsiaTheme="minorEastAsia"/>
          <w:i/>
          <w:iCs/>
          <w:color w:val="000000" w:themeColor="text1"/>
          <w:vertAlign w:val="subscript"/>
        </w:rPr>
        <w:t>p</w:t>
      </w:r>
      <w:r w:rsidRPr="6D5C381B">
        <w:rPr>
          <w:rFonts w:eastAsiaTheme="minorEastAsia"/>
          <w:i/>
          <w:iCs/>
          <w:color w:val="000000" w:themeColor="text1"/>
          <w:vertAlign w:val="superscript"/>
        </w:rPr>
        <w:t>2</w:t>
      </w:r>
      <w:r w:rsidRPr="6D5C381B">
        <w:rPr>
          <w:rFonts w:eastAsiaTheme="minorEastAsia"/>
          <w:color w:val="000000" w:themeColor="text1"/>
          <w:vertAlign w:val="superscript"/>
        </w:rPr>
        <w:t xml:space="preserve"> </w:t>
      </w:r>
      <w:r w:rsidRPr="6D5C381B">
        <w:rPr>
          <w:rFonts w:eastAsiaTheme="minorEastAsia"/>
          <w:color w:val="000000" w:themeColor="text1"/>
        </w:rPr>
        <w:t>= 0.02.</w:t>
      </w:r>
    </w:p>
    <w:p w14:paraId="0153B429" w14:textId="786EB929" w:rsidR="07C7638B" w:rsidRDefault="6D5C381B" w:rsidP="339F3C98">
      <w:pPr>
        <w:spacing w:line="480" w:lineRule="auto"/>
        <w:ind w:firstLine="720"/>
        <w:rPr>
          <w:rFonts w:eastAsiaTheme="minorEastAsia"/>
          <w:color w:val="000000" w:themeColor="text1"/>
        </w:rPr>
      </w:pPr>
      <w:r w:rsidRPr="6D5C381B">
        <w:rPr>
          <w:rFonts w:eastAsiaTheme="minorEastAsia"/>
          <w:color w:val="000000" w:themeColor="text1"/>
        </w:rPr>
        <w:t>Bonferroni post hoc analyses revealed, unsurprisingly, that premorbid high weights were experienced at significantly younger ages, and admission weights at significantly older ages, than all other weight categories for both groups (</w:t>
      </w:r>
      <w:proofErr w:type="spellStart"/>
      <w:r w:rsidRPr="6D5C381B">
        <w:rPr>
          <w:rFonts w:eastAsiaTheme="minorEastAsia"/>
          <w:i/>
          <w:iCs/>
          <w:color w:val="000000" w:themeColor="text1"/>
        </w:rPr>
        <w:t>p</w:t>
      </w:r>
      <w:r w:rsidRPr="6D5C381B">
        <w:rPr>
          <w:rFonts w:eastAsiaTheme="minorEastAsia"/>
          <w:color w:val="000000" w:themeColor="text1"/>
        </w:rPr>
        <w:t>s</w:t>
      </w:r>
      <w:proofErr w:type="spellEnd"/>
      <w:r w:rsidRPr="6D5C381B">
        <w:rPr>
          <w:rFonts w:eastAsiaTheme="minorEastAsia"/>
          <w:color w:val="000000" w:themeColor="text1"/>
        </w:rPr>
        <w:t xml:space="preserve"> &lt; .001). However, within the low TWS group, postmorbid low weights were experienced significantly earlier (</w:t>
      </w:r>
      <w:r w:rsidRPr="6D5C381B">
        <w:rPr>
          <w:rFonts w:eastAsiaTheme="minorEastAsia"/>
          <w:i/>
          <w:iCs/>
          <w:color w:val="000000" w:themeColor="text1"/>
        </w:rPr>
        <w:t xml:space="preserve">M </w:t>
      </w:r>
      <w:r w:rsidRPr="6D5C381B">
        <w:rPr>
          <w:rFonts w:eastAsiaTheme="minorEastAsia"/>
          <w:color w:val="000000" w:themeColor="text1"/>
        </w:rPr>
        <w:t xml:space="preserve">= 18.5 years, </w:t>
      </w:r>
      <w:r w:rsidRPr="6D5C381B">
        <w:rPr>
          <w:rFonts w:eastAsiaTheme="minorEastAsia"/>
          <w:i/>
          <w:iCs/>
          <w:color w:val="000000" w:themeColor="text1"/>
        </w:rPr>
        <w:t>SD</w:t>
      </w:r>
      <w:r w:rsidRPr="6D5C381B">
        <w:rPr>
          <w:rFonts w:eastAsiaTheme="minorEastAsia"/>
          <w:color w:val="000000" w:themeColor="text1"/>
        </w:rPr>
        <w:t xml:space="preserve"> = 6.3) than postmorbid high weights (</w:t>
      </w:r>
      <w:r w:rsidRPr="6D5C381B">
        <w:rPr>
          <w:rFonts w:eastAsiaTheme="minorEastAsia"/>
          <w:i/>
          <w:iCs/>
          <w:color w:val="000000" w:themeColor="text1"/>
        </w:rPr>
        <w:t xml:space="preserve">M </w:t>
      </w:r>
      <w:r w:rsidRPr="6D5C381B">
        <w:rPr>
          <w:rFonts w:eastAsiaTheme="minorEastAsia"/>
          <w:color w:val="000000" w:themeColor="text1"/>
        </w:rPr>
        <w:t xml:space="preserve">= 22.2 years, </w:t>
      </w:r>
      <w:r w:rsidRPr="6D5C381B">
        <w:rPr>
          <w:rFonts w:eastAsiaTheme="minorEastAsia"/>
          <w:i/>
          <w:iCs/>
          <w:color w:val="000000" w:themeColor="text1"/>
        </w:rPr>
        <w:t>SD</w:t>
      </w:r>
      <w:r w:rsidRPr="6D5C381B">
        <w:rPr>
          <w:rFonts w:eastAsiaTheme="minorEastAsia"/>
          <w:color w:val="000000" w:themeColor="text1"/>
        </w:rPr>
        <w:t xml:space="preserve"> = 8.4; </w:t>
      </w:r>
      <w:r w:rsidRPr="6D5C381B">
        <w:rPr>
          <w:rFonts w:eastAsiaTheme="minorEastAsia"/>
          <w:i/>
          <w:iCs/>
          <w:color w:val="000000" w:themeColor="text1"/>
        </w:rPr>
        <w:t>p</w:t>
      </w:r>
      <w:r w:rsidRPr="6D5C381B">
        <w:rPr>
          <w:rFonts w:eastAsiaTheme="minorEastAsia"/>
          <w:color w:val="000000" w:themeColor="text1"/>
        </w:rPr>
        <w:t xml:space="preserve"> &lt; .001); in contrast, within the high TWS group, postmorbid low age (</w:t>
      </w:r>
      <w:r w:rsidRPr="6D5C381B">
        <w:rPr>
          <w:rFonts w:eastAsiaTheme="minorEastAsia"/>
          <w:i/>
          <w:iCs/>
          <w:color w:val="000000" w:themeColor="text1"/>
        </w:rPr>
        <w:t xml:space="preserve">M </w:t>
      </w:r>
      <w:r w:rsidRPr="6D5C381B">
        <w:rPr>
          <w:rFonts w:eastAsiaTheme="minorEastAsia"/>
          <w:color w:val="000000" w:themeColor="text1"/>
        </w:rPr>
        <w:t xml:space="preserve">= 22.4, </w:t>
      </w:r>
      <w:r w:rsidRPr="6D5C381B">
        <w:rPr>
          <w:rFonts w:eastAsiaTheme="minorEastAsia"/>
          <w:i/>
          <w:iCs/>
          <w:color w:val="000000" w:themeColor="text1"/>
        </w:rPr>
        <w:t>SD</w:t>
      </w:r>
      <w:r w:rsidRPr="6D5C381B">
        <w:rPr>
          <w:rFonts w:eastAsiaTheme="minorEastAsia"/>
          <w:color w:val="000000" w:themeColor="text1"/>
        </w:rPr>
        <w:t xml:space="preserve"> = 8.0) and postmorbid high age (</w:t>
      </w:r>
      <w:r w:rsidRPr="6D5C381B">
        <w:rPr>
          <w:rFonts w:eastAsiaTheme="minorEastAsia"/>
          <w:i/>
          <w:iCs/>
          <w:color w:val="000000" w:themeColor="text1"/>
        </w:rPr>
        <w:t xml:space="preserve">M </w:t>
      </w:r>
      <w:r w:rsidRPr="6D5C381B">
        <w:rPr>
          <w:rFonts w:eastAsiaTheme="minorEastAsia"/>
          <w:color w:val="000000" w:themeColor="text1"/>
        </w:rPr>
        <w:t xml:space="preserve">= 21.6, </w:t>
      </w:r>
      <w:r w:rsidRPr="6D5C381B">
        <w:rPr>
          <w:rFonts w:eastAsiaTheme="minorEastAsia"/>
          <w:i/>
          <w:iCs/>
          <w:color w:val="000000" w:themeColor="text1"/>
        </w:rPr>
        <w:t>SD</w:t>
      </w:r>
      <w:r w:rsidRPr="6D5C381B">
        <w:rPr>
          <w:rFonts w:eastAsiaTheme="minorEastAsia"/>
          <w:color w:val="000000" w:themeColor="text1"/>
        </w:rPr>
        <w:t xml:space="preserve"> = 7.5) were not significantly different from each other (</w:t>
      </w:r>
      <w:r w:rsidRPr="6D5C381B">
        <w:rPr>
          <w:rFonts w:eastAsiaTheme="minorEastAsia"/>
          <w:i/>
          <w:iCs/>
          <w:color w:val="000000" w:themeColor="text1"/>
        </w:rPr>
        <w:t>p</w:t>
      </w:r>
      <w:r w:rsidRPr="6D5C381B">
        <w:rPr>
          <w:rFonts w:eastAsiaTheme="minorEastAsia"/>
          <w:color w:val="000000" w:themeColor="text1"/>
        </w:rPr>
        <w:t xml:space="preserve"> = .60). Again, whereas a vast majority of participants within the low TWS group (74.7%) reported experiencing their postmorbid low weights first, relative to their postmorbid high weights, a majority of participants within the high TWS group (64.4%) reported experiencing their postmorbid high weights first. </w:t>
      </w:r>
    </w:p>
    <w:p w14:paraId="3261916F" w14:textId="3CAB24A9" w:rsidR="6D5C381B" w:rsidRDefault="6D5C381B">
      <w:r>
        <w:br w:type="page"/>
      </w:r>
    </w:p>
    <w:p w14:paraId="2B5F45BA" w14:textId="293C2401" w:rsidR="35B26D0E" w:rsidRDefault="339F3C98" w:rsidP="339F3C98">
      <w:pPr>
        <w:spacing w:line="480" w:lineRule="auto"/>
        <w:rPr>
          <w:rFonts w:eastAsiaTheme="minorEastAsia"/>
          <w:b/>
          <w:bCs/>
          <w:color w:val="000000" w:themeColor="text1"/>
        </w:rPr>
      </w:pPr>
      <w:r w:rsidRPr="339F3C98">
        <w:rPr>
          <w:rFonts w:eastAsiaTheme="minorEastAsia"/>
          <w:b/>
          <w:bCs/>
          <w:color w:val="000000" w:themeColor="text1"/>
        </w:rPr>
        <w:lastRenderedPageBreak/>
        <w:t>S</w:t>
      </w:r>
      <w:r w:rsidR="00602925">
        <w:rPr>
          <w:rFonts w:eastAsiaTheme="minorEastAsia"/>
          <w:b/>
          <w:bCs/>
          <w:color w:val="000000" w:themeColor="text1"/>
        </w:rPr>
        <w:t>M</w:t>
      </w:r>
      <w:r w:rsidRPr="339F3C98">
        <w:rPr>
          <w:rFonts w:eastAsiaTheme="minorEastAsia"/>
          <w:b/>
          <w:bCs/>
          <w:color w:val="000000" w:themeColor="text1"/>
        </w:rPr>
        <w:t>.5 Differences Between Analyses Using TWS and Analyses Using DWS</w:t>
      </w:r>
    </w:p>
    <w:p w14:paraId="272FD7FE" w14:textId="576391B1" w:rsidR="35B26D0E" w:rsidRDefault="339F3C98" w:rsidP="339F3C98">
      <w:pPr>
        <w:spacing w:line="480" w:lineRule="auto"/>
        <w:ind w:firstLine="720"/>
        <w:rPr>
          <w:rFonts w:eastAsiaTheme="minorEastAsia"/>
          <w:color w:val="000000" w:themeColor="text1"/>
        </w:rPr>
      </w:pPr>
      <w:r w:rsidRPr="339F3C98">
        <w:rPr>
          <w:rFonts w:eastAsiaTheme="minorEastAsia"/>
          <w:color w:val="000000" w:themeColor="text1"/>
        </w:rPr>
        <w:t xml:space="preserve">The TWS and DWS formulations resulted in partially distinct samples. That is, of the 467 participants in the TWS sample, 147 were not represented in the DWS sample, and of the 453 participants in the DWS sample, 133 were not represented in the TWS sample. Although this non-overlap was partially due to missing data (i.e., of the original 709 participants, 31 were eligible for TWS analyses but not DWS analyses, and 6 were eligible for DWS but not TWS analyses), it was largely due to different individuals being captured within the low and high tertile groups according to the two formulations. In other words, a substantial portion of individuals categorized as being in either the bottom or top third percentile of WS according to one formulation fell into the middle tertile according to the other formulation (and, thus, were not included in the respective analyses). Furthermore, some individuals categorized as having </w:t>
      </w:r>
      <w:r w:rsidRPr="339F3C98">
        <w:rPr>
          <w:rFonts w:eastAsiaTheme="minorEastAsia"/>
          <w:i/>
          <w:iCs/>
          <w:color w:val="000000" w:themeColor="text1"/>
        </w:rPr>
        <w:t>high</w:t>
      </w:r>
      <w:r w:rsidRPr="339F3C98">
        <w:rPr>
          <w:rFonts w:eastAsiaTheme="minorEastAsia"/>
          <w:color w:val="000000" w:themeColor="text1"/>
        </w:rPr>
        <w:t xml:space="preserve"> TWS actually fell into the </w:t>
      </w:r>
      <w:r w:rsidRPr="339F3C98">
        <w:rPr>
          <w:rFonts w:eastAsiaTheme="minorEastAsia"/>
          <w:i/>
          <w:iCs/>
          <w:color w:val="000000" w:themeColor="text1"/>
        </w:rPr>
        <w:t>low</w:t>
      </w:r>
      <w:r w:rsidRPr="339F3C98">
        <w:rPr>
          <w:rFonts w:eastAsiaTheme="minorEastAsia"/>
          <w:color w:val="000000" w:themeColor="text1"/>
        </w:rPr>
        <w:t xml:space="preserve"> DWS tertile, and vice versa. Therefore, differences in findings between the two formulations may also partially result from the fact that the samples did not include the same individuals within their low and high tertile groups.</w:t>
      </w:r>
    </w:p>
    <w:p w14:paraId="73CB9133" w14:textId="705D587A" w:rsidR="07C7638B" w:rsidRDefault="0598203A" w:rsidP="0598203A">
      <w:pPr>
        <w:spacing w:line="480" w:lineRule="auto"/>
        <w:ind w:firstLine="720"/>
        <w:rPr>
          <w:rFonts w:eastAsiaTheme="minorEastAsia"/>
          <w:color w:val="000000" w:themeColor="text1"/>
        </w:rPr>
      </w:pPr>
      <w:r w:rsidRPr="0598203A">
        <w:rPr>
          <w:rFonts w:eastAsiaTheme="minorEastAsia"/>
          <w:color w:val="000000" w:themeColor="text1"/>
        </w:rPr>
        <w:t xml:space="preserve">While the pattern of results found when using TWS was similar to the pattern found when using DWS, there were some minor differences. First, while both high and low TWS groups surpassed their premorbid high BMIs </w:t>
      </w:r>
      <w:proofErr w:type="spellStart"/>
      <w:r w:rsidRPr="0598203A">
        <w:rPr>
          <w:rFonts w:eastAsiaTheme="minorEastAsia"/>
          <w:color w:val="000000" w:themeColor="text1"/>
        </w:rPr>
        <w:t>postmorbidly</w:t>
      </w:r>
      <w:proofErr w:type="spellEnd"/>
      <w:r w:rsidRPr="0598203A">
        <w:rPr>
          <w:rFonts w:eastAsiaTheme="minorEastAsia"/>
          <w:color w:val="000000" w:themeColor="text1"/>
        </w:rPr>
        <w:t xml:space="preserve">, only the low DWS group surpassed their premorbid high z-BMI </w:t>
      </w:r>
      <w:proofErr w:type="spellStart"/>
      <w:r w:rsidRPr="0598203A">
        <w:rPr>
          <w:rFonts w:eastAsiaTheme="minorEastAsia"/>
          <w:color w:val="000000" w:themeColor="text1"/>
        </w:rPr>
        <w:t>postmorbidly</w:t>
      </w:r>
      <w:proofErr w:type="spellEnd"/>
      <w:r w:rsidRPr="0598203A">
        <w:rPr>
          <w:rFonts w:eastAsiaTheme="minorEastAsia"/>
          <w:color w:val="000000" w:themeColor="text1"/>
        </w:rPr>
        <w:t xml:space="preserve">. The high DWS group, on the other hand, had a postmorbid high z-BMI that was significantly lower than their premorbid high z-BMI. Second, while postmorbid low weights did not differ significantly between low and high TWS groups, the high DWS group had a postmorbid low z-BMI that was significantly lower than the low DWS group. Third, while the high TWS group had a </w:t>
      </w:r>
      <w:r w:rsidRPr="0598203A">
        <w:rPr>
          <w:rFonts w:eastAsiaTheme="minorEastAsia"/>
          <w:i/>
          <w:iCs/>
          <w:color w:val="000000" w:themeColor="text1"/>
        </w:rPr>
        <w:t xml:space="preserve">higher </w:t>
      </w:r>
      <w:r w:rsidRPr="0598203A">
        <w:rPr>
          <w:rFonts w:eastAsiaTheme="minorEastAsia"/>
          <w:color w:val="000000" w:themeColor="text1"/>
        </w:rPr>
        <w:t xml:space="preserve">postmorbid high weight than the low TWS group, the high DWS group had a </w:t>
      </w:r>
      <w:r w:rsidRPr="0598203A">
        <w:rPr>
          <w:rFonts w:eastAsiaTheme="minorEastAsia"/>
          <w:i/>
          <w:iCs/>
          <w:color w:val="000000" w:themeColor="text1"/>
        </w:rPr>
        <w:t xml:space="preserve">lower </w:t>
      </w:r>
      <w:r w:rsidRPr="0598203A">
        <w:rPr>
          <w:rFonts w:eastAsiaTheme="minorEastAsia"/>
          <w:color w:val="000000" w:themeColor="text1"/>
        </w:rPr>
        <w:t xml:space="preserve">postmorbid high weight than the low DWS group. Finally, differences emerged between TWS and DWS groups on age at which low and high tertiles presented to treatment. That is, whereas the low TWS group presented at a significantly earlier age than the high TWS group, there was no difference between the DWS groups. </w:t>
      </w:r>
    </w:p>
    <w:sectPr w:rsidR="07C7638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7ACAF" w14:textId="77777777" w:rsidR="00EE4D1B" w:rsidRDefault="00EE4D1B" w:rsidP="00E92E4F">
      <w:pPr>
        <w:spacing w:after="0" w:line="240" w:lineRule="auto"/>
      </w:pPr>
      <w:r>
        <w:separator/>
      </w:r>
    </w:p>
  </w:endnote>
  <w:endnote w:type="continuationSeparator" w:id="0">
    <w:p w14:paraId="4BE4AD93" w14:textId="77777777" w:rsidR="00EE4D1B" w:rsidRDefault="00EE4D1B" w:rsidP="00E9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54FCC" w14:textId="77777777" w:rsidR="00EE4D1B" w:rsidRDefault="00EE4D1B" w:rsidP="00E92E4F">
      <w:pPr>
        <w:spacing w:after="0" w:line="240" w:lineRule="auto"/>
      </w:pPr>
      <w:r>
        <w:separator/>
      </w:r>
    </w:p>
  </w:footnote>
  <w:footnote w:type="continuationSeparator" w:id="0">
    <w:p w14:paraId="4AF9F76B" w14:textId="77777777" w:rsidR="00EE4D1B" w:rsidRDefault="00EE4D1B" w:rsidP="00E92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2529530"/>
      <w:docPartObj>
        <w:docPartGallery w:val="Page Numbers (Top of Page)"/>
        <w:docPartUnique/>
      </w:docPartObj>
    </w:sdtPr>
    <w:sdtContent>
      <w:p w14:paraId="60C7EFCD" w14:textId="5AE40149" w:rsidR="00E92E4F" w:rsidRDefault="00E92E4F" w:rsidP="00E92E4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F1BC0B" w14:textId="77777777" w:rsidR="00E92E4F" w:rsidRDefault="00E92E4F" w:rsidP="00E92E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31885112"/>
      <w:docPartObj>
        <w:docPartGallery w:val="Page Numbers (Top of Page)"/>
        <w:docPartUnique/>
      </w:docPartObj>
    </w:sdtPr>
    <w:sdtContent>
      <w:p w14:paraId="68629EB2" w14:textId="1E987C6B" w:rsidR="00E92E4F" w:rsidRDefault="00E92E4F" w:rsidP="002922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sdtContent>
  </w:sdt>
  <w:p w14:paraId="412DF3C4" w14:textId="71689AEE" w:rsidR="00E92E4F" w:rsidRDefault="00E92E4F" w:rsidP="00E92E4F">
    <w:pPr>
      <w:pStyle w:val="Header"/>
      <w:ind w:right="360"/>
    </w:pPr>
    <w:r>
      <w:t>LOW WEIGHT SUPPRESSION IN BULIMIA NERVOSA</w:t>
    </w:r>
  </w:p>
  <w:p w14:paraId="6F6C1E11" w14:textId="77777777" w:rsidR="00E92E4F" w:rsidRDefault="00E92E4F" w:rsidP="00E92E4F">
    <w:pPr>
      <w:pStyle w:val="Header"/>
      <w:ind w:right="360"/>
    </w:pPr>
  </w:p>
</w:hdr>
</file>

<file path=word/intelligence2.xml><?xml version="1.0" encoding="utf-8"?>
<int2:intelligence xmlns:int2="http://schemas.microsoft.com/office/intelligence/2020/intelligence" xmlns:oel="http://schemas.microsoft.com/office/2019/extlst">
  <int2:observations>
    <int2:textHash int2:hashCode="OsvkOEQc8G1a8V" int2:id="cgry460y">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312983"/>
    <w:rsid w:val="000015CE"/>
    <w:rsid w:val="00002A3D"/>
    <w:rsid w:val="00012C0E"/>
    <w:rsid w:val="00020D7C"/>
    <w:rsid w:val="0003026D"/>
    <w:rsid w:val="000443F6"/>
    <w:rsid w:val="00047759"/>
    <w:rsid w:val="00060A08"/>
    <w:rsid w:val="00064439"/>
    <w:rsid w:val="00083D99"/>
    <w:rsid w:val="00090AAE"/>
    <w:rsid w:val="000C19A3"/>
    <w:rsid w:val="000E1B78"/>
    <w:rsid w:val="000F2F68"/>
    <w:rsid w:val="001000BB"/>
    <w:rsid w:val="001014FD"/>
    <w:rsid w:val="00101AC9"/>
    <w:rsid w:val="00124869"/>
    <w:rsid w:val="00132590"/>
    <w:rsid w:val="00132E69"/>
    <w:rsid w:val="001366AE"/>
    <w:rsid w:val="00137D71"/>
    <w:rsid w:val="00150022"/>
    <w:rsid w:val="00162B99"/>
    <w:rsid w:val="00171D4D"/>
    <w:rsid w:val="00172376"/>
    <w:rsid w:val="001738A6"/>
    <w:rsid w:val="00174216"/>
    <w:rsid w:val="001A5766"/>
    <w:rsid w:val="001A7EC8"/>
    <w:rsid w:val="001B0971"/>
    <w:rsid w:val="001B1D51"/>
    <w:rsid w:val="001C19BA"/>
    <w:rsid w:val="001C33E0"/>
    <w:rsid w:val="001E0C12"/>
    <w:rsid w:val="001E3928"/>
    <w:rsid w:val="001E5474"/>
    <w:rsid w:val="001E5FD5"/>
    <w:rsid w:val="001F540B"/>
    <w:rsid w:val="00206232"/>
    <w:rsid w:val="00211F1D"/>
    <w:rsid w:val="002125FE"/>
    <w:rsid w:val="002155AA"/>
    <w:rsid w:val="00223B84"/>
    <w:rsid w:val="00234DE1"/>
    <w:rsid w:val="00236D87"/>
    <w:rsid w:val="00242064"/>
    <w:rsid w:val="00243F04"/>
    <w:rsid w:val="00245036"/>
    <w:rsid w:val="00247296"/>
    <w:rsid w:val="00255AEA"/>
    <w:rsid w:val="00293035"/>
    <w:rsid w:val="002A31A6"/>
    <w:rsid w:val="002B4566"/>
    <w:rsid w:val="002E4440"/>
    <w:rsid w:val="00301035"/>
    <w:rsid w:val="00306168"/>
    <w:rsid w:val="003276BD"/>
    <w:rsid w:val="00331EA3"/>
    <w:rsid w:val="0034695E"/>
    <w:rsid w:val="003502F3"/>
    <w:rsid w:val="00364979"/>
    <w:rsid w:val="00373C57"/>
    <w:rsid w:val="00375307"/>
    <w:rsid w:val="003761EF"/>
    <w:rsid w:val="003779E0"/>
    <w:rsid w:val="003870F7"/>
    <w:rsid w:val="00392780"/>
    <w:rsid w:val="003A2DF5"/>
    <w:rsid w:val="003E2530"/>
    <w:rsid w:val="003E6528"/>
    <w:rsid w:val="003E6E7F"/>
    <w:rsid w:val="003F1FFC"/>
    <w:rsid w:val="003F533D"/>
    <w:rsid w:val="00400B7A"/>
    <w:rsid w:val="004014D9"/>
    <w:rsid w:val="00404798"/>
    <w:rsid w:val="00406425"/>
    <w:rsid w:val="00421A57"/>
    <w:rsid w:val="0043026D"/>
    <w:rsid w:val="00436648"/>
    <w:rsid w:val="0044049E"/>
    <w:rsid w:val="00451E9D"/>
    <w:rsid w:val="004531EC"/>
    <w:rsid w:val="0045446D"/>
    <w:rsid w:val="00464473"/>
    <w:rsid w:val="00477489"/>
    <w:rsid w:val="004A1676"/>
    <w:rsid w:val="004C5BCA"/>
    <w:rsid w:val="004F7AE8"/>
    <w:rsid w:val="00504564"/>
    <w:rsid w:val="005258D5"/>
    <w:rsid w:val="0054324D"/>
    <w:rsid w:val="005445FD"/>
    <w:rsid w:val="00550380"/>
    <w:rsid w:val="0055374D"/>
    <w:rsid w:val="00565EA1"/>
    <w:rsid w:val="005753BD"/>
    <w:rsid w:val="00582947"/>
    <w:rsid w:val="00585733"/>
    <w:rsid w:val="005917F4"/>
    <w:rsid w:val="00593BD2"/>
    <w:rsid w:val="005954FD"/>
    <w:rsid w:val="005A0F34"/>
    <w:rsid w:val="005C2976"/>
    <w:rsid w:val="005C34BD"/>
    <w:rsid w:val="005C3D64"/>
    <w:rsid w:val="005C5718"/>
    <w:rsid w:val="005C6066"/>
    <w:rsid w:val="005D402E"/>
    <w:rsid w:val="005D78DC"/>
    <w:rsid w:val="005F52A3"/>
    <w:rsid w:val="00602925"/>
    <w:rsid w:val="00602A4D"/>
    <w:rsid w:val="006030C8"/>
    <w:rsid w:val="00606BFF"/>
    <w:rsid w:val="00611C32"/>
    <w:rsid w:val="00616E1A"/>
    <w:rsid w:val="00623866"/>
    <w:rsid w:val="00632B56"/>
    <w:rsid w:val="00635394"/>
    <w:rsid w:val="006368AC"/>
    <w:rsid w:val="00640A56"/>
    <w:rsid w:val="00644EB1"/>
    <w:rsid w:val="00645DA7"/>
    <w:rsid w:val="00646565"/>
    <w:rsid w:val="00655A08"/>
    <w:rsid w:val="00671F9E"/>
    <w:rsid w:val="00695E4A"/>
    <w:rsid w:val="006A12B8"/>
    <w:rsid w:val="006A2F9A"/>
    <w:rsid w:val="006A49D6"/>
    <w:rsid w:val="006B6E7C"/>
    <w:rsid w:val="006D7956"/>
    <w:rsid w:val="006E6B90"/>
    <w:rsid w:val="006F2D8B"/>
    <w:rsid w:val="00724664"/>
    <w:rsid w:val="00740385"/>
    <w:rsid w:val="00744B6C"/>
    <w:rsid w:val="00754A29"/>
    <w:rsid w:val="00761191"/>
    <w:rsid w:val="007742B2"/>
    <w:rsid w:val="00774EF7"/>
    <w:rsid w:val="00776FEA"/>
    <w:rsid w:val="0077758E"/>
    <w:rsid w:val="00790D45"/>
    <w:rsid w:val="00791E0F"/>
    <w:rsid w:val="007A23F7"/>
    <w:rsid w:val="007A2F25"/>
    <w:rsid w:val="007B2A29"/>
    <w:rsid w:val="007B4114"/>
    <w:rsid w:val="007B6AF4"/>
    <w:rsid w:val="007C151D"/>
    <w:rsid w:val="007D42BB"/>
    <w:rsid w:val="007E3526"/>
    <w:rsid w:val="007F2C07"/>
    <w:rsid w:val="00803914"/>
    <w:rsid w:val="0081747F"/>
    <w:rsid w:val="00817489"/>
    <w:rsid w:val="0082452C"/>
    <w:rsid w:val="008255C6"/>
    <w:rsid w:val="0084782B"/>
    <w:rsid w:val="0085574E"/>
    <w:rsid w:val="008619A3"/>
    <w:rsid w:val="00861CD2"/>
    <w:rsid w:val="0086267E"/>
    <w:rsid w:val="00870367"/>
    <w:rsid w:val="00876817"/>
    <w:rsid w:val="0088627F"/>
    <w:rsid w:val="00893CE8"/>
    <w:rsid w:val="00896201"/>
    <w:rsid w:val="008A37B6"/>
    <w:rsid w:val="008A381E"/>
    <w:rsid w:val="008B4581"/>
    <w:rsid w:val="008B5635"/>
    <w:rsid w:val="008D019A"/>
    <w:rsid w:val="008E420C"/>
    <w:rsid w:val="008E59E7"/>
    <w:rsid w:val="008E7DBB"/>
    <w:rsid w:val="008F4625"/>
    <w:rsid w:val="00903096"/>
    <w:rsid w:val="00912207"/>
    <w:rsid w:val="00916C6C"/>
    <w:rsid w:val="00922220"/>
    <w:rsid w:val="00922375"/>
    <w:rsid w:val="00923E4B"/>
    <w:rsid w:val="00930AAD"/>
    <w:rsid w:val="0093273F"/>
    <w:rsid w:val="00947EEC"/>
    <w:rsid w:val="00950B3F"/>
    <w:rsid w:val="00955898"/>
    <w:rsid w:val="00957564"/>
    <w:rsid w:val="00961379"/>
    <w:rsid w:val="00974FA6"/>
    <w:rsid w:val="00977B30"/>
    <w:rsid w:val="009907D9"/>
    <w:rsid w:val="00991529"/>
    <w:rsid w:val="009A22F2"/>
    <w:rsid w:val="009B0E3E"/>
    <w:rsid w:val="009B25DC"/>
    <w:rsid w:val="009B6076"/>
    <w:rsid w:val="009C5377"/>
    <w:rsid w:val="009C543B"/>
    <w:rsid w:val="009D0F4A"/>
    <w:rsid w:val="009F140E"/>
    <w:rsid w:val="009F2CC2"/>
    <w:rsid w:val="009F3356"/>
    <w:rsid w:val="00A0448C"/>
    <w:rsid w:val="00A11234"/>
    <w:rsid w:val="00A262DF"/>
    <w:rsid w:val="00A32335"/>
    <w:rsid w:val="00A34F76"/>
    <w:rsid w:val="00A44BED"/>
    <w:rsid w:val="00A73861"/>
    <w:rsid w:val="00A73D75"/>
    <w:rsid w:val="00A74000"/>
    <w:rsid w:val="00A854E1"/>
    <w:rsid w:val="00AA2A49"/>
    <w:rsid w:val="00AA6A6D"/>
    <w:rsid w:val="00AB0F6C"/>
    <w:rsid w:val="00AC43B7"/>
    <w:rsid w:val="00AC4F8F"/>
    <w:rsid w:val="00AC54D5"/>
    <w:rsid w:val="00AD1610"/>
    <w:rsid w:val="00AD1DFD"/>
    <w:rsid w:val="00AE7FA6"/>
    <w:rsid w:val="00AF06FE"/>
    <w:rsid w:val="00B33938"/>
    <w:rsid w:val="00B3501A"/>
    <w:rsid w:val="00B36032"/>
    <w:rsid w:val="00B370A6"/>
    <w:rsid w:val="00B4000D"/>
    <w:rsid w:val="00B44D72"/>
    <w:rsid w:val="00B51A58"/>
    <w:rsid w:val="00B52459"/>
    <w:rsid w:val="00B5555F"/>
    <w:rsid w:val="00B62B0F"/>
    <w:rsid w:val="00B67371"/>
    <w:rsid w:val="00B67B60"/>
    <w:rsid w:val="00B72A58"/>
    <w:rsid w:val="00B86165"/>
    <w:rsid w:val="00B93C90"/>
    <w:rsid w:val="00BA0FD3"/>
    <w:rsid w:val="00BA326A"/>
    <w:rsid w:val="00BC5C22"/>
    <w:rsid w:val="00BD050E"/>
    <w:rsid w:val="00BD0C0D"/>
    <w:rsid w:val="00BD26AA"/>
    <w:rsid w:val="00BE0636"/>
    <w:rsid w:val="00BE6A3E"/>
    <w:rsid w:val="00BE6D07"/>
    <w:rsid w:val="00BF079A"/>
    <w:rsid w:val="00BF2E2D"/>
    <w:rsid w:val="00BF4363"/>
    <w:rsid w:val="00BF4867"/>
    <w:rsid w:val="00BF70A4"/>
    <w:rsid w:val="00C1055F"/>
    <w:rsid w:val="00C33C99"/>
    <w:rsid w:val="00C50EB0"/>
    <w:rsid w:val="00C676AA"/>
    <w:rsid w:val="00C7309E"/>
    <w:rsid w:val="00C87B70"/>
    <w:rsid w:val="00CA0ED0"/>
    <w:rsid w:val="00CC4D57"/>
    <w:rsid w:val="00CC7B21"/>
    <w:rsid w:val="00CD3609"/>
    <w:rsid w:val="00CF5F7E"/>
    <w:rsid w:val="00D003EC"/>
    <w:rsid w:val="00D065BB"/>
    <w:rsid w:val="00D14273"/>
    <w:rsid w:val="00D17F9A"/>
    <w:rsid w:val="00D2154F"/>
    <w:rsid w:val="00D238D7"/>
    <w:rsid w:val="00D2573E"/>
    <w:rsid w:val="00D30667"/>
    <w:rsid w:val="00D31E26"/>
    <w:rsid w:val="00D609B3"/>
    <w:rsid w:val="00D67BB0"/>
    <w:rsid w:val="00D74661"/>
    <w:rsid w:val="00D8009B"/>
    <w:rsid w:val="00D830F8"/>
    <w:rsid w:val="00D95BFF"/>
    <w:rsid w:val="00D966F7"/>
    <w:rsid w:val="00D96FE3"/>
    <w:rsid w:val="00DA0A76"/>
    <w:rsid w:val="00DA2E19"/>
    <w:rsid w:val="00DA370E"/>
    <w:rsid w:val="00DA3BAB"/>
    <w:rsid w:val="00DA7A10"/>
    <w:rsid w:val="00DB09B8"/>
    <w:rsid w:val="00DB68B9"/>
    <w:rsid w:val="00DE12C9"/>
    <w:rsid w:val="00DE1B51"/>
    <w:rsid w:val="00DF4D6D"/>
    <w:rsid w:val="00E001B6"/>
    <w:rsid w:val="00E00E0C"/>
    <w:rsid w:val="00E01D20"/>
    <w:rsid w:val="00E02E1A"/>
    <w:rsid w:val="00E05719"/>
    <w:rsid w:val="00E05D20"/>
    <w:rsid w:val="00E10F61"/>
    <w:rsid w:val="00E2354B"/>
    <w:rsid w:val="00E27314"/>
    <w:rsid w:val="00E273F0"/>
    <w:rsid w:val="00E32B6B"/>
    <w:rsid w:val="00E36A3F"/>
    <w:rsid w:val="00E40677"/>
    <w:rsid w:val="00E40D9A"/>
    <w:rsid w:val="00E459B9"/>
    <w:rsid w:val="00E47BF3"/>
    <w:rsid w:val="00E517CB"/>
    <w:rsid w:val="00E57DAD"/>
    <w:rsid w:val="00E64787"/>
    <w:rsid w:val="00E66F6F"/>
    <w:rsid w:val="00E70A78"/>
    <w:rsid w:val="00E72F3D"/>
    <w:rsid w:val="00E736FE"/>
    <w:rsid w:val="00E755E1"/>
    <w:rsid w:val="00E7611A"/>
    <w:rsid w:val="00E92E4F"/>
    <w:rsid w:val="00E93892"/>
    <w:rsid w:val="00E9543F"/>
    <w:rsid w:val="00E966F2"/>
    <w:rsid w:val="00EA024F"/>
    <w:rsid w:val="00EA22A2"/>
    <w:rsid w:val="00EB44CC"/>
    <w:rsid w:val="00EB49CE"/>
    <w:rsid w:val="00EB593C"/>
    <w:rsid w:val="00EE4D1B"/>
    <w:rsid w:val="00EF61CD"/>
    <w:rsid w:val="00EF7877"/>
    <w:rsid w:val="00F06244"/>
    <w:rsid w:val="00F1037A"/>
    <w:rsid w:val="00F32227"/>
    <w:rsid w:val="00F46AE1"/>
    <w:rsid w:val="00F549B1"/>
    <w:rsid w:val="00F638D0"/>
    <w:rsid w:val="00F63E2F"/>
    <w:rsid w:val="00F70C06"/>
    <w:rsid w:val="00F732A1"/>
    <w:rsid w:val="00F754C1"/>
    <w:rsid w:val="00F92F38"/>
    <w:rsid w:val="00FA0564"/>
    <w:rsid w:val="00FB4E1C"/>
    <w:rsid w:val="00FC0CD2"/>
    <w:rsid w:val="00FC2525"/>
    <w:rsid w:val="00FC39D6"/>
    <w:rsid w:val="00FC3F07"/>
    <w:rsid w:val="00FC7691"/>
    <w:rsid w:val="00FD4A3F"/>
    <w:rsid w:val="00FD6D76"/>
    <w:rsid w:val="00FE2AE2"/>
    <w:rsid w:val="00FF0C45"/>
    <w:rsid w:val="0598203A"/>
    <w:rsid w:val="07B4F189"/>
    <w:rsid w:val="07C7638B"/>
    <w:rsid w:val="0969E0A5"/>
    <w:rsid w:val="0C70FDD6"/>
    <w:rsid w:val="0F8A57AA"/>
    <w:rsid w:val="146F9C61"/>
    <w:rsid w:val="18882ECA"/>
    <w:rsid w:val="1A8681A2"/>
    <w:rsid w:val="1E3221F3"/>
    <w:rsid w:val="1EDF7124"/>
    <w:rsid w:val="32491593"/>
    <w:rsid w:val="339F3C98"/>
    <w:rsid w:val="35B26D0E"/>
    <w:rsid w:val="3F96F7F0"/>
    <w:rsid w:val="44312983"/>
    <w:rsid w:val="44D1081C"/>
    <w:rsid w:val="4520FBC1"/>
    <w:rsid w:val="489EB2D0"/>
    <w:rsid w:val="49DFF46A"/>
    <w:rsid w:val="4D0DAB02"/>
    <w:rsid w:val="51FE50B0"/>
    <w:rsid w:val="5599C9D9"/>
    <w:rsid w:val="55A16ACC"/>
    <w:rsid w:val="5660AF10"/>
    <w:rsid w:val="58F614D5"/>
    <w:rsid w:val="5F2E91C3"/>
    <w:rsid w:val="6B1C10EB"/>
    <w:rsid w:val="6D521CB4"/>
    <w:rsid w:val="6D5C381B"/>
    <w:rsid w:val="73440611"/>
    <w:rsid w:val="7669E9D0"/>
    <w:rsid w:val="77C7D5E6"/>
    <w:rsid w:val="785AD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2983"/>
  <w15:chartTrackingRefBased/>
  <w15:docId w15:val="{E85F80C8-DF74-47BA-9A2C-D41151CC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44B6C"/>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B44CC"/>
    <w:rPr>
      <w:b/>
      <w:bCs/>
    </w:rPr>
  </w:style>
  <w:style w:type="character" w:customStyle="1" w:styleId="CommentSubjectChar">
    <w:name w:val="Comment Subject Char"/>
    <w:basedOn w:val="CommentTextChar"/>
    <w:link w:val="CommentSubject"/>
    <w:uiPriority w:val="99"/>
    <w:semiHidden/>
    <w:rsid w:val="00EB44CC"/>
    <w:rPr>
      <w:b/>
      <w:bCs/>
      <w:sz w:val="20"/>
      <w:szCs w:val="20"/>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02E1A"/>
    <w:rPr>
      <w:color w:val="605E5C"/>
      <w:shd w:val="clear" w:color="auto" w:fill="E1DFDD"/>
    </w:rPr>
  </w:style>
  <w:style w:type="paragraph" w:styleId="Header">
    <w:name w:val="header"/>
    <w:basedOn w:val="Normal"/>
    <w:link w:val="HeaderChar"/>
    <w:uiPriority w:val="99"/>
    <w:unhideWhenUsed/>
    <w:rsid w:val="00E92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E4F"/>
  </w:style>
  <w:style w:type="character" w:styleId="PageNumber">
    <w:name w:val="page number"/>
    <w:basedOn w:val="DefaultParagraphFont"/>
    <w:uiPriority w:val="99"/>
    <w:semiHidden/>
    <w:unhideWhenUsed/>
    <w:rsid w:val="00E92E4F"/>
  </w:style>
  <w:style w:type="paragraph" w:styleId="Footer">
    <w:name w:val="footer"/>
    <w:basedOn w:val="Normal"/>
    <w:link w:val="FooterChar"/>
    <w:uiPriority w:val="99"/>
    <w:unhideWhenUsed/>
    <w:rsid w:val="00E92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592001">
      <w:bodyDiv w:val="1"/>
      <w:marLeft w:val="0"/>
      <w:marRight w:val="0"/>
      <w:marTop w:val="0"/>
      <w:marBottom w:val="0"/>
      <w:divBdr>
        <w:top w:val="none" w:sz="0" w:space="0" w:color="auto"/>
        <w:left w:val="none" w:sz="0" w:space="0" w:color="auto"/>
        <w:bottom w:val="none" w:sz="0" w:space="0" w:color="auto"/>
        <w:right w:val="none" w:sz="0" w:space="0" w:color="auto"/>
      </w:divBdr>
      <w:divsChild>
        <w:div w:id="611860765">
          <w:marLeft w:val="0"/>
          <w:marRight w:val="0"/>
          <w:marTop w:val="0"/>
          <w:marBottom w:val="0"/>
          <w:divBdr>
            <w:top w:val="none" w:sz="0" w:space="0" w:color="auto"/>
            <w:left w:val="none" w:sz="0" w:space="0" w:color="auto"/>
            <w:bottom w:val="none" w:sz="0" w:space="0" w:color="auto"/>
            <w:right w:val="none" w:sz="0" w:space="0" w:color="auto"/>
          </w:divBdr>
          <w:divsChild>
            <w:div w:id="94250538">
              <w:marLeft w:val="0"/>
              <w:marRight w:val="0"/>
              <w:marTop w:val="0"/>
              <w:marBottom w:val="0"/>
              <w:divBdr>
                <w:top w:val="none" w:sz="0" w:space="0" w:color="auto"/>
                <w:left w:val="none" w:sz="0" w:space="0" w:color="auto"/>
                <w:bottom w:val="none" w:sz="0" w:space="0" w:color="auto"/>
                <w:right w:val="none" w:sz="0" w:space="0" w:color="auto"/>
              </w:divBdr>
              <w:divsChild>
                <w:div w:id="6882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20/10/relationships/intelligence" Target="intelligence2.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Friedman</dc:creator>
  <cp:keywords/>
  <dc:description/>
  <cp:lastModifiedBy>Friedman,Ingrid</cp:lastModifiedBy>
  <cp:revision>12</cp:revision>
  <dcterms:created xsi:type="dcterms:W3CDTF">2024-10-12T18:02:00Z</dcterms:created>
  <dcterms:modified xsi:type="dcterms:W3CDTF">2024-12-11T17:36:00Z</dcterms:modified>
</cp:coreProperties>
</file>