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9C2FC" w14:textId="77777777" w:rsidR="000B6283" w:rsidRDefault="000B6283" w:rsidP="00713E87">
      <w:pPr>
        <w:spacing w:line="480" w:lineRule="auto"/>
        <w:jc w:val="center"/>
        <w:rPr>
          <w:rFonts w:ascii="Times New Roman" w:hAnsi="Times New Roman" w:cs="Times New Roman"/>
          <w:b/>
          <w:sz w:val="24"/>
          <w:szCs w:val="24"/>
        </w:rPr>
      </w:pPr>
    </w:p>
    <w:p w14:paraId="0A7202E2" w14:textId="35D2FDA7" w:rsidR="00713E87" w:rsidRDefault="00713E87" w:rsidP="00713E8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Supplementary Material</w:t>
      </w:r>
    </w:p>
    <w:p w14:paraId="2C3B4A0F" w14:textId="2EA02EDE" w:rsidR="00713E87" w:rsidRPr="00713E87" w:rsidRDefault="00713E87" w:rsidP="00713E87">
      <w:pPr>
        <w:pStyle w:val="H1Study"/>
      </w:pPr>
      <w:r w:rsidRPr="00CD577A">
        <w:t>Psychometric Evaluation of the ‘Caregiver Factors Influencing Treatment’ (Care-FIT) Inventory for Child and Adolescent Eating Disorders</w:t>
      </w:r>
    </w:p>
    <w:p w14:paraId="41F0B9B2" w14:textId="712A67E5" w:rsidR="006E3392" w:rsidRPr="006E3392" w:rsidRDefault="006E3392" w:rsidP="00D25C14">
      <w:pPr>
        <w:spacing w:line="480" w:lineRule="auto"/>
        <w:rPr>
          <w:rFonts w:ascii="Times New Roman" w:hAnsi="Times New Roman" w:cs="Times New Roman"/>
          <w:sz w:val="24"/>
          <w:szCs w:val="24"/>
        </w:rPr>
      </w:pPr>
      <w:r w:rsidRPr="006E3392">
        <w:rPr>
          <w:rFonts w:ascii="Times New Roman" w:hAnsi="Times New Roman" w:cs="Times New Roman"/>
          <w:sz w:val="24"/>
          <w:szCs w:val="24"/>
        </w:rPr>
        <w:tab/>
        <w:t xml:space="preserve">This supplementary file contains </w:t>
      </w:r>
      <w:r>
        <w:rPr>
          <w:rFonts w:ascii="Times New Roman" w:hAnsi="Times New Roman" w:cs="Times New Roman"/>
          <w:sz w:val="24"/>
          <w:szCs w:val="24"/>
        </w:rPr>
        <w:t>a</w:t>
      </w:r>
      <w:r w:rsidR="00304925">
        <w:rPr>
          <w:rFonts w:ascii="Times New Roman" w:hAnsi="Times New Roman" w:cs="Times New Roman"/>
          <w:sz w:val="24"/>
          <w:szCs w:val="24"/>
        </w:rPr>
        <w:t>n</w:t>
      </w:r>
      <w:r>
        <w:rPr>
          <w:rFonts w:ascii="Times New Roman" w:hAnsi="Times New Roman" w:cs="Times New Roman"/>
          <w:sz w:val="24"/>
          <w:szCs w:val="24"/>
        </w:rPr>
        <w:t xml:space="preserve"> </w:t>
      </w:r>
      <w:r w:rsidR="00304925">
        <w:rPr>
          <w:rFonts w:ascii="Times New Roman" w:hAnsi="Times New Roman" w:cs="Times New Roman"/>
          <w:sz w:val="24"/>
          <w:szCs w:val="24"/>
        </w:rPr>
        <w:t>over</w:t>
      </w:r>
      <w:r>
        <w:rPr>
          <w:rFonts w:ascii="Times New Roman" w:hAnsi="Times New Roman" w:cs="Times New Roman"/>
          <w:sz w:val="24"/>
          <w:szCs w:val="24"/>
        </w:rPr>
        <w:t>view of existing assessment measures us</w:t>
      </w:r>
      <w:r w:rsidR="009F5244">
        <w:rPr>
          <w:rFonts w:ascii="Times New Roman" w:hAnsi="Times New Roman" w:cs="Times New Roman"/>
          <w:sz w:val="24"/>
          <w:szCs w:val="24"/>
        </w:rPr>
        <w:t>ed</w:t>
      </w:r>
      <w:r>
        <w:rPr>
          <w:rFonts w:ascii="Times New Roman" w:hAnsi="Times New Roman" w:cs="Times New Roman"/>
          <w:sz w:val="24"/>
          <w:szCs w:val="24"/>
        </w:rPr>
        <w:t xml:space="preserve"> in child and adolescent eating disorder treatment, collected as part of the systematic review which produced the Care-FIT conceptual model </w:t>
      </w:r>
      <w:r w:rsidR="000B6283">
        <w:rPr>
          <w:rFonts w:ascii="Times New Roman" w:hAnsi="Times New Roman" w:cs="Times New Roman"/>
          <w:noProof/>
          <w:sz w:val="24"/>
          <w:szCs w:val="24"/>
        </w:rPr>
        <w:t>[1]</w:t>
      </w:r>
      <w:r>
        <w:rPr>
          <w:rFonts w:ascii="Times New Roman" w:hAnsi="Times New Roman" w:cs="Times New Roman"/>
          <w:sz w:val="24"/>
          <w:szCs w:val="24"/>
        </w:rPr>
        <w:t>.</w:t>
      </w:r>
    </w:p>
    <w:p w14:paraId="1E8C7545" w14:textId="2E02F153" w:rsidR="00D25C14" w:rsidRPr="00713E87" w:rsidRDefault="00D25C14" w:rsidP="00D25C14">
      <w:pPr>
        <w:spacing w:line="480" w:lineRule="auto"/>
        <w:rPr>
          <w:rFonts w:ascii="Times New Roman" w:hAnsi="Times New Roman" w:cs="Times New Roman"/>
          <w:b/>
          <w:sz w:val="24"/>
          <w:szCs w:val="24"/>
        </w:rPr>
      </w:pPr>
      <w:r w:rsidRPr="00713E87">
        <w:rPr>
          <w:rFonts w:ascii="Times New Roman" w:hAnsi="Times New Roman" w:cs="Times New Roman"/>
          <w:b/>
          <w:sz w:val="24"/>
          <w:szCs w:val="24"/>
        </w:rPr>
        <w:t>Existing Assessments in Eating Disorder Treatment</w:t>
      </w:r>
    </w:p>
    <w:p w14:paraId="5FD08EFB" w14:textId="7221D5B1" w:rsidR="00914025" w:rsidRPr="00D25C14" w:rsidRDefault="007626B1" w:rsidP="00D25C14">
      <w:pPr>
        <w:spacing w:line="480" w:lineRule="auto"/>
        <w:ind w:firstLine="720"/>
        <w:rPr>
          <w:rFonts w:ascii="Times New Roman" w:hAnsi="Times New Roman" w:cs="Times New Roman"/>
          <w:sz w:val="24"/>
          <w:szCs w:val="24"/>
        </w:rPr>
      </w:pPr>
      <w:r w:rsidRPr="00D25C14">
        <w:rPr>
          <w:rFonts w:ascii="Times New Roman" w:hAnsi="Times New Roman" w:cs="Times New Roman"/>
          <w:sz w:val="24"/>
          <w:szCs w:val="24"/>
        </w:rPr>
        <w:t>Current psychometric assessments utilised with child and adolescent eating disorder treatment are typically focused on areas such as the symptomology of the young person, including the Eating Disorder Examination Questionnaire (EDE-Q) and its corresponding parent-report version (P-EDE-Q</w:t>
      </w:r>
      <w:r w:rsidR="00A252ED">
        <w:rPr>
          <w:rFonts w:ascii="Times New Roman" w:hAnsi="Times New Roman" w:cs="Times New Roman"/>
          <w:sz w:val="24"/>
          <w:szCs w:val="24"/>
        </w:rPr>
        <w:t>)</w:t>
      </w:r>
      <w:r w:rsidRPr="00D25C14">
        <w:rPr>
          <w:rFonts w:ascii="Times New Roman" w:hAnsi="Times New Roman" w:cs="Times New Roman"/>
          <w:sz w:val="24"/>
          <w:szCs w:val="24"/>
        </w:rPr>
        <w:t xml:space="preserve"> </w:t>
      </w:r>
      <w:r w:rsidR="000B6283">
        <w:rPr>
          <w:rFonts w:ascii="Times New Roman" w:hAnsi="Times New Roman" w:cs="Times New Roman"/>
          <w:noProof/>
          <w:sz w:val="24"/>
          <w:szCs w:val="24"/>
        </w:rPr>
        <w:t>[2]</w:t>
      </w:r>
      <w:r w:rsidRPr="00D25C14">
        <w:rPr>
          <w:rFonts w:ascii="Times New Roman" w:hAnsi="Times New Roman" w:cs="Times New Roman"/>
          <w:sz w:val="24"/>
          <w:szCs w:val="24"/>
        </w:rPr>
        <w:t xml:space="preserve">, the Rosenberg Self-Esteem Scale </w:t>
      </w:r>
      <w:r w:rsidR="000B6283">
        <w:rPr>
          <w:rFonts w:ascii="Times New Roman" w:hAnsi="Times New Roman" w:cs="Times New Roman"/>
          <w:noProof/>
          <w:sz w:val="24"/>
          <w:szCs w:val="24"/>
        </w:rPr>
        <w:t>[3]</w:t>
      </w:r>
      <w:r w:rsidRPr="00D25C14">
        <w:rPr>
          <w:rFonts w:ascii="Times New Roman" w:hAnsi="Times New Roman" w:cs="Times New Roman"/>
          <w:sz w:val="24"/>
          <w:szCs w:val="24"/>
        </w:rPr>
        <w:t xml:space="preserve"> and other adolescent focused-scales used in protocols and trials </w:t>
      </w:r>
      <w:r w:rsidR="000B6283">
        <w:rPr>
          <w:rFonts w:ascii="Times New Roman" w:hAnsi="Times New Roman" w:cs="Times New Roman"/>
          <w:noProof/>
          <w:sz w:val="24"/>
          <w:szCs w:val="24"/>
        </w:rPr>
        <w:t>[4, 5]</w:t>
      </w:r>
      <w:r w:rsidRPr="00D25C14">
        <w:rPr>
          <w:rFonts w:ascii="Times New Roman" w:hAnsi="Times New Roman" w:cs="Times New Roman"/>
          <w:sz w:val="24"/>
          <w:szCs w:val="24"/>
        </w:rPr>
        <w:t>.</w:t>
      </w:r>
      <w:r w:rsidR="009F5244">
        <w:rPr>
          <w:rFonts w:ascii="Times New Roman" w:hAnsi="Times New Roman" w:cs="Times New Roman"/>
          <w:sz w:val="24"/>
          <w:szCs w:val="24"/>
        </w:rPr>
        <w:t xml:space="preserve"> F</w:t>
      </w:r>
      <w:r w:rsidR="00914025" w:rsidRPr="00D25C14">
        <w:rPr>
          <w:rFonts w:ascii="Times New Roman" w:hAnsi="Times New Roman" w:cs="Times New Roman"/>
          <w:sz w:val="24"/>
          <w:szCs w:val="24"/>
        </w:rPr>
        <w:t>ive assessments developed for eating disorder treatment were identified which focus on the parent or caregivers experience, along with 30 general mental health assessments completed by caregivers.</w:t>
      </w:r>
      <w:r w:rsidR="00D25C14">
        <w:rPr>
          <w:rFonts w:ascii="Times New Roman" w:hAnsi="Times New Roman" w:cs="Times New Roman"/>
          <w:sz w:val="24"/>
          <w:szCs w:val="24"/>
        </w:rPr>
        <w:t xml:space="preserve"> </w:t>
      </w:r>
      <w:r w:rsidR="00914025" w:rsidRPr="00D25C14">
        <w:rPr>
          <w:rFonts w:ascii="Times New Roman" w:hAnsi="Times New Roman" w:cs="Times New Roman"/>
          <w:sz w:val="24"/>
          <w:szCs w:val="24"/>
        </w:rPr>
        <w:t>An additional caregiver assessment outside the scope of the review, the Carers’ Needs Assessment Measure (</w:t>
      </w:r>
      <w:proofErr w:type="spellStart"/>
      <w:r w:rsidR="00914025" w:rsidRPr="00D25C14">
        <w:rPr>
          <w:rFonts w:ascii="Times New Roman" w:hAnsi="Times New Roman" w:cs="Times New Roman"/>
          <w:sz w:val="24"/>
          <w:szCs w:val="24"/>
        </w:rPr>
        <w:t>CaNAM</w:t>
      </w:r>
      <w:proofErr w:type="spellEnd"/>
      <w:r w:rsidR="00A252ED">
        <w:rPr>
          <w:rFonts w:ascii="Times New Roman" w:hAnsi="Times New Roman" w:cs="Times New Roman"/>
          <w:sz w:val="24"/>
          <w:szCs w:val="24"/>
        </w:rPr>
        <w:t xml:space="preserve">) </w:t>
      </w:r>
      <w:r w:rsidR="000B6283">
        <w:rPr>
          <w:rFonts w:ascii="Times New Roman" w:hAnsi="Times New Roman" w:cs="Times New Roman"/>
          <w:noProof/>
          <w:sz w:val="24"/>
          <w:szCs w:val="24"/>
        </w:rPr>
        <w:t>[6]</w:t>
      </w:r>
      <w:r w:rsidR="00914025" w:rsidRPr="00D25C14">
        <w:rPr>
          <w:rFonts w:ascii="Times New Roman" w:hAnsi="Times New Roman" w:cs="Times New Roman"/>
          <w:sz w:val="24"/>
          <w:szCs w:val="24"/>
        </w:rPr>
        <w:t>, was also identified and examined.</w:t>
      </w:r>
    </w:p>
    <w:p w14:paraId="6534DC79" w14:textId="77777777" w:rsidR="007626B1" w:rsidRPr="00D25C14" w:rsidRDefault="007626B1" w:rsidP="00D25C14">
      <w:pPr>
        <w:pStyle w:val="H3Study"/>
        <w:rPr>
          <w:szCs w:val="24"/>
        </w:rPr>
      </w:pPr>
      <w:bookmarkStart w:id="0" w:name="_Toc199428664"/>
      <w:r w:rsidRPr="00D25C14">
        <w:rPr>
          <w:szCs w:val="24"/>
        </w:rPr>
        <w:t>Eating Disorder Caregiver Assessments</w:t>
      </w:r>
      <w:bookmarkEnd w:id="0"/>
    </w:p>
    <w:p w14:paraId="37FB0192" w14:textId="161933F8" w:rsidR="007626B1" w:rsidRPr="00D25C14" w:rsidRDefault="007626B1" w:rsidP="00D25C14">
      <w:pPr>
        <w:pStyle w:val="Body"/>
      </w:pPr>
      <w:r w:rsidRPr="00D25C14">
        <w:t xml:space="preserve">The Eating Disorders Symptom Impact Scale (EDSIS) assesses the constructs of caregiver guilt and isolation, but is primarily focused on the impact of the young person’s symptoms, such as their behaviour and practical impacts on the household, such as blocked drains and food disappearing from cupboards, rather than evaluating caregiver behaviour or beliefs </w:t>
      </w:r>
      <w:r w:rsidR="000B6283">
        <w:rPr>
          <w:noProof/>
        </w:rPr>
        <w:t>[7]</w:t>
      </w:r>
      <w:r w:rsidRPr="00D25C14">
        <w:t xml:space="preserve">. The EDSIS authors additionally created the Accommodation and Enabling Scale </w:t>
      </w:r>
      <w:r w:rsidRPr="00D25C14">
        <w:lastRenderedPageBreak/>
        <w:t xml:space="preserve">for Eating Disorders (AESD) which examines the extent to which the young person’s symptoms are enabled, tolerated or reinforced by their caregivers </w:t>
      </w:r>
      <w:r w:rsidR="000B6283">
        <w:rPr>
          <w:noProof/>
        </w:rPr>
        <w:t>[8]</w:t>
      </w:r>
      <w:r w:rsidRPr="00D25C14">
        <w:t xml:space="preserve">. Some bespoke measures have been created for use with particular interventions. For example, the Parent Traps Scale (PTS) measures parental fear around eating disorder symptoms as part of an emotion-focused therapy intervention </w:t>
      </w:r>
      <w:r w:rsidR="000B6283">
        <w:rPr>
          <w:noProof/>
        </w:rPr>
        <w:t>[9]</w:t>
      </w:r>
      <w:r w:rsidRPr="00D25C14">
        <w:t>, and the Caregiver Skills in Eating Disorders (CASK</w:t>
      </w:r>
      <w:r w:rsidR="00A252ED">
        <w:t xml:space="preserve">) </w:t>
      </w:r>
      <w:r w:rsidR="000B6283">
        <w:rPr>
          <w:noProof/>
        </w:rPr>
        <w:t>[10]</w:t>
      </w:r>
      <w:r w:rsidRPr="00D25C14">
        <w:rPr>
          <w:noProof/>
        </w:rPr>
        <w:t xml:space="preserve"> </w:t>
      </w:r>
      <w:r w:rsidRPr="00D25C14">
        <w:t xml:space="preserve">was designed as a pre-post assessment for an educational intervention for caregivers </w:t>
      </w:r>
      <w:r w:rsidR="000B6283">
        <w:rPr>
          <w:noProof/>
        </w:rPr>
        <w:t>[11]</w:t>
      </w:r>
      <w:r w:rsidRPr="00D25C14">
        <w:t xml:space="preserve">. However, these measures were created for specific interventions, and do not assess other caregiver constructs. Items on the CASK focus primarily on measuring a carer’s ability to execute helping and self-care behaviours and relate to the person in treatment, without assessing family history, practical obstacles or wider family function </w:t>
      </w:r>
      <w:r w:rsidR="000B6283">
        <w:rPr>
          <w:noProof/>
        </w:rPr>
        <w:t>[11]</w:t>
      </w:r>
      <w:r w:rsidRPr="00D25C14">
        <w:t>. The Parents versus Anorexia scale (</w:t>
      </w:r>
      <w:proofErr w:type="spellStart"/>
      <w:r w:rsidRPr="00D25C14">
        <w:t>PvA</w:t>
      </w:r>
      <w:proofErr w:type="spellEnd"/>
      <w:r w:rsidRPr="00D25C14">
        <w:t xml:space="preserve">) was designed to measure parental self-efficacy in the context of FBT </w:t>
      </w:r>
      <w:r w:rsidR="000B6283">
        <w:rPr>
          <w:noProof/>
        </w:rPr>
        <w:t>[12]</w:t>
      </w:r>
      <w:r w:rsidRPr="00D25C14">
        <w:t xml:space="preserve">, and is used in research settings and clinical practice </w:t>
      </w:r>
      <w:r w:rsidR="000B6283">
        <w:rPr>
          <w:noProof/>
        </w:rPr>
        <w:t>[13-15]</w:t>
      </w:r>
      <w:r w:rsidRPr="00D25C14">
        <w:t xml:space="preserve">. Some studies utilised an adaptation of the </w:t>
      </w:r>
      <w:proofErr w:type="spellStart"/>
      <w:r w:rsidRPr="00D25C14">
        <w:t>PvA</w:t>
      </w:r>
      <w:proofErr w:type="spellEnd"/>
      <w:r w:rsidRPr="00D25C14">
        <w:t xml:space="preserve"> called the Parents versus Eating Disorders scale (PvED) where the words ‘eating disorder’ are substituted for ‘anorexia’ </w:t>
      </w:r>
      <w:r w:rsidR="000B6283">
        <w:rPr>
          <w:noProof/>
        </w:rPr>
        <w:t>[16-18]</w:t>
      </w:r>
      <w:r w:rsidRPr="00D25C14">
        <w:t xml:space="preserve">, and in the present study the measure is referred to as PvED going forward. However, it has been argued that the PvED is more useful as a measure of agreement with the FBT model, with the need to develop new measures highlighted, in particular to assess caregiver confidence in their ability to complete treatment </w:t>
      </w:r>
      <w:r w:rsidR="000B6283">
        <w:rPr>
          <w:noProof/>
        </w:rPr>
        <w:t>[19]</w:t>
      </w:r>
      <w:r w:rsidRPr="00D25C14">
        <w:rPr>
          <w:noProof/>
        </w:rPr>
        <w:t xml:space="preserve"> or their empowerment to act on their child’s behalf </w:t>
      </w:r>
      <w:r w:rsidR="000B6283">
        <w:rPr>
          <w:noProof/>
        </w:rPr>
        <w:t>[20]</w:t>
      </w:r>
      <w:r w:rsidRPr="00D25C14">
        <w:t xml:space="preserve">. The seven items on the PvED do not assess family function, availability of support networks, or food-related factors. A further measure, the </w:t>
      </w:r>
      <w:proofErr w:type="spellStart"/>
      <w:r w:rsidRPr="00D25C14">
        <w:t>CaNAM</w:t>
      </w:r>
      <w:proofErr w:type="spellEnd"/>
      <w:r w:rsidRPr="00D25C14">
        <w:t xml:space="preserve"> </w:t>
      </w:r>
      <w:r w:rsidR="000B6283">
        <w:rPr>
          <w:noProof/>
        </w:rPr>
        <w:t>[6]</w:t>
      </w:r>
      <w:r w:rsidRPr="00D25C14">
        <w:t xml:space="preserve"> has been used in studies of caregiver burden, and as an outcome measure for a peer-support carer intervention, which were not limited to FBT or consumers with a mean age under 18 </w:t>
      </w:r>
      <w:r w:rsidR="000B6283">
        <w:rPr>
          <w:noProof/>
        </w:rPr>
        <w:t>[21, 22]</w:t>
      </w:r>
      <w:r w:rsidRPr="00D25C14">
        <w:t xml:space="preserve">. The </w:t>
      </w:r>
      <w:proofErr w:type="spellStart"/>
      <w:r w:rsidRPr="00D25C14">
        <w:t>CaNAM</w:t>
      </w:r>
      <w:proofErr w:type="spellEnd"/>
      <w:r w:rsidRPr="00D25C14">
        <w:t xml:space="preserve"> is focused on the unmet information and support needs, and the carer’s perspective of the quality of treatment they have received </w:t>
      </w:r>
      <w:r w:rsidR="000B6283">
        <w:rPr>
          <w:noProof/>
        </w:rPr>
        <w:t>[6]</w:t>
      </w:r>
      <w:r w:rsidRPr="00D25C14">
        <w:t xml:space="preserve">, it does not assess potential strengths and challenges likely to influence treatment. </w:t>
      </w:r>
    </w:p>
    <w:p w14:paraId="3378224B" w14:textId="77777777" w:rsidR="007626B1" w:rsidRPr="00D25C14" w:rsidRDefault="007626B1" w:rsidP="00D25C14">
      <w:pPr>
        <w:pStyle w:val="H3Study"/>
        <w:rPr>
          <w:szCs w:val="24"/>
        </w:rPr>
      </w:pPr>
      <w:bookmarkStart w:id="1" w:name="_Toc199428665"/>
      <w:r w:rsidRPr="00D25C14">
        <w:rPr>
          <w:szCs w:val="24"/>
        </w:rPr>
        <w:lastRenderedPageBreak/>
        <w:t>General Mental Health Assessments</w:t>
      </w:r>
      <w:bookmarkEnd w:id="1"/>
    </w:p>
    <w:p w14:paraId="22C87270" w14:textId="27188FAD" w:rsidR="007626B1" w:rsidRDefault="007626B1" w:rsidP="00D25C14">
      <w:pPr>
        <w:spacing w:line="480" w:lineRule="auto"/>
        <w:ind w:firstLine="720"/>
        <w:rPr>
          <w:rFonts w:ascii="Times New Roman" w:hAnsi="Times New Roman" w:cs="Times New Roman"/>
          <w:color w:val="000000"/>
          <w:sz w:val="24"/>
          <w:szCs w:val="24"/>
          <w:lang w:eastAsia="en-AU"/>
        </w:rPr>
      </w:pPr>
      <w:r w:rsidRPr="00D25C14">
        <w:rPr>
          <w:rFonts w:ascii="Times New Roman" w:hAnsi="Times New Roman" w:cs="Times New Roman"/>
          <w:sz w:val="24"/>
          <w:szCs w:val="24"/>
        </w:rPr>
        <w:t xml:space="preserve">In research studies where family function was assessed, general measures not specific to eating disorders are often employed </w:t>
      </w:r>
      <w:r w:rsidR="000B6283">
        <w:rPr>
          <w:rFonts w:ascii="Times New Roman" w:hAnsi="Times New Roman" w:cs="Times New Roman"/>
          <w:noProof/>
          <w:sz w:val="24"/>
          <w:szCs w:val="24"/>
        </w:rPr>
        <w:t>[8, 23, 24]</w:t>
      </w:r>
      <w:r w:rsidRPr="00D25C14">
        <w:rPr>
          <w:rFonts w:ascii="Times New Roman" w:hAnsi="Times New Roman" w:cs="Times New Roman"/>
          <w:sz w:val="24"/>
          <w:szCs w:val="24"/>
        </w:rPr>
        <w:t xml:space="preserve">. Some of these include the 60-item Family Assessment Device </w:t>
      </w:r>
      <w:r w:rsidR="000B6283">
        <w:rPr>
          <w:rFonts w:ascii="Times New Roman" w:hAnsi="Times New Roman" w:cs="Times New Roman"/>
          <w:noProof/>
          <w:sz w:val="24"/>
          <w:szCs w:val="24"/>
        </w:rPr>
        <w:t>[25]</w:t>
      </w:r>
      <w:r w:rsidRPr="00D25C14">
        <w:rPr>
          <w:rFonts w:ascii="Times New Roman" w:hAnsi="Times New Roman" w:cs="Times New Roman"/>
          <w:sz w:val="24"/>
          <w:szCs w:val="24"/>
        </w:rPr>
        <w:t xml:space="preserve">, the 20-item Family Questionnaire, designed for use in schizophrenia </w:t>
      </w:r>
      <w:r w:rsidR="000B6283">
        <w:rPr>
          <w:rFonts w:ascii="Times New Roman" w:hAnsi="Times New Roman" w:cs="Times New Roman"/>
          <w:noProof/>
          <w:sz w:val="24"/>
          <w:szCs w:val="24"/>
        </w:rPr>
        <w:t>[26]</w:t>
      </w:r>
      <w:r w:rsidRPr="00D25C14">
        <w:rPr>
          <w:rFonts w:ascii="Times New Roman" w:hAnsi="Times New Roman" w:cs="Times New Roman"/>
          <w:sz w:val="24"/>
          <w:szCs w:val="24"/>
        </w:rPr>
        <w:t xml:space="preserve">, or the 90-item Family Environment Scale </w:t>
      </w:r>
      <w:r w:rsidR="000B6283">
        <w:rPr>
          <w:rFonts w:ascii="Times New Roman" w:hAnsi="Times New Roman" w:cs="Times New Roman"/>
          <w:noProof/>
          <w:sz w:val="24"/>
          <w:szCs w:val="24"/>
        </w:rPr>
        <w:t>[27]</w:t>
      </w:r>
      <w:r w:rsidRPr="00D25C14">
        <w:rPr>
          <w:rFonts w:ascii="Times New Roman" w:hAnsi="Times New Roman" w:cs="Times New Roman"/>
          <w:sz w:val="24"/>
          <w:szCs w:val="24"/>
        </w:rPr>
        <w:t xml:space="preserve">. Parental mental health and symptomology such as depression and anxiety are often assessed with scales such as the 90-item Symptom Checklist-90-R </w:t>
      </w:r>
      <w:r w:rsidR="000B6283">
        <w:rPr>
          <w:rFonts w:ascii="Times New Roman" w:hAnsi="Times New Roman" w:cs="Times New Roman"/>
          <w:noProof/>
          <w:sz w:val="24"/>
          <w:szCs w:val="24"/>
        </w:rPr>
        <w:t>[28]</w:t>
      </w:r>
      <w:r w:rsidRPr="00D25C14">
        <w:rPr>
          <w:rFonts w:ascii="Times New Roman" w:hAnsi="Times New Roman" w:cs="Times New Roman"/>
          <w:sz w:val="24"/>
          <w:szCs w:val="24"/>
        </w:rPr>
        <w:t xml:space="preserve">, the </w:t>
      </w:r>
      <w:r w:rsidRPr="00D25C14">
        <w:rPr>
          <w:rFonts w:ascii="Times New Roman" w:hAnsi="Times New Roman" w:cs="Times New Roman"/>
          <w:color w:val="000000"/>
          <w:sz w:val="24"/>
          <w:szCs w:val="24"/>
          <w:lang w:eastAsia="en-AU"/>
        </w:rPr>
        <w:t xml:space="preserve">Beck Anxiety Inventory </w:t>
      </w:r>
      <w:r w:rsidR="000B6283">
        <w:rPr>
          <w:rFonts w:ascii="Times New Roman" w:hAnsi="Times New Roman" w:cs="Times New Roman"/>
          <w:noProof/>
          <w:color w:val="000000"/>
          <w:sz w:val="24"/>
          <w:szCs w:val="24"/>
          <w:lang w:eastAsia="en-AU"/>
        </w:rPr>
        <w:t>[29]</w:t>
      </w:r>
      <w:r w:rsidRPr="00D25C14">
        <w:rPr>
          <w:rFonts w:ascii="Times New Roman" w:hAnsi="Times New Roman" w:cs="Times New Roman"/>
          <w:color w:val="000000"/>
          <w:sz w:val="24"/>
          <w:szCs w:val="24"/>
          <w:lang w:eastAsia="en-AU"/>
        </w:rPr>
        <w:t>, or the Hospital Anxiety and Depression Scale</w:t>
      </w:r>
      <w:r w:rsidRPr="00D25C14" w:rsidDel="003E2A73">
        <w:rPr>
          <w:rFonts w:ascii="Times New Roman" w:hAnsi="Times New Roman" w:cs="Times New Roman"/>
          <w:color w:val="000000"/>
          <w:sz w:val="24"/>
          <w:szCs w:val="24"/>
          <w:lang w:eastAsia="en-AU"/>
        </w:rPr>
        <w:t xml:space="preserve"> </w:t>
      </w:r>
      <w:r w:rsidR="000B6283">
        <w:rPr>
          <w:rFonts w:ascii="Times New Roman" w:hAnsi="Times New Roman" w:cs="Times New Roman"/>
          <w:noProof/>
          <w:color w:val="000000"/>
          <w:sz w:val="24"/>
          <w:szCs w:val="24"/>
          <w:lang w:eastAsia="en-AU"/>
        </w:rPr>
        <w:t>[30]</w:t>
      </w:r>
      <w:r w:rsidRPr="00D25C14">
        <w:rPr>
          <w:rFonts w:ascii="Times New Roman" w:hAnsi="Times New Roman" w:cs="Times New Roman"/>
          <w:color w:val="000000"/>
          <w:sz w:val="24"/>
          <w:szCs w:val="24"/>
          <w:lang w:eastAsia="en-AU"/>
        </w:rPr>
        <w:t xml:space="preserve">. Assessment of caregiver mental health symptomology and family function has been implemented in a pre-post intervention context, such as whether treatment helped improve parental depression </w:t>
      </w:r>
      <w:r w:rsidR="000B6283">
        <w:rPr>
          <w:rFonts w:ascii="Times New Roman" w:hAnsi="Times New Roman" w:cs="Times New Roman"/>
          <w:noProof/>
          <w:color w:val="000000"/>
          <w:sz w:val="24"/>
          <w:szCs w:val="24"/>
          <w:lang w:eastAsia="en-AU"/>
        </w:rPr>
        <w:t>[31, 32]</w:t>
      </w:r>
      <w:r w:rsidRPr="00D25C14">
        <w:rPr>
          <w:rFonts w:ascii="Times New Roman" w:hAnsi="Times New Roman" w:cs="Times New Roman"/>
          <w:color w:val="000000"/>
          <w:sz w:val="24"/>
          <w:szCs w:val="24"/>
          <w:lang w:eastAsia="en-AU"/>
        </w:rPr>
        <w:t xml:space="preserve">, anxiety </w:t>
      </w:r>
      <w:r w:rsidR="000B6283">
        <w:rPr>
          <w:rFonts w:ascii="Times New Roman" w:hAnsi="Times New Roman" w:cs="Times New Roman"/>
          <w:noProof/>
          <w:color w:val="000000"/>
          <w:sz w:val="24"/>
          <w:szCs w:val="24"/>
          <w:lang w:eastAsia="en-AU"/>
        </w:rPr>
        <w:t>[33]</w:t>
      </w:r>
      <w:r w:rsidRPr="00D25C14">
        <w:rPr>
          <w:rFonts w:ascii="Times New Roman" w:hAnsi="Times New Roman" w:cs="Times New Roman"/>
          <w:color w:val="000000"/>
          <w:sz w:val="24"/>
          <w:szCs w:val="24"/>
          <w:lang w:eastAsia="en-AU"/>
        </w:rPr>
        <w:t xml:space="preserve"> or improved family function </w:t>
      </w:r>
      <w:r w:rsidR="000B6283">
        <w:rPr>
          <w:rFonts w:ascii="Times New Roman" w:hAnsi="Times New Roman" w:cs="Times New Roman"/>
          <w:noProof/>
          <w:color w:val="000000"/>
          <w:sz w:val="24"/>
          <w:szCs w:val="24"/>
          <w:lang w:eastAsia="en-AU"/>
        </w:rPr>
        <w:t>[34]</w:t>
      </w:r>
      <w:r w:rsidRPr="00D25C14">
        <w:rPr>
          <w:rFonts w:ascii="Times New Roman" w:hAnsi="Times New Roman" w:cs="Times New Roman"/>
          <w:color w:val="000000"/>
          <w:sz w:val="24"/>
          <w:szCs w:val="24"/>
          <w:lang w:eastAsia="en-AU"/>
        </w:rPr>
        <w:t xml:space="preserve">. It has been suggested that maternal depression is linked to family conflict in the context of adolescent anorexia </w:t>
      </w:r>
      <w:r w:rsidR="000B6283">
        <w:rPr>
          <w:rFonts w:ascii="Times New Roman" w:hAnsi="Times New Roman" w:cs="Times New Roman"/>
          <w:noProof/>
          <w:color w:val="000000"/>
          <w:sz w:val="24"/>
          <w:szCs w:val="24"/>
          <w:lang w:eastAsia="en-AU"/>
        </w:rPr>
        <w:t>[35]</w:t>
      </w:r>
      <w:r w:rsidRPr="00D25C14">
        <w:rPr>
          <w:rFonts w:ascii="Times New Roman" w:hAnsi="Times New Roman" w:cs="Times New Roman"/>
          <w:color w:val="000000"/>
          <w:sz w:val="24"/>
          <w:szCs w:val="24"/>
          <w:lang w:eastAsia="en-AU"/>
        </w:rPr>
        <w:t xml:space="preserve">, and mental health has been cited as an important consideration impacting caregiver empowerment to engage in FBT </w:t>
      </w:r>
      <w:r w:rsidR="000B6283">
        <w:rPr>
          <w:rFonts w:ascii="Times New Roman" w:hAnsi="Times New Roman" w:cs="Times New Roman"/>
          <w:noProof/>
          <w:color w:val="000000"/>
          <w:sz w:val="24"/>
          <w:szCs w:val="24"/>
          <w:lang w:eastAsia="en-AU"/>
        </w:rPr>
        <w:t>[36]</w:t>
      </w:r>
      <w:r w:rsidRPr="00D25C14">
        <w:rPr>
          <w:rFonts w:ascii="Times New Roman" w:hAnsi="Times New Roman" w:cs="Times New Roman"/>
          <w:color w:val="000000"/>
          <w:sz w:val="24"/>
          <w:szCs w:val="24"/>
          <w:lang w:eastAsia="en-AU"/>
        </w:rPr>
        <w:t>. However, assessing caregiver mental health symptoms does not specifically identify caregiver strengths or challenges that may be influential to treatment.</w:t>
      </w:r>
    </w:p>
    <w:p w14:paraId="453858C4" w14:textId="3464668D" w:rsidR="005B5609" w:rsidRDefault="00D25C14" w:rsidP="00D25C14">
      <w:pPr>
        <w:spacing w:line="480" w:lineRule="auto"/>
        <w:ind w:firstLine="720"/>
        <w:rPr>
          <w:rFonts w:ascii="Times New Roman" w:hAnsi="Times New Roman" w:cs="Times New Roman"/>
          <w:sz w:val="24"/>
          <w:szCs w:val="24"/>
        </w:rPr>
      </w:pPr>
      <w:r w:rsidRPr="00D25C14">
        <w:rPr>
          <w:rFonts w:ascii="Times New Roman" w:hAnsi="Times New Roman" w:cs="Times New Roman"/>
          <w:sz w:val="24"/>
          <w:szCs w:val="24"/>
        </w:rPr>
        <w:t xml:space="preserve">Many of the study protocols examined during the systematic review process at commencement of the Care-FIT development project </w:t>
      </w:r>
      <w:r>
        <w:rPr>
          <w:rFonts w:ascii="Times New Roman" w:hAnsi="Times New Roman" w:cs="Times New Roman"/>
          <w:sz w:val="24"/>
          <w:szCs w:val="24"/>
        </w:rPr>
        <w:t xml:space="preserve">contained large assessment batteries, including some lengthy measures containing 60-90 items </w:t>
      </w:r>
      <w:r w:rsidR="000B6283">
        <w:rPr>
          <w:rFonts w:ascii="Times New Roman" w:hAnsi="Times New Roman" w:cs="Times New Roman"/>
          <w:noProof/>
          <w:sz w:val="24"/>
          <w:szCs w:val="24"/>
        </w:rPr>
        <w:t>[1]</w:t>
      </w:r>
      <w:r>
        <w:rPr>
          <w:rFonts w:ascii="Times New Roman" w:hAnsi="Times New Roman" w:cs="Times New Roman"/>
          <w:sz w:val="24"/>
          <w:szCs w:val="24"/>
        </w:rPr>
        <w:t xml:space="preserve">. Completion of large test batteries is arguably more achievable in a research setting than in routine clinical practice, where length and time may be barriers to completion </w:t>
      </w:r>
      <w:r w:rsidR="000B6283">
        <w:rPr>
          <w:rFonts w:ascii="Times New Roman" w:hAnsi="Times New Roman" w:cs="Times New Roman"/>
          <w:noProof/>
          <w:sz w:val="24"/>
          <w:szCs w:val="24"/>
        </w:rPr>
        <w:t>[37]</w:t>
      </w:r>
      <w:r>
        <w:rPr>
          <w:rFonts w:ascii="Times New Roman" w:hAnsi="Times New Roman" w:cs="Times New Roman"/>
          <w:sz w:val="24"/>
          <w:szCs w:val="24"/>
        </w:rPr>
        <w:t xml:space="preserve">. The systematic review process also identified that no one measure exists which captured the breadth of factors which could potentially influence treatment </w:t>
      </w:r>
      <w:r w:rsidR="000B6283">
        <w:rPr>
          <w:rFonts w:ascii="Times New Roman" w:hAnsi="Times New Roman" w:cs="Times New Roman"/>
          <w:noProof/>
          <w:sz w:val="24"/>
          <w:szCs w:val="24"/>
        </w:rPr>
        <w:t>[1]</w:t>
      </w:r>
      <w:r>
        <w:rPr>
          <w:rFonts w:ascii="Times New Roman" w:hAnsi="Times New Roman" w:cs="Times New Roman"/>
          <w:sz w:val="24"/>
          <w:szCs w:val="24"/>
        </w:rPr>
        <w:t>, lending support to the creation of a new measure.</w:t>
      </w:r>
    </w:p>
    <w:p w14:paraId="746DEBA5" w14:textId="5B81CF7E" w:rsidR="005B5609" w:rsidRPr="005B5609" w:rsidRDefault="005B5609" w:rsidP="00445028">
      <w:pPr>
        <w:spacing w:line="276" w:lineRule="auto"/>
        <w:ind w:left="720" w:hanging="720"/>
        <w:rPr>
          <w:rFonts w:ascii="Times New Roman" w:hAnsi="Times New Roman" w:cs="Times New Roman"/>
          <w:sz w:val="24"/>
          <w:szCs w:val="24"/>
        </w:rPr>
      </w:pPr>
    </w:p>
    <w:p w14:paraId="37F62129" w14:textId="77777777" w:rsidR="005B5609" w:rsidRPr="005B5609" w:rsidRDefault="005B5609" w:rsidP="00445028">
      <w:pPr>
        <w:pStyle w:val="Ref"/>
        <w:spacing w:line="276" w:lineRule="auto"/>
      </w:pPr>
    </w:p>
    <w:p w14:paraId="1CD77444" w14:textId="77777777" w:rsidR="00A252ED" w:rsidRDefault="00A252ED" w:rsidP="00740FB4">
      <w:pPr>
        <w:spacing w:line="276" w:lineRule="auto"/>
        <w:rPr>
          <w:rFonts w:ascii="Times New Roman" w:hAnsi="Times New Roman" w:cs="Times New Roman"/>
          <w:sz w:val="24"/>
          <w:szCs w:val="24"/>
        </w:rPr>
      </w:pPr>
    </w:p>
    <w:p w14:paraId="1AE75306" w14:textId="5EC2B15C" w:rsidR="00740FB4" w:rsidRPr="00AD0544" w:rsidRDefault="00740FB4" w:rsidP="00740FB4">
      <w:pPr>
        <w:pStyle w:val="EndNoteBibliographyTitle"/>
        <w:rPr>
          <w:b/>
        </w:rPr>
      </w:pPr>
      <w:bookmarkStart w:id="2" w:name="_GoBack"/>
      <w:r w:rsidRPr="00AD0544">
        <w:rPr>
          <w:b/>
        </w:rPr>
        <w:lastRenderedPageBreak/>
        <w:t>References</w:t>
      </w:r>
    </w:p>
    <w:bookmarkEnd w:id="2"/>
    <w:p w14:paraId="4BC19B87" w14:textId="77777777" w:rsidR="00740FB4" w:rsidRPr="00740FB4" w:rsidRDefault="00740FB4" w:rsidP="00740FB4">
      <w:pPr>
        <w:pStyle w:val="EndNoteBibliographyTitle"/>
      </w:pPr>
    </w:p>
    <w:p w14:paraId="23E9F82A" w14:textId="77777777" w:rsidR="00740FB4" w:rsidRPr="00740FB4" w:rsidRDefault="00740FB4" w:rsidP="00740FB4">
      <w:pPr>
        <w:pStyle w:val="EndNoteBibliography"/>
        <w:spacing w:after="240"/>
      </w:pPr>
      <w:r w:rsidRPr="00740FB4">
        <w:t>1.</w:t>
      </w:r>
      <w:r w:rsidRPr="00740FB4">
        <w:tab/>
        <w:t>McCord A, Rice K, Rock A. Caregiver factors influencing family-based treatment for child and adolescent eating disorders: A systematic review and conceptual model. PeerJ. 2025;13:e19247.</w:t>
      </w:r>
    </w:p>
    <w:p w14:paraId="5E750635" w14:textId="77777777" w:rsidR="00740FB4" w:rsidRPr="00740FB4" w:rsidRDefault="00740FB4" w:rsidP="00740FB4">
      <w:pPr>
        <w:pStyle w:val="EndNoteBibliography"/>
        <w:spacing w:after="240"/>
      </w:pPr>
      <w:r w:rsidRPr="00740FB4">
        <w:t>2.</w:t>
      </w:r>
      <w:r w:rsidRPr="00740FB4">
        <w:tab/>
        <w:t>Fairburn CG, Beglin SJ. Assessment of eating disorders: interview or self-report questionnaire? Int J Eat Disord. 1994;16(4):363-70.</w:t>
      </w:r>
    </w:p>
    <w:p w14:paraId="1609461A" w14:textId="77777777" w:rsidR="00740FB4" w:rsidRPr="00740FB4" w:rsidRDefault="00740FB4" w:rsidP="00740FB4">
      <w:pPr>
        <w:pStyle w:val="EndNoteBibliography"/>
        <w:spacing w:after="240"/>
      </w:pPr>
      <w:r w:rsidRPr="00740FB4">
        <w:t>3.</w:t>
      </w:r>
      <w:r w:rsidRPr="00740FB4">
        <w:tab/>
        <w:t>Rosenberg M. Society and the adolescent self image. Princeton, NJ: Princeton University Press; 1965.</w:t>
      </w:r>
    </w:p>
    <w:p w14:paraId="381803D5" w14:textId="77777777" w:rsidR="00740FB4" w:rsidRPr="00740FB4" w:rsidRDefault="00740FB4" w:rsidP="00740FB4">
      <w:pPr>
        <w:pStyle w:val="EndNoteBibliography"/>
        <w:spacing w:after="240"/>
      </w:pPr>
      <w:r w:rsidRPr="00740FB4">
        <w:t>4.</w:t>
      </w:r>
      <w:r w:rsidRPr="00740FB4">
        <w:tab/>
        <w:t>Hambleton A, Le Grange D, Miskovic-Wheatley J, Touyz S, Cunich M, Maguire S. Translating evidence-based treatment for digital health delivery: A protocol for family-based treatment for anorexia nervosa using telemedicine. Journal of Eating Disorders. 2020;8(1):50.</w:t>
      </w:r>
    </w:p>
    <w:p w14:paraId="03669184" w14:textId="77777777" w:rsidR="00740FB4" w:rsidRPr="00740FB4" w:rsidRDefault="00740FB4" w:rsidP="00740FB4">
      <w:pPr>
        <w:pStyle w:val="EndNoteBibliography"/>
        <w:spacing w:after="240"/>
      </w:pPr>
      <w:r w:rsidRPr="00740FB4">
        <w:t>5.</w:t>
      </w:r>
      <w:r w:rsidRPr="00740FB4">
        <w:tab/>
        <w:t>Le Grange D, Lock J, Agras WS, Bryson SW, Jo B. Randomized clinical trial of family-based treatment and cognitive-behavioral therapy for adolescent bulimia nervosa. Journal of the American Academy of Child &amp; Adolescent Psychiatry. 2015;54(11):886-94.e2.</w:t>
      </w:r>
    </w:p>
    <w:p w14:paraId="761E038D" w14:textId="77777777" w:rsidR="00740FB4" w:rsidRPr="00740FB4" w:rsidRDefault="00740FB4" w:rsidP="00740FB4">
      <w:pPr>
        <w:pStyle w:val="EndNoteBibliography"/>
        <w:spacing w:after="240"/>
      </w:pPr>
      <w:r w:rsidRPr="00740FB4">
        <w:t>6.</w:t>
      </w:r>
      <w:r w:rsidRPr="00740FB4">
        <w:tab/>
        <w:t>Haigh R, Treasure J. Investigating the needs of carers in the area of eating disorders: development of the Carers' Needs Assessment Measure (CaNAM). European Eating Disorders Review. 2003;11(2):125-41.</w:t>
      </w:r>
    </w:p>
    <w:p w14:paraId="5C70C20D" w14:textId="77777777" w:rsidR="00740FB4" w:rsidRPr="00740FB4" w:rsidRDefault="00740FB4" w:rsidP="00740FB4">
      <w:pPr>
        <w:pStyle w:val="EndNoteBibliography"/>
        <w:spacing w:after="240"/>
      </w:pPr>
      <w:r w:rsidRPr="00740FB4">
        <w:t>7.</w:t>
      </w:r>
      <w:r w:rsidRPr="00740FB4">
        <w:tab/>
        <w:t>Sepulveda AR, Whitney J, Hankins M, Treasure J. Development and validation of an eating disorders symptom impact scale (EDSIS) for carers of people with eating disorders. Health and Quality of Life Outcomes. 2008;6(1):28.</w:t>
      </w:r>
    </w:p>
    <w:p w14:paraId="2132FF5F" w14:textId="77777777" w:rsidR="00740FB4" w:rsidRPr="00740FB4" w:rsidRDefault="00740FB4" w:rsidP="00740FB4">
      <w:pPr>
        <w:pStyle w:val="EndNoteBibliography"/>
        <w:spacing w:after="240"/>
      </w:pPr>
      <w:r w:rsidRPr="00740FB4">
        <w:t>8.</w:t>
      </w:r>
      <w:r w:rsidRPr="00740FB4">
        <w:tab/>
        <w:t>Sepulveda AR, Kyriacou O, Treasure J. Development and validation of the accommodation and enabling scale for eating disorders (AESED) for caregivers in eating disorders. BMC Health Services Research. 2009;9(1):171.</w:t>
      </w:r>
    </w:p>
    <w:p w14:paraId="78858A1A" w14:textId="77777777" w:rsidR="00740FB4" w:rsidRPr="00740FB4" w:rsidRDefault="00740FB4" w:rsidP="00740FB4">
      <w:pPr>
        <w:pStyle w:val="EndNoteBibliography"/>
        <w:spacing w:after="240"/>
      </w:pPr>
      <w:r w:rsidRPr="00740FB4">
        <w:t>9.</w:t>
      </w:r>
      <w:r w:rsidRPr="00740FB4">
        <w:tab/>
        <w:t>Lafrance Robinson AL, Dolhanty J, Stillar A, Henderson K, Mayman S. Emotion-focused family therapy for eating disorders across the lifespan: A pilot study of a 2-day transdiagnostic intervention for parents. Clinical Psychology &amp; Psychotherapy. 2016;23(1):14-23.</w:t>
      </w:r>
    </w:p>
    <w:p w14:paraId="171E1CB4" w14:textId="77777777" w:rsidR="00740FB4" w:rsidRPr="00740FB4" w:rsidRDefault="00740FB4" w:rsidP="00740FB4">
      <w:pPr>
        <w:pStyle w:val="EndNoteBibliography"/>
        <w:spacing w:after="240"/>
      </w:pPr>
      <w:r w:rsidRPr="00740FB4">
        <w:t>10.</w:t>
      </w:r>
      <w:r w:rsidRPr="00740FB4">
        <w:tab/>
        <w:t>Hibbs R, Rhind C, Salerno L, Lo Coco G, Goddard E, Schmidt U, et al. Development and validation of a scale to measure caregiver skills in eating disorders. International Journal of Eating Disorders. 2015;48(3):290-7.</w:t>
      </w:r>
    </w:p>
    <w:p w14:paraId="128E0F47" w14:textId="77777777" w:rsidR="00740FB4" w:rsidRPr="00740FB4" w:rsidRDefault="00740FB4" w:rsidP="00740FB4">
      <w:pPr>
        <w:pStyle w:val="EndNoteBibliography"/>
        <w:spacing w:after="240"/>
      </w:pPr>
      <w:r w:rsidRPr="00740FB4">
        <w:t>11.</w:t>
      </w:r>
      <w:r w:rsidRPr="00740FB4">
        <w:tab/>
        <w:t>Ruiz Á, Quiles Y, León‐Zarceño E, Quiles MJ, Roncero M, Sanmartin R. Assessing the effectiveness and feasibility of the experienced carers helping others program in relatives of adolescents with eating disorders using an online application format with individual sessions. Family process. 2024;63(4):2151-75.</w:t>
      </w:r>
    </w:p>
    <w:p w14:paraId="0B30DF8E" w14:textId="77777777" w:rsidR="00740FB4" w:rsidRPr="00740FB4" w:rsidRDefault="00740FB4" w:rsidP="00740FB4">
      <w:pPr>
        <w:pStyle w:val="EndNoteBibliography"/>
        <w:spacing w:after="240"/>
      </w:pPr>
      <w:r w:rsidRPr="00740FB4">
        <w:t>12.</w:t>
      </w:r>
      <w:r w:rsidRPr="00740FB4">
        <w:tab/>
        <w:t>Rhodes P, Baillie A, Brown J, Madden S. Parental efficacy in the family-based treatment of anorexia: Preliminary development of the parents versus anorexia scale (PVA). European Eating Disorders Review. 2005;13(6):399-405.</w:t>
      </w:r>
    </w:p>
    <w:p w14:paraId="7C404166" w14:textId="77777777" w:rsidR="00740FB4" w:rsidRPr="00740FB4" w:rsidRDefault="00740FB4" w:rsidP="00740FB4">
      <w:pPr>
        <w:pStyle w:val="EndNoteBibliography"/>
        <w:spacing w:after="240"/>
      </w:pPr>
      <w:r w:rsidRPr="00740FB4">
        <w:lastRenderedPageBreak/>
        <w:t>13.</w:t>
      </w:r>
      <w:r w:rsidRPr="00740FB4">
        <w:tab/>
        <w:t>Girz L, Robinson AL, Foroughe M, Jasper K, Boachie A. Adapting family-based therapy to a day hospital programme for adolescents with eating disorders: preliminary outcomes and trajectories of change. Journal of Family Therapy. 2013;35:102-20.</w:t>
      </w:r>
    </w:p>
    <w:p w14:paraId="18BF3CAC" w14:textId="77777777" w:rsidR="00740FB4" w:rsidRPr="00740FB4" w:rsidRDefault="00740FB4" w:rsidP="00740FB4">
      <w:pPr>
        <w:pStyle w:val="EndNoteBibliography"/>
        <w:spacing w:after="240"/>
      </w:pPr>
      <w:r w:rsidRPr="00740FB4">
        <w:t>14.</w:t>
      </w:r>
      <w:r w:rsidRPr="00740FB4">
        <w:tab/>
        <w:t>Gorrell S, Downey AE, Saunders E, Accurso EC, Buckelew S, Kreiter A, et al. Parental self-efficacy: Longitudinal impact on clinical outcomes across levels of care in adolescent anorexia nervosa. International Journal of Eating Disorders. 2023;n/a(n/a).</w:t>
      </w:r>
    </w:p>
    <w:p w14:paraId="0F2684F5" w14:textId="77777777" w:rsidR="00740FB4" w:rsidRPr="00740FB4" w:rsidRDefault="00740FB4" w:rsidP="00740FB4">
      <w:pPr>
        <w:pStyle w:val="EndNoteBibliography"/>
        <w:spacing w:after="240"/>
      </w:pPr>
      <w:r w:rsidRPr="00740FB4">
        <w:t>15.</w:t>
      </w:r>
      <w:r w:rsidRPr="00740FB4">
        <w:tab/>
        <w:t>Matthews A, Peterson CM. Intensive family-based therapy during an acute medical admission for anorexia nervosa: A case report. Clinical Case Studies. 2016;15(4):313-25.</w:t>
      </w:r>
    </w:p>
    <w:p w14:paraId="34CA6E83" w14:textId="77777777" w:rsidR="00740FB4" w:rsidRPr="00740FB4" w:rsidRDefault="00740FB4" w:rsidP="00740FB4">
      <w:pPr>
        <w:pStyle w:val="EndNoteBibliography"/>
        <w:spacing w:after="240"/>
      </w:pPr>
      <w:r w:rsidRPr="00740FB4">
        <w:t>16.</w:t>
      </w:r>
      <w:r w:rsidRPr="00740FB4">
        <w:tab/>
        <w:t>Baker JH, Temes E, Bohon C, Derenne J, Duvall A, Steinberg D. Enhanced family-based treatment for an adolescent with binge-eating disorder: A case report. Cognitive and Behavioral Practice. 2023.</w:t>
      </w:r>
    </w:p>
    <w:p w14:paraId="774C2981" w14:textId="77777777" w:rsidR="00740FB4" w:rsidRPr="00740FB4" w:rsidRDefault="00740FB4" w:rsidP="00740FB4">
      <w:pPr>
        <w:pStyle w:val="EndNoteBibliography"/>
        <w:spacing w:after="240"/>
      </w:pPr>
      <w:r w:rsidRPr="00740FB4">
        <w:t>17.</w:t>
      </w:r>
      <w:r w:rsidRPr="00740FB4">
        <w:tab/>
        <w:t>Couturier J, Pellegrini D, Grennan L, Nicula M, Miller C, Agar P, et al. Multidisciplinary implementation of family-based treatment delivered by videoconferencing (FBT-V) for adolescent anorexia nervosa during the COVID-19 pandemic. Translational Behavioral Medicine. 2023;13(2):85-97.</w:t>
      </w:r>
    </w:p>
    <w:p w14:paraId="00FB2860" w14:textId="77777777" w:rsidR="00740FB4" w:rsidRPr="00740FB4" w:rsidRDefault="00740FB4" w:rsidP="00740FB4">
      <w:pPr>
        <w:pStyle w:val="EndNoteBibliography"/>
        <w:spacing w:after="240"/>
      </w:pPr>
      <w:r w:rsidRPr="00740FB4">
        <w:t>18.</w:t>
      </w:r>
      <w:r w:rsidRPr="00740FB4">
        <w:tab/>
        <w:t>Steinberg D, Perry T, Freestone D, Bohon C, Baker JH, Parks E. Effectiveness of delivering evidence-based eating disorder treatment via telemedicine for children, adolescents, and youth. Eating Disorders. 2023;31(1):85-101.</w:t>
      </w:r>
    </w:p>
    <w:p w14:paraId="3AB63E62" w14:textId="77777777" w:rsidR="00740FB4" w:rsidRPr="00740FB4" w:rsidRDefault="00740FB4" w:rsidP="00740FB4">
      <w:pPr>
        <w:pStyle w:val="EndNoteBibliography"/>
        <w:spacing w:after="240"/>
      </w:pPr>
      <w:r w:rsidRPr="00740FB4">
        <w:t>19.</w:t>
      </w:r>
      <w:r w:rsidRPr="00740FB4">
        <w:tab/>
        <w:t>Jones NM, Baker JH, Urban B, Freestone D, Doyle AC, Bohon C, et al. The assessment of caregiver self-efficacy in a virtual eating disorder setting. Journal of Eating Disorders. 2023;11(1):167.</w:t>
      </w:r>
    </w:p>
    <w:p w14:paraId="4B604F20" w14:textId="77777777" w:rsidR="00740FB4" w:rsidRPr="00740FB4" w:rsidRDefault="00740FB4" w:rsidP="00740FB4">
      <w:pPr>
        <w:pStyle w:val="EndNoteBibliography"/>
        <w:spacing w:after="240"/>
      </w:pPr>
      <w:r w:rsidRPr="00740FB4">
        <w:t>20.</w:t>
      </w:r>
      <w:r w:rsidRPr="00740FB4">
        <w:tab/>
        <w:t>Martin-Wagar CA, Holmes S, Bhatnagar KAC. Predictors of weight restoration in a day-treatment program that supports family-based treatment for adolescents with anorexia nervosa. Eating Disorders. 2019;27(4):400-17.</w:t>
      </w:r>
    </w:p>
    <w:p w14:paraId="4771FDD1" w14:textId="77777777" w:rsidR="00740FB4" w:rsidRPr="00740FB4" w:rsidRDefault="00740FB4" w:rsidP="00740FB4">
      <w:pPr>
        <w:pStyle w:val="EndNoteBibliography"/>
        <w:spacing w:after="240"/>
      </w:pPr>
      <w:r w:rsidRPr="00740FB4">
        <w:t>21.</w:t>
      </w:r>
      <w:r w:rsidRPr="00740FB4">
        <w:tab/>
        <w:t>Coomber K, King RM. A longitudinal examination of burden and psychological distress in carers of people with an eating disorder. Social Psychiatry and Psychiatric Epidemiology. 2013;48(1):163-71.</w:t>
      </w:r>
    </w:p>
    <w:p w14:paraId="2ABA844E" w14:textId="77777777" w:rsidR="00740FB4" w:rsidRPr="00740FB4" w:rsidRDefault="00740FB4" w:rsidP="00740FB4">
      <w:pPr>
        <w:pStyle w:val="EndNoteBibliography"/>
        <w:spacing w:after="240"/>
      </w:pPr>
      <w:r w:rsidRPr="00740FB4">
        <w:t>22.</w:t>
      </w:r>
      <w:r w:rsidRPr="00740FB4">
        <w:tab/>
        <w:t>Nicula M, Grennan L, Loewen T, Crews E, Giuliani K, Webb C, et al. Virtual parent-led peer support groups for parents of children with eating disorders: A mixed methods feasibility study. International Journal of Eating Disorders. 2023;56(11):2107-19.</w:t>
      </w:r>
    </w:p>
    <w:p w14:paraId="50151BE9" w14:textId="77777777" w:rsidR="00740FB4" w:rsidRPr="00740FB4" w:rsidRDefault="00740FB4" w:rsidP="00740FB4">
      <w:pPr>
        <w:pStyle w:val="EndNoteBibliography"/>
        <w:spacing w:after="240"/>
      </w:pPr>
      <w:r w:rsidRPr="00740FB4">
        <w:t>23.</w:t>
      </w:r>
      <w:r w:rsidRPr="00740FB4">
        <w:tab/>
        <w:t>Baudinet J, Eisler I. Multi-family therapy for eating disorders across the lifespan. Current Psychiatry Reports. 2024;26(6):323-9.</w:t>
      </w:r>
    </w:p>
    <w:p w14:paraId="5C9AED52" w14:textId="77777777" w:rsidR="00740FB4" w:rsidRPr="00740FB4" w:rsidRDefault="00740FB4" w:rsidP="00740FB4">
      <w:pPr>
        <w:pStyle w:val="EndNoteBibliography"/>
        <w:spacing w:after="240"/>
      </w:pPr>
      <w:r w:rsidRPr="00740FB4">
        <w:t>24.</w:t>
      </w:r>
      <w:r w:rsidRPr="00740FB4">
        <w:tab/>
        <w:t>Le Grange D, Eckhardt S, Dalle Grave R, Crosby RD, Peterson CB, Keery H, et al. Enhanced cognitive-behavior therapy and family-based treatment for adolescents with an eating disorder: A non-randomized effectiveness trial. Psychological Medicine. 2022;52(13):2520-30.</w:t>
      </w:r>
    </w:p>
    <w:p w14:paraId="2AD37FA1" w14:textId="77777777" w:rsidR="00740FB4" w:rsidRPr="00740FB4" w:rsidRDefault="00740FB4" w:rsidP="00740FB4">
      <w:pPr>
        <w:pStyle w:val="EndNoteBibliography"/>
        <w:spacing w:after="240"/>
      </w:pPr>
      <w:r w:rsidRPr="00740FB4">
        <w:t>25.</w:t>
      </w:r>
      <w:r w:rsidRPr="00740FB4">
        <w:tab/>
        <w:t>Epstein NB, Baldwin LM, Bishop DS. The McMaster family assessment device. Journal of Marital and Family Therapy. 1983;9(2):171-80.</w:t>
      </w:r>
    </w:p>
    <w:p w14:paraId="4150E37F" w14:textId="77777777" w:rsidR="00740FB4" w:rsidRPr="00740FB4" w:rsidRDefault="00740FB4" w:rsidP="00740FB4">
      <w:pPr>
        <w:pStyle w:val="EndNoteBibliography"/>
        <w:spacing w:after="240"/>
      </w:pPr>
      <w:r w:rsidRPr="00740FB4">
        <w:lastRenderedPageBreak/>
        <w:t>26.</w:t>
      </w:r>
      <w:r w:rsidRPr="00740FB4">
        <w:tab/>
        <w:t>Wiedemann G, Rayki O, Feinstein E, Hahlweg K. The family questionnaire: Development and validation of a new self-report scale for assessing expressed emotion. Psychiatry Res. 2002;109(3):265-79.</w:t>
      </w:r>
    </w:p>
    <w:p w14:paraId="0B43E328" w14:textId="77777777" w:rsidR="00740FB4" w:rsidRPr="00740FB4" w:rsidRDefault="00740FB4" w:rsidP="00740FB4">
      <w:pPr>
        <w:pStyle w:val="EndNoteBibliography"/>
        <w:spacing w:after="240"/>
      </w:pPr>
      <w:r w:rsidRPr="00740FB4">
        <w:t>27.</w:t>
      </w:r>
      <w:r w:rsidRPr="00740FB4">
        <w:tab/>
        <w:t>Moos RH, Moos RS. The family environment scale. Palo Alto, CA: Consulting Psychologists Press; 1986.</w:t>
      </w:r>
    </w:p>
    <w:p w14:paraId="09E05225" w14:textId="77777777" w:rsidR="00740FB4" w:rsidRPr="00740FB4" w:rsidRDefault="00740FB4" w:rsidP="00740FB4">
      <w:pPr>
        <w:pStyle w:val="EndNoteBibliography"/>
        <w:spacing w:after="240"/>
      </w:pPr>
      <w:r w:rsidRPr="00740FB4">
        <w:t>28.</w:t>
      </w:r>
      <w:r w:rsidRPr="00740FB4">
        <w:tab/>
        <w:t>Derogatis L. SCL-90-R: Administration, scoring and procedures manual. 3rd ed. Minneapolis, MN: Pearson; 1994.</w:t>
      </w:r>
    </w:p>
    <w:p w14:paraId="5063AF6A" w14:textId="77777777" w:rsidR="00740FB4" w:rsidRPr="00740FB4" w:rsidRDefault="00740FB4" w:rsidP="00740FB4">
      <w:pPr>
        <w:pStyle w:val="EndNoteBibliography"/>
        <w:spacing w:after="240"/>
      </w:pPr>
      <w:r w:rsidRPr="00740FB4">
        <w:t>29.</w:t>
      </w:r>
      <w:r w:rsidRPr="00740FB4">
        <w:tab/>
        <w:t>Beck AT, Steer RA. Beck anxiety inventory manual. San Antonio, TX: Psychological Corporation; 1993.</w:t>
      </w:r>
    </w:p>
    <w:p w14:paraId="013FEB9E" w14:textId="77777777" w:rsidR="00740FB4" w:rsidRPr="00740FB4" w:rsidRDefault="00740FB4" w:rsidP="00740FB4">
      <w:pPr>
        <w:pStyle w:val="EndNoteBibliography"/>
        <w:spacing w:after="240"/>
      </w:pPr>
      <w:r w:rsidRPr="00740FB4">
        <w:t>30.</w:t>
      </w:r>
      <w:r w:rsidRPr="00740FB4">
        <w:tab/>
        <w:t>Zigmond AS, Snaith RP. The hospital anxiety and depression scale. Acta Psychiatrica Scandinavica. 1983;67(6):361-70.</w:t>
      </w:r>
    </w:p>
    <w:p w14:paraId="09C30DC6" w14:textId="77777777" w:rsidR="00740FB4" w:rsidRPr="00740FB4" w:rsidRDefault="00740FB4" w:rsidP="00740FB4">
      <w:pPr>
        <w:pStyle w:val="EndNoteBibliography"/>
        <w:spacing w:after="240"/>
      </w:pPr>
      <w:r w:rsidRPr="00740FB4">
        <w:t>31.</w:t>
      </w:r>
      <w:r w:rsidRPr="00740FB4">
        <w:tab/>
        <w:t>Forsberg S, Darcy A, Bryson SW, Arnow KD, Datta N, Le Grange D, et al. Psychological symptoms among parents of adolescents with anorexia nervosa: A descriptive examination of their presence and role in treatment outcome. Journal of Family Therapy. 2017;39(4):514-36.</w:t>
      </w:r>
    </w:p>
    <w:p w14:paraId="47AC6ABC" w14:textId="77777777" w:rsidR="00740FB4" w:rsidRPr="00740FB4" w:rsidRDefault="00740FB4" w:rsidP="00740FB4">
      <w:pPr>
        <w:pStyle w:val="EndNoteBibliography"/>
        <w:spacing w:after="240"/>
      </w:pPr>
      <w:r w:rsidRPr="00740FB4">
        <w:t>32.</w:t>
      </w:r>
      <w:r w:rsidRPr="00740FB4">
        <w:tab/>
        <w:t>Stewart CS, Baudinet J, Hall R, Fiska M, Pretorius N, Voulgari S, et al. Multi-family therapy for bulimia nervosa in adolescence: A pilot study in a community eating disorder service. Eating Disorders. 2021;29(4):351-67.</w:t>
      </w:r>
    </w:p>
    <w:p w14:paraId="0F1EC755" w14:textId="77777777" w:rsidR="00740FB4" w:rsidRPr="00740FB4" w:rsidRDefault="00740FB4" w:rsidP="00740FB4">
      <w:pPr>
        <w:pStyle w:val="EndNoteBibliography"/>
        <w:spacing w:after="240"/>
      </w:pPr>
      <w:r w:rsidRPr="00740FB4">
        <w:t>33.</w:t>
      </w:r>
      <w:r w:rsidRPr="00740FB4">
        <w:tab/>
        <w:t>Lock J, Sadeh-Sharvit S, L'Insalata A. Feasibility of conducting a randomized clinical trial using family-based treatment for avoidant/restrictive food intake disorder. International Journal of Eating Disorders. 2019;52(6):746-51.</w:t>
      </w:r>
    </w:p>
    <w:p w14:paraId="7589711D" w14:textId="77777777" w:rsidR="00740FB4" w:rsidRPr="00740FB4" w:rsidRDefault="00740FB4" w:rsidP="00740FB4">
      <w:pPr>
        <w:pStyle w:val="EndNoteBibliography"/>
        <w:spacing w:after="240"/>
      </w:pPr>
      <w:r w:rsidRPr="00740FB4">
        <w:t>34.</w:t>
      </w:r>
      <w:r w:rsidRPr="00740FB4">
        <w:tab/>
        <w:t>Ciao AC, Accurso EC, Fitzsimmons-Craft EE, Lock J, Le Grange D. Family functioning in two treatments for adolescent anorexia nervosa. International Journal of Eating Disorders. 2015;48(1):81-90.</w:t>
      </w:r>
    </w:p>
    <w:p w14:paraId="633D8811" w14:textId="77777777" w:rsidR="00740FB4" w:rsidRPr="00740FB4" w:rsidRDefault="00740FB4" w:rsidP="00740FB4">
      <w:pPr>
        <w:pStyle w:val="EndNoteBibliography"/>
        <w:spacing w:after="240"/>
      </w:pPr>
      <w:r w:rsidRPr="00740FB4">
        <w:t>35.</w:t>
      </w:r>
      <w:r w:rsidRPr="00740FB4">
        <w:tab/>
        <w:t>Sim L, Matthews A. The role of maternal illness perceptions in family functioning in adolescent girls with anorexia nervosa. Journal of Child and Family Studies. 2013;22(4):541-50.</w:t>
      </w:r>
    </w:p>
    <w:p w14:paraId="5DD531AD" w14:textId="77777777" w:rsidR="00740FB4" w:rsidRPr="00740FB4" w:rsidRDefault="00740FB4" w:rsidP="00740FB4">
      <w:pPr>
        <w:pStyle w:val="EndNoteBibliography"/>
        <w:spacing w:after="240"/>
      </w:pPr>
      <w:r w:rsidRPr="00740FB4">
        <w:t>36.</w:t>
      </w:r>
      <w:r w:rsidRPr="00740FB4">
        <w:tab/>
        <w:t>Dimitropoulos G, Freeman VE, Lock J, Le Grange D. Clinician perspective on parental empowerment in family-based treatment for adolescent anorexia nervosa. Journal of Family Therapy. 2017;39(4):537-62.</w:t>
      </w:r>
    </w:p>
    <w:p w14:paraId="5D259698" w14:textId="77777777" w:rsidR="00740FB4" w:rsidRPr="00740FB4" w:rsidRDefault="00740FB4" w:rsidP="00740FB4">
      <w:pPr>
        <w:pStyle w:val="EndNoteBibliography"/>
      </w:pPr>
      <w:r w:rsidRPr="00740FB4">
        <w:t>37.</w:t>
      </w:r>
      <w:r w:rsidRPr="00740FB4">
        <w:tab/>
        <w:t>Jensen-Doss A, Hawley KM. Understanding barriers to evidence-based assessment: Clinician attitudes toward standardized assessment tools. Journal of Clinical Child and Adolescent Psychology. 2010;39(6):885-96.</w:t>
      </w:r>
    </w:p>
    <w:p w14:paraId="5B45A5C0" w14:textId="0ABF0F82" w:rsidR="005B5609" w:rsidRDefault="000B6283" w:rsidP="00445028">
      <w:pPr>
        <w:spacing w:line="276" w:lineRule="auto"/>
        <w:ind w:firstLine="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w:instrText>
      </w:r>
      <w:r>
        <w:rPr>
          <w:rFonts w:ascii="Times New Roman" w:hAnsi="Times New Roman" w:cs="Times New Roman"/>
          <w:sz w:val="24"/>
          <w:szCs w:val="24"/>
        </w:rPr>
        <w:fldChar w:fldCharType="end"/>
      </w:r>
    </w:p>
    <w:sectPr w:rsidR="005B5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Brackets&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92f0pdafvdaasyertsnpwzwfsf5a2ss5d0ve&quot;&gt;PhD May 2023 Copy To Use&lt;record-ids&gt;&lt;item&gt;7&lt;/item&gt;&lt;item&gt;23&lt;/item&gt;&lt;item&gt;24&lt;/item&gt;&lt;item&gt;47&lt;/item&gt;&lt;item&gt;76&lt;/item&gt;&lt;item&gt;78&lt;/item&gt;&lt;item&gt;89&lt;/item&gt;&lt;item&gt;102&lt;/item&gt;&lt;item&gt;105&lt;/item&gt;&lt;item&gt;145&lt;/item&gt;&lt;item&gt;182&lt;/item&gt;&lt;item&gt;193&lt;/item&gt;&lt;item&gt;197&lt;/item&gt;&lt;item&gt;241&lt;/item&gt;&lt;item&gt;242&lt;/item&gt;&lt;item&gt;243&lt;/item&gt;&lt;item&gt;250&lt;/item&gt;&lt;item&gt;269&lt;/item&gt;&lt;item&gt;302&lt;/item&gt;&lt;item&gt;352&lt;/item&gt;&lt;item&gt;375&lt;/item&gt;&lt;item&gt;381&lt;/item&gt;&lt;item&gt;430&lt;/item&gt;&lt;item&gt;464&lt;/item&gt;&lt;item&gt;465&lt;/item&gt;&lt;item&gt;476&lt;/item&gt;&lt;item&gt;478&lt;/item&gt;&lt;item&gt;482&lt;/item&gt;&lt;item&gt;484&lt;/item&gt;&lt;item&gt;488&lt;/item&gt;&lt;item&gt;500&lt;/item&gt;&lt;item&gt;505&lt;/item&gt;&lt;item&gt;512&lt;/item&gt;&lt;item&gt;543&lt;/item&gt;&lt;item&gt;544&lt;/item&gt;&lt;item&gt;545&lt;/item&gt;&lt;item&gt;546&lt;/item&gt;&lt;/record-ids&gt;&lt;/item&gt;&lt;/Libraries&gt;"/>
  </w:docVars>
  <w:rsids>
    <w:rsidRoot w:val="007626B1"/>
    <w:rsid w:val="000B6283"/>
    <w:rsid w:val="00304925"/>
    <w:rsid w:val="00405EDD"/>
    <w:rsid w:val="00445028"/>
    <w:rsid w:val="004F0A75"/>
    <w:rsid w:val="005B5609"/>
    <w:rsid w:val="006E3392"/>
    <w:rsid w:val="00713E87"/>
    <w:rsid w:val="00740FB4"/>
    <w:rsid w:val="0074500F"/>
    <w:rsid w:val="007626B1"/>
    <w:rsid w:val="00914025"/>
    <w:rsid w:val="009F5244"/>
    <w:rsid w:val="00A252ED"/>
    <w:rsid w:val="00AD0544"/>
    <w:rsid w:val="00CF4EE6"/>
    <w:rsid w:val="00D25C14"/>
    <w:rsid w:val="00D428B8"/>
    <w:rsid w:val="00E306D4"/>
    <w:rsid w:val="00F11F9A"/>
    <w:rsid w:val="00F826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BD48"/>
  <w15:chartTrackingRefBased/>
  <w15:docId w15:val="{7531FBB0-99B3-47FA-95FD-38769C46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 Body"/>
    <w:qFormat/>
    <w:rsid w:val="007626B1"/>
    <w:pPr>
      <w:spacing w:after="200" w:line="480" w:lineRule="auto"/>
      <w:ind w:firstLine="720"/>
    </w:pPr>
    <w:rPr>
      <w:rFonts w:ascii="Times New Roman" w:eastAsia="Times New Roman" w:hAnsi="Times New Roman" w:cs="Times New Roman"/>
      <w:sz w:val="24"/>
      <w:szCs w:val="24"/>
      <w:lang w:eastAsia="en-GB"/>
    </w:rPr>
  </w:style>
  <w:style w:type="paragraph" w:customStyle="1" w:styleId="H3Study">
    <w:name w:val="! H3 Study"/>
    <w:qFormat/>
    <w:rsid w:val="007626B1"/>
    <w:pPr>
      <w:keepNext/>
      <w:keepLines/>
      <w:spacing w:after="200" w:line="480" w:lineRule="auto"/>
      <w:outlineLvl w:val="3"/>
    </w:pPr>
    <w:rPr>
      <w:rFonts w:ascii="Times New Roman" w:eastAsia="Times New Roman" w:hAnsi="Times New Roman" w:cs="Times New Roman"/>
      <w:b/>
      <w:bCs/>
      <w:iCs/>
      <w:sz w:val="24"/>
      <w:szCs w:val="20"/>
      <w:lang w:val="en-GB" w:eastAsia="en-GB"/>
    </w:rPr>
  </w:style>
  <w:style w:type="paragraph" w:customStyle="1" w:styleId="Ref">
    <w:name w:val="! Ref"/>
    <w:qFormat/>
    <w:rsid w:val="005B5609"/>
    <w:pPr>
      <w:keepLines/>
      <w:spacing w:after="0" w:line="480" w:lineRule="auto"/>
      <w:ind w:left="720" w:hanging="720"/>
    </w:pPr>
    <w:rPr>
      <w:rFonts w:ascii="Times New Roman" w:eastAsia="Times New Roman" w:hAnsi="Times New Roman" w:cs="Times New Roman"/>
      <w:sz w:val="24"/>
      <w:szCs w:val="24"/>
      <w:shd w:val="clear" w:color="auto" w:fill="FFFFFF"/>
      <w:lang w:val="en-GB" w:eastAsia="en-GB"/>
    </w:rPr>
  </w:style>
  <w:style w:type="character" w:customStyle="1" w:styleId="Refital">
    <w:name w:val="! Ref + ital."/>
    <w:basedOn w:val="DefaultParagraphFont"/>
    <w:uiPriority w:val="1"/>
    <w:qFormat/>
    <w:rsid w:val="005B5609"/>
    <w:rPr>
      <w:rFonts w:ascii="Times New Roman" w:hAnsi="Times New Roman"/>
      <w:i/>
      <w:iCs/>
      <w:sz w:val="24"/>
    </w:rPr>
  </w:style>
  <w:style w:type="character" w:styleId="Hyperlink">
    <w:name w:val="Hyperlink"/>
    <w:basedOn w:val="DefaultParagraphFont"/>
    <w:uiPriority w:val="99"/>
    <w:unhideWhenUsed/>
    <w:rsid w:val="005B5609"/>
    <w:rPr>
      <w:color w:val="0563C1" w:themeColor="hyperlink"/>
      <w:u w:val="single"/>
    </w:rPr>
  </w:style>
  <w:style w:type="paragraph" w:customStyle="1" w:styleId="H1Study">
    <w:name w:val="! H1 Study"/>
    <w:qFormat/>
    <w:rsid w:val="00713E87"/>
    <w:pPr>
      <w:keepNext/>
      <w:keepLines/>
      <w:spacing w:after="200" w:line="480" w:lineRule="auto"/>
      <w:jc w:val="center"/>
      <w:outlineLvl w:val="1"/>
    </w:pPr>
    <w:rPr>
      <w:rFonts w:ascii="Times New Roman" w:eastAsia="Times New Roman" w:hAnsi="Times New Roman" w:cs="Times New Roman"/>
      <w:b/>
      <w:sz w:val="24"/>
      <w:szCs w:val="24"/>
      <w:lang w:eastAsia="en-GB"/>
    </w:rPr>
  </w:style>
  <w:style w:type="paragraph" w:customStyle="1" w:styleId="EndNoteBibliographyTitle">
    <w:name w:val="EndNote Bibliography Title"/>
    <w:basedOn w:val="Normal"/>
    <w:link w:val="EndNoteBibliographyTitleChar"/>
    <w:rsid w:val="00A252ED"/>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A252ED"/>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A252ED"/>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A252ED"/>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cf7d7b9-4c4a-4cca-bcb9-13e9450bdf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D1D9859FAF644CB7FCFC91B4112F3D" ma:contentTypeVersion="17" ma:contentTypeDescription="Create a new document." ma:contentTypeScope="" ma:versionID="d0201d5eaee504bb55a032092794e0da">
  <xsd:schema xmlns:xsd="http://www.w3.org/2001/XMLSchema" xmlns:xs="http://www.w3.org/2001/XMLSchema" xmlns:p="http://schemas.microsoft.com/office/2006/metadata/properties" xmlns:ns3="2cf7d7b9-4c4a-4cca-bcb9-13e9450bdf6b" xmlns:ns4="e243a504-6848-4b4e-b5dd-579a0e39a82b" targetNamespace="http://schemas.microsoft.com/office/2006/metadata/properties" ma:root="true" ma:fieldsID="438e5a0cf2c6711f06b0aff12a71bb5c" ns3:_="" ns4:_="">
    <xsd:import namespace="2cf7d7b9-4c4a-4cca-bcb9-13e9450bdf6b"/>
    <xsd:import namespace="e243a504-6848-4b4e-b5dd-579a0e39a8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7d7b9-4c4a-4cca-bcb9-13e9450bd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43a504-6848-4b4e-b5dd-579a0e39a82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E20C4-3B4D-48FA-B470-A6BEDF9F987F}">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2cf7d7b9-4c4a-4cca-bcb9-13e9450bdf6b"/>
    <ds:schemaRef ds:uri="http://www.w3.org/XML/1998/namespace"/>
    <ds:schemaRef ds:uri="e243a504-6848-4b4e-b5dd-579a0e39a82b"/>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9D30E3ED-CB3A-47FD-9B58-D27D953AF192}">
  <ds:schemaRefs>
    <ds:schemaRef ds:uri="http://schemas.microsoft.com/sharepoint/v3/contenttype/forms"/>
  </ds:schemaRefs>
</ds:datastoreItem>
</file>

<file path=customXml/itemProps3.xml><?xml version="1.0" encoding="utf-8"?>
<ds:datastoreItem xmlns:ds="http://schemas.openxmlformats.org/officeDocument/2006/customXml" ds:itemID="{1CE68FE9-1BC1-46B9-BB40-3B1C9A105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7d7b9-4c4a-4cca-bcb9-13e9450bdf6b"/>
    <ds:schemaRef ds:uri="e243a504-6848-4b4e-b5dd-579a0e39a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1989</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McCord</dc:creator>
  <cp:keywords/>
  <dc:description/>
  <cp:lastModifiedBy>Alex McCord</cp:lastModifiedBy>
  <cp:revision>6</cp:revision>
  <dcterms:created xsi:type="dcterms:W3CDTF">2025-08-24T11:26:00Z</dcterms:created>
  <dcterms:modified xsi:type="dcterms:W3CDTF">2025-08-24T11:41:00Z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0x01010009D1D9859FAF644CB7FCFC91B4112F3D</vt:lpwstr>
  </property>
</Properties>
</file>