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2293" w14:textId="496B0500" w:rsidR="00A54945" w:rsidRPr="001E6777" w:rsidRDefault="001F4784">
      <w:pPr>
        <w:rPr>
          <w:rFonts w:ascii="Times New Roman" w:hAnsi="Times New Roman" w:cs="Times New Roman"/>
          <w:b/>
          <w:bCs/>
        </w:rPr>
      </w:pPr>
      <w:r w:rsidRPr="001E6777">
        <w:rPr>
          <w:rFonts w:ascii="Times New Roman" w:hAnsi="Times New Roman" w:cs="Times New Roman"/>
          <w:b/>
          <w:bCs/>
        </w:rPr>
        <w:t xml:space="preserve">Additional </w:t>
      </w:r>
      <w:proofErr w:type="spellStart"/>
      <w:r w:rsidRPr="001E6777">
        <w:rPr>
          <w:rFonts w:ascii="Times New Roman" w:hAnsi="Times New Roman" w:cs="Times New Roman"/>
          <w:b/>
          <w:bCs/>
        </w:rPr>
        <w:t>file</w:t>
      </w:r>
      <w:proofErr w:type="spellEnd"/>
      <w:r w:rsidRPr="001E6777">
        <w:rPr>
          <w:rFonts w:ascii="Times New Roman" w:hAnsi="Times New Roman" w:cs="Times New Roman"/>
          <w:b/>
          <w:bCs/>
        </w:rPr>
        <w:t xml:space="preserve"> 1</w:t>
      </w:r>
    </w:p>
    <w:p w14:paraId="3C8BCBD6" w14:textId="77777777" w:rsidR="001F4784" w:rsidRPr="001E6777" w:rsidRDefault="001F4784">
      <w:pPr>
        <w:rPr>
          <w:rFonts w:ascii="Times New Roman" w:hAnsi="Times New Roman" w:cs="Times New Roman"/>
        </w:rPr>
      </w:pPr>
    </w:p>
    <w:p w14:paraId="55D5EBE2" w14:textId="765DD3BD" w:rsidR="001F4784" w:rsidRPr="001E6777" w:rsidRDefault="001E6777">
      <w:pPr>
        <w:rPr>
          <w:rFonts w:ascii="Times New Roman" w:hAnsi="Times New Roman" w:cs="Times New Roman"/>
          <w:i/>
          <w:iCs/>
        </w:rPr>
      </w:pPr>
      <w:r w:rsidRPr="001E6777">
        <w:rPr>
          <w:rFonts w:ascii="Times New Roman" w:hAnsi="Times New Roman" w:cs="Times New Roman"/>
          <w:i/>
          <w:iCs/>
        </w:rPr>
        <w:t xml:space="preserve">Search Terms </w:t>
      </w:r>
    </w:p>
    <w:p w14:paraId="56C8E63D" w14:textId="77777777" w:rsidR="001E6777" w:rsidRPr="001E6777" w:rsidRDefault="001E6777">
      <w:pPr>
        <w:rPr>
          <w:rFonts w:ascii="Times New Roman" w:hAnsi="Times New Roman" w:cs="Times New Roman"/>
          <w:i/>
          <w:iCs/>
        </w:rPr>
      </w:pPr>
    </w:p>
    <w:p w14:paraId="7A8889E9" w14:textId="77777777" w:rsidR="001E6777" w:rsidRDefault="001E6777">
      <w:pPr>
        <w:rPr>
          <w:rFonts w:ascii="Times New Roman" w:hAnsi="Times New Roman" w:cs="Times New Roman"/>
          <w:color w:val="000000" w:themeColor="text1"/>
          <w:lang w:val="en-US"/>
        </w:rPr>
      </w:pPr>
      <w:proofErr w:type="spellStart"/>
      <w:r w:rsidRPr="001E6777">
        <w:rPr>
          <w:rFonts w:ascii="Times New Roman" w:hAnsi="Times New Roman" w:cs="Times New Roman"/>
          <w:color w:val="000000" w:themeColor="text1"/>
          <w:lang w:val="en-US"/>
        </w:rPr>
        <w:t>PsychInfo</w:t>
      </w:r>
      <w:proofErr w:type="spellEnd"/>
      <w:r w:rsidRPr="001E6777">
        <w:rPr>
          <w:rFonts w:ascii="Times New Roman" w:hAnsi="Times New Roman" w:cs="Times New Roman"/>
          <w:color w:val="000000" w:themeColor="text1"/>
          <w:lang w:val="en-US"/>
        </w:rPr>
        <w:t xml:space="preserve">: </w:t>
      </w:r>
    </w:p>
    <w:p w14:paraId="305DF720" w14:textId="663AD84A" w:rsidR="001E6777" w:rsidRDefault="001E6777">
      <w:pPr>
        <w:rPr>
          <w:rFonts w:ascii="Times New Roman" w:hAnsi="Times New Roman" w:cs="Times New Roman"/>
          <w:color w:val="000000" w:themeColor="text1"/>
          <w:shd w:val="clear" w:color="auto" w:fill="FFFFFF"/>
          <w:lang w:val="en-US"/>
        </w:rPr>
      </w:pPr>
      <w:r w:rsidRPr="001E6777">
        <w:rPr>
          <w:rFonts w:ascii="Times New Roman" w:hAnsi="Times New Roman" w:cs="Times New Roman"/>
          <w:color w:val="000000" w:themeColor="text1"/>
          <w:shd w:val="clear" w:color="auto" w:fill="FFFFFF"/>
          <w:lang w:val="en-US"/>
        </w:rPr>
        <w:t>("attention* bias“ OR "visual probe“ OR "dot probe“ OR</w:t>
      </w:r>
      <w:r w:rsidRPr="001E6777">
        <w:rPr>
          <w:rFonts w:ascii="Times New Roman" w:hAnsi="Times New Roman" w:cs="Times New Roman"/>
          <w:color w:val="000000" w:themeColor="text1"/>
          <w:lang w:val="en-US"/>
        </w:rPr>
        <w:br/>
      </w:r>
      <w:r w:rsidRPr="001E6777">
        <w:rPr>
          <w:rFonts w:ascii="Times New Roman" w:hAnsi="Times New Roman" w:cs="Times New Roman"/>
          <w:color w:val="000000" w:themeColor="text1"/>
          <w:shd w:val="clear" w:color="auto" w:fill="FFFFFF"/>
          <w:lang w:val="en-US"/>
        </w:rPr>
        <w:t>"visual search“ OR "</w:t>
      </w:r>
      <w:proofErr w:type="spellStart"/>
      <w:r w:rsidRPr="001E6777">
        <w:rPr>
          <w:rFonts w:ascii="Times New Roman" w:hAnsi="Times New Roman" w:cs="Times New Roman"/>
          <w:color w:val="000000" w:themeColor="text1"/>
          <w:shd w:val="clear" w:color="auto" w:fill="FFFFFF"/>
          <w:lang w:val="en-US"/>
        </w:rPr>
        <w:t>stroop</w:t>
      </w:r>
      <w:proofErr w:type="spellEnd"/>
      <w:r w:rsidRPr="001E6777">
        <w:rPr>
          <w:rFonts w:ascii="Times New Roman" w:hAnsi="Times New Roman" w:cs="Times New Roman"/>
          <w:color w:val="000000" w:themeColor="text1"/>
          <w:shd w:val="clear" w:color="auto" w:fill="FFFFFF"/>
          <w:lang w:val="en-US"/>
        </w:rPr>
        <w:t>" OR "eye movements“ OR "EEG" OR</w:t>
      </w:r>
      <w:r w:rsidRPr="001E6777">
        <w:rPr>
          <w:rFonts w:ascii="Times New Roman" w:hAnsi="Times New Roman" w:cs="Times New Roman"/>
          <w:color w:val="000000" w:themeColor="text1"/>
          <w:lang w:val="en-US"/>
        </w:rPr>
        <w:br/>
      </w:r>
      <w:r w:rsidRPr="001E6777">
        <w:rPr>
          <w:rFonts w:ascii="Times New Roman" w:hAnsi="Times New Roman" w:cs="Times New Roman"/>
          <w:color w:val="000000" w:themeColor="text1"/>
          <w:shd w:val="clear" w:color="auto" w:fill="FFFFFF"/>
          <w:lang w:val="en-US"/>
        </w:rPr>
        <w:t>"</w:t>
      </w:r>
      <w:proofErr w:type="spellStart"/>
      <w:r w:rsidRPr="001E6777">
        <w:rPr>
          <w:rFonts w:ascii="Times New Roman" w:hAnsi="Times New Roman" w:cs="Times New Roman"/>
          <w:color w:val="000000" w:themeColor="text1"/>
          <w:shd w:val="clear" w:color="auto" w:fill="FFFFFF"/>
          <w:lang w:val="en-US"/>
        </w:rPr>
        <w:t>electroencephal</w:t>
      </w:r>
      <w:proofErr w:type="spellEnd"/>
      <w:r w:rsidRPr="001E6777">
        <w:rPr>
          <w:rFonts w:ascii="Times New Roman" w:hAnsi="Times New Roman" w:cs="Times New Roman"/>
          <w:color w:val="000000" w:themeColor="text1"/>
          <w:shd w:val="clear" w:color="auto" w:fill="FFFFFF"/>
          <w:lang w:val="en-US"/>
        </w:rPr>
        <w:t>*“OR "ERP*" OR "event-related potentials") AND</w:t>
      </w:r>
      <w:r w:rsidRPr="001E6777">
        <w:rPr>
          <w:rFonts w:ascii="Times New Roman" w:hAnsi="Times New Roman" w:cs="Times New Roman"/>
          <w:color w:val="000000" w:themeColor="text1"/>
          <w:lang w:val="en-US"/>
        </w:rPr>
        <w:br/>
      </w:r>
      <w:r w:rsidRPr="001E6777">
        <w:rPr>
          <w:rFonts w:ascii="Times New Roman" w:hAnsi="Times New Roman" w:cs="Times New Roman"/>
          <w:color w:val="000000" w:themeColor="text1"/>
          <w:shd w:val="clear" w:color="auto" w:fill="FFFFFF"/>
          <w:lang w:val="en-US"/>
        </w:rPr>
        <w:t>("bodies*" OR "body*" OR "shape*" OR "food*") AND</w:t>
      </w:r>
      <w:r w:rsidRPr="001E6777">
        <w:rPr>
          <w:rFonts w:ascii="Times New Roman" w:hAnsi="Times New Roman" w:cs="Times New Roman"/>
          <w:color w:val="000000" w:themeColor="text1"/>
          <w:lang w:val="en-US"/>
        </w:rPr>
        <w:br/>
      </w:r>
      <w:r w:rsidRPr="001E6777">
        <w:rPr>
          <w:rFonts w:ascii="Times New Roman" w:hAnsi="Times New Roman" w:cs="Times New Roman"/>
          <w:color w:val="000000" w:themeColor="text1"/>
          <w:shd w:val="clear" w:color="auto" w:fill="FFFFFF"/>
          <w:lang w:val="en-US"/>
        </w:rPr>
        <w:t>(“adolescent*" OR "child*" OR "girl*" OR “boy*” OR "youth*" OR</w:t>
      </w:r>
      <w:r w:rsidRPr="001E6777">
        <w:rPr>
          <w:rFonts w:ascii="Times New Roman" w:hAnsi="Times New Roman" w:cs="Times New Roman"/>
          <w:color w:val="000000" w:themeColor="text1"/>
          <w:lang w:val="en-US"/>
        </w:rPr>
        <w:br/>
      </w:r>
      <w:r w:rsidRPr="001E6777">
        <w:rPr>
          <w:rFonts w:ascii="Times New Roman" w:hAnsi="Times New Roman" w:cs="Times New Roman"/>
          <w:color w:val="000000" w:themeColor="text1"/>
          <w:shd w:val="clear" w:color="auto" w:fill="FFFFFF"/>
          <w:lang w:val="en-US"/>
        </w:rPr>
        <w:t>"teenage*" OR "underage*" OR "school*")</w:t>
      </w:r>
    </w:p>
    <w:p w14:paraId="2FA6583C" w14:textId="77777777" w:rsidR="001E6777" w:rsidRDefault="001E6777">
      <w:pPr>
        <w:rPr>
          <w:rFonts w:ascii="Times New Roman" w:hAnsi="Times New Roman" w:cs="Times New Roman"/>
          <w:color w:val="000000" w:themeColor="text1"/>
          <w:shd w:val="clear" w:color="auto" w:fill="FFFFFF"/>
          <w:lang w:val="en-US"/>
        </w:rPr>
      </w:pPr>
    </w:p>
    <w:p w14:paraId="531F98C4" w14:textId="77777777" w:rsidR="001E6777" w:rsidRDefault="001E6777">
      <w:pPr>
        <w:rPr>
          <w:rFonts w:ascii="Times New Roman" w:hAnsi="Times New Roman" w:cs="Times New Roman"/>
          <w:color w:val="000000" w:themeColor="text1"/>
          <w:shd w:val="clear" w:color="auto" w:fill="FFFFFF"/>
          <w:lang w:val="en-US"/>
        </w:rPr>
      </w:pPr>
      <w:r w:rsidRPr="001E6777">
        <w:rPr>
          <w:rFonts w:ascii="Times New Roman" w:hAnsi="Times New Roman" w:cs="Times New Roman"/>
          <w:color w:val="000000" w:themeColor="text1"/>
          <w:shd w:val="clear" w:color="auto" w:fill="FFFFFF"/>
          <w:lang w:val="en-US"/>
        </w:rPr>
        <w:t xml:space="preserve">PubMed: </w:t>
      </w:r>
    </w:p>
    <w:p w14:paraId="1D1CB985" w14:textId="631FB996" w:rsidR="001E6777" w:rsidRDefault="001E6777">
      <w:pPr>
        <w:rPr>
          <w:rFonts w:ascii="Times New Roman" w:hAnsi="Times New Roman" w:cs="Times New Roman"/>
          <w:color w:val="000000" w:themeColor="text1"/>
          <w:lang w:val="en-US"/>
        </w:rPr>
      </w:pPr>
      <w:r w:rsidRPr="001E6777">
        <w:rPr>
          <w:rStyle w:val="Fett"/>
          <w:rFonts w:ascii="Times New Roman" w:hAnsi="Times New Roman" w:cs="Times New Roman"/>
          <w:b w:val="0"/>
          <w:bCs w:val="0"/>
          <w:color w:val="000000" w:themeColor="text1"/>
          <w:lang w:val="en-US"/>
        </w:rPr>
        <w:t xml:space="preserve">((attention* bias[Title/Abstract] OR visual probe[Title/Abstract] OR dot probe[Title/Abstract] OR visual search[Title/Abstract] OR </w:t>
      </w:r>
      <w:proofErr w:type="spellStart"/>
      <w:r w:rsidRPr="001E6777">
        <w:rPr>
          <w:rStyle w:val="Fett"/>
          <w:rFonts w:ascii="Times New Roman" w:hAnsi="Times New Roman" w:cs="Times New Roman"/>
          <w:b w:val="0"/>
          <w:bCs w:val="0"/>
          <w:color w:val="000000" w:themeColor="text1"/>
          <w:lang w:val="en-US"/>
        </w:rPr>
        <w:t>stroop</w:t>
      </w:r>
      <w:proofErr w:type="spellEnd"/>
      <w:r w:rsidRPr="001E6777">
        <w:rPr>
          <w:rStyle w:val="Fett"/>
          <w:rFonts w:ascii="Times New Roman" w:hAnsi="Times New Roman" w:cs="Times New Roman"/>
          <w:b w:val="0"/>
          <w:bCs w:val="0"/>
          <w:color w:val="000000" w:themeColor="text1"/>
          <w:lang w:val="en-US"/>
        </w:rPr>
        <w:t xml:space="preserve">[Title/Abstract] OR eye movements[Title/Abstract] OR EEG[Title/Abstract] OR </w:t>
      </w:r>
      <w:proofErr w:type="spellStart"/>
      <w:r w:rsidRPr="001E6777">
        <w:rPr>
          <w:rStyle w:val="Fett"/>
          <w:rFonts w:ascii="Times New Roman" w:hAnsi="Times New Roman" w:cs="Times New Roman"/>
          <w:b w:val="0"/>
          <w:bCs w:val="0"/>
          <w:color w:val="000000" w:themeColor="text1"/>
          <w:lang w:val="en-US"/>
        </w:rPr>
        <w:t>electroencephal</w:t>
      </w:r>
      <w:proofErr w:type="spellEnd"/>
      <w:r w:rsidRPr="001E6777">
        <w:rPr>
          <w:rStyle w:val="Fett"/>
          <w:rFonts w:ascii="Times New Roman" w:hAnsi="Times New Roman" w:cs="Times New Roman"/>
          <w:b w:val="0"/>
          <w:bCs w:val="0"/>
          <w:color w:val="000000" w:themeColor="text1"/>
          <w:lang w:val="en-US"/>
        </w:rPr>
        <w:t>*[Title/Abstract] OR ERP*[Title/Abstract] OR event-related potentials[Title/Abstract]) AND (bodies* [Title/Abstract] OR body* [Title/Abstract] OR shape* [Title/Abstract] OR food* [Title/Abstract]) AND (adolescent* [Title/Abstract] OR child* [Title/Abstract] OR girl* [Title/Abstract] OR boy* [Title/Abstract]OR youth* [Title/Abstract] OR teenage* [Title/Abstract] OR school* [Title/Abstract]) AND ((</w:t>
      </w:r>
      <w:proofErr w:type="spellStart"/>
      <w:r w:rsidRPr="001E6777">
        <w:rPr>
          <w:rStyle w:val="Fett"/>
          <w:rFonts w:ascii="Times New Roman" w:hAnsi="Times New Roman" w:cs="Times New Roman"/>
          <w:b w:val="0"/>
          <w:bCs w:val="0"/>
          <w:color w:val="000000" w:themeColor="text1"/>
          <w:lang w:val="en-US"/>
        </w:rPr>
        <w:t>german</w:t>
      </w:r>
      <w:proofErr w:type="spellEnd"/>
      <w:r w:rsidRPr="001E6777">
        <w:rPr>
          <w:rStyle w:val="Fett"/>
          <w:rFonts w:ascii="Times New Roman" w:hAnsi="Times New Roman" w:cs="Times New Roman"/>
          <w:b w:val="0"/>
          <w:bCs w:val="0"/>
          <w:color w:val="000000" w:themeColor="text1"/>
          <w:lang w:val="en-US"/>
        </w:rPr>
        <w:t xml:space="preserve">[Language]) OR </w:t>
      </w:r>
      <w:proofErr w:type="spellStart"/>
      <w:r w:rsidRPr="001E6777">
        <w:rPr>
          <w:rStyle w:val="Fett"/>
          <w:rFonts w:ascii="Times New Roman" w:hAnsi="Times New Roman" w:cs="Times New Roman"/>
          <w:b w:val="0"/>
          <w:bCs w:val="0"/>
          <w:color w:val="000000" w:themeColor="text1"/>
          <w:lang w:val="en-US"/>
        </w:rPr>
        <w:t>english</w:t>
      </w:r>
      <w:proofErr w:type="spellEnd"/>
      <w:r w:rsidRPr="001E6777">
        <w:rPr>
          <w:rStyle w:val="Fett"/>
          <w:rFonts w:ascii="Times New Roman" w:hAnsi="Times New Roman" w:cs="Times New Roman"/>
          <w:b w:val="0"/>
          <w:bCs w:val="0"/>
          <w:color w:val="000000" w:themeColor="text1"/>
          <w:lang w:val="en-US"/>
        </w:rPr>
        <w:t>[Language]))</w:t>
      </w:r>
      <w:r w:rsidRPr="001E6777">
        <w:rPr>
          <w:rStyle w:val="apple-converted-space"/>
          <w:rFonts w:ascii="Times New Roman" w:hAnsi="Times New Roman" w:cs="Times New Roman"/>
          <w:b/>
          <w:bCs/>
          <w:color w:val="000000" w:themeColor="text1"/>
          <w:shd w:val="clear" w:color="auto" w:fill="F6F6F6"/>
          <w:lang w:val="en-US"/>
        </w:rPr>
        <w:t> </w:t>
      </w:r>
      <w:r w:rsidRPr="001E6777">
        <w:rPr>
          <w:rFonts w:ascii="Times New Roman" w:hAnsi="Times New Roman" w:cs="Times New Roman"/>
          <w:b/>
          <w:bCs/>
          <w:color w:val="000000" w:themeColor="text1"/>
          <w:shd w:val="clear" w:color="auto" w:fill="F6F6F6"/>
          <w:lang w:val="en-US"/>
        </w:rPr>
        <w:t>Filters:</w:t>
      </w:r>
      <w:r w:rsidRPr="001E6777">
        <w:rPr>
          <w:rStyle w:val="apple-converted-space"/>
          <w:rFonts w:ascii="Times New Roman" w:hAnsi="Times New Roman" w:cs="Times New Roman"/>
          <w:b/>
          <w:bCs/>
          <w:color w:val="000000" w:themeColor="text1"/>
          <w:shd w:val="clear" w:color="auto" w:fill="F6F6F6"/>
          <w:lang w:val="en-US"/>
        </w:rPr>
        <w:t> </w:t>
      </w:r>
      <w:r w:rsidRPr="001E6777">
        <w:rPr>
          <w:rStyle w:val="Fett"/>
          <w:rFonts w:ascii="Times New Roman" w:hAnsi="Times New Roman" w:cs="Times New Roman"/>
          <w:b w:val="0"/>
          <w:bCs w:val="0"/>
          <w:color w:val="000000" w:themeColor="text1"/>
          <w:lang w:val="en-US"/>
        </w:rPr>
        <w:t xml:space="preserve">Clinical Study, Clinical Trial, Comparative Study, Meta-Analysis, Randomized Controlled Trial, Review, Systematic Review </w:t>
      </w:r>
    </w:p>
    <w:p w14:paraId="66304E5B" w14:textId="77777777" w:rsidR="001E6777" w:rsidRDefault="001E6777">
      <w:pPr>
        <w:rPr>
          <w:rFonts w:ascii="Times New Roman" w:hAnsi="Times New Roman" w:cs="Times New Roman"/>
          <w:color w:val="000000" w:themeColor="text1"/>
          <w:lang w:val="en-US"/>
        </w:rPr>
      </w:pPr>
    </w:p>
    <w:p w14:paraId="3E0F5717" w14:textId="77777777" w:rsidR="001E6777" w:rsidRDefault="001E6777">
      <w:pPr>
        <w:rPr>
          <w:rFonts w:ascii="Times New Roman" w:hAnsi="Times New Roman" w:cs="Times New Roman"/>
          <w:color w:val="000000" w:themeColor="text1"/>
          <w:lang w:val="en-US"/>
        </w:rPr>
      </w:pPr>
      <w:r w:rsidRPr="001E6777">
        <w:rPr>
          <w:rFonts w:ascii="Times New Roman" w:hAnsi="Times New Roman" w:cs="Times New Roman"/>
          <w:color w:val="000000" w:themeColor="text1"/>
          <w:lang w:val="en-US"/>
        </w:rPr>
        <w:t xml:space="preserve">Scopus: </w:t>
      </w:r>
    </w:p>
    <w:p w14:paraId="48E64407" w14:textId="7E3478E8" w:rsidR="001E6777" w:rsidRDefault="001E6777">
      <w:pPr>
        <w:rPr>
          <w:rFonts w:ascii="Times New Roman" w:hAnsi="Times New Roman" w:cs="Times New Roman"/>
          <w:color w:val="000000" w:themeColor="text1"/>
          <w:lang w:val="en-US"/>
        </w:rPr>
      </w:pPr>
      <w:r w:rsidRPr="001E6777">
        <w:rPr>
          <w:rFonts w:ascii="Times New Roman" w:hAnsi="Times New Roman" w:cs="Times New Roman"/>
          <w:color w:val="000000" w:themeColor="text1"/>
          <w:lang w:val="en-US"/>
        </w:rPr>
        <w:t>TITLE-ABS (("attention* bias“) OR ("visual probe“) OR ("dot probe“) OR ("visual search“) OR "</w:t>
      </w:r>
      <w:proofErr w:type="spellStart"/>
      <w:r w:rsidRPr="001E6777">
        <w:rPr>
          <w:rFonts w:ascii="Times New Roman" w:hAnsi="Times New Roman" w:cs="Times New Roman"/>
          <w:color w:val="000000" w:themeColor="text1"/>
          <w:lang w:val="en-US"/>
        </w:rPr>
        <w:t>stroop</w:t>
      </w:r>
      <w:proofErr w:type="spellEnd"/>
      <w:r w:rsidRPr="001E6777">
        <w:rPr>
          <w:rFonts w:ascii="Times New Roman" w:hAnsi="Times New Roman" w:cs="Times New Roman"/>
          <w:color w:val="000000" w:themeColor="text1"/>
          <w:lang w:val="en-US"/>
        </w:rPr>
        <w:t>" OR ("eye movements“) OR "EEG" OR "</w:t>
      </w:r>
      <w:proofErr w:type="spellStart"/>
      <w:r w:rsidRPr="001E6777">
        <w:rPr>
          <w:rFonts w:ascii="Times New Roman" w:hAnsi="Times New Roman" w:cs="Times New Roman"/>
          <w:color w:val="000000" w:themeColor="text1"/>
          <w:lang w:val="en-US"/>
        </w:rPr>
        <w:t>electroencephal</w:t>
      </w:r>
      <w:proofErr w:type="spellEnd"/>
      <w:r w:rsidRPr="001E6777">
        <w:rPr>
          <w:rFonts w:ascii="Times New Roman" w:hAnsi="Times New Roman" w:cs="Times New Roman"/>
          <w:color w:val="000000" w:themeColor="text1"/>
          <w:lang w:val="en-US"/>
        </w:rPr>
        <w:t>*“OR "ERP*" OR ("event-related potentials")) AND TITLE-ABS ("bodies*" OR "body*" OR "shape*" OR "food*") AND TITLE-ABS(„adolescent*" OR "child*" OR "girl*" OR “boy*” OR "youth*" OR "teenage*" OR "underage*" OR "school*")</w:t>
      </w:r>
    </w:p>
    <w:p w14:paraId="24ECEAA3" w14:textId="77777777" w:rsidR="00E45BEF" w:rsidRDefault="00E45BEF">
      <w:pPr>
        <w:rPr>
          <w:rFonts w:ascii="Times New Roman" w:hAnsi="Times New Roman" w:cs="Times New Roman"/>
          <w:color w:val="000000" w:themeColor="text1"/>
          <w:lang w:val="en-US"/>
        </w:rPr>
      </w:pPr>
    </w:p>
    <w:p w14:paraId="79519924" w14:textId="0AC8F776" w:rsidR="00E45BEF" w:rsidRPr="00E45BEF" w:rsidRDefault="00E45BEF">
      <w:pPr>
        <w:rPr>
          <w:rFonts w:ascii="Times New Roman" w:hAnsi="Times New Roman" w:cs="Times New Roman"/>
          <w:b/>
          <w:bCs/>
          <w:color w:val="000000" w:themeColor="text1"/>
          <w:lang w:val="en-US"/>
        </w:rPr>
      </w:pPr>
      <w:r w:rsidRPr="00E45BEF">
        <w:rPr>
          <w:rFonts w:ascii="Times New Roman" w:hAnsi="Times New Roman" w:cs="Times New Roman"/>
          <w:b/>
          <w:bCs/>
          <w:color w:val="000000" w:themeColor="text1"/>
          <w:lang w:val="en-US"/>
        </w:rPr>
        <w:t>Additional file 2</w:t>
      </w:r>
    </w:p>
    <w:p w14:paraId="1858992F" w14:textId="77777777" w:rsidR="00E45BEF" w:rsidRDefault="00E45BEF">
      <w:pPr>
        <w:rPr>
          <w:rFonts w:ascii="Times New Roman" w:hAnsi="Times New Roman" w:cs="Times New Roman"/>
          <w:color w:val="000000" w:themeColor="text1"/>
          <w:lang w:val="en-US"/>
        </w:rPr>
      </w:pPr>
    </w:p>
    <w:p w14:paraId="26F63E5C" w14:textId="77777777" w:rsidR="00E45BEF" w:rsidRPr="000C3F42" w:rsidRDefault="00E45BEF" w:rsidP="00E45BEF">
      <w:pPr>
        <w:rPr>
          <w:rFonts w:ascii="Times New Roman" w:hAnsi="Times New Roman"/>
          <w:i/>
          <w:iCs/>
          <w:lang w:val="en-US"/>
        </w:rPr>
      </w:pPr>
      <w:r>
        <w:rPr>
          <w:rFonts w:ascii="Times New Roman" w:hAnsi="Times New Roman"/>
          <w:i/>
          <w:iCs/>
          <w:lang w:val="en-US"/>
        </w:rPr>
        <w:t xml:space="preserve">Study quality rating for studies investigating </w:t>
      </w:r>
      <w:r w:rsidRPr="000C3F42">
        <w:rPr>
          <w:rFonts w:ascii="Times New Roman" w:hAnsi="Times New Roman"/>
          <w:i/>
          <w:iCs/>
          <w:lang w:val="en-US"/>
        </w:rPr>
        <w:t xml:space="preserve">AB to food-related stimuli </w:t>
      </w:r>
    </w:p>
    <w:p w14:paraId="4FC307D8" w14:textId="77777777" w:rsidR="00E45BEF" w:rsidRPr="000C3F42" w:rsidRDefault="00E45BEF" w:rsidP="00E45BEF">
      <w:pPr>
        <w:rPr>
          <w:rFonts w:ascii="Times New Roman" w:hAnsi="Times New Roman"/>
          <w:i/>
          <w:iCs/>
          <w:lang w:val="en-US"/>
        </w:rPr>
      </w:pPr>
    </w:p>
    <w:tbl>
      <w:tblPr>
        <w:tblStyle w:val="TabellemithellemGitternetz"/>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835"/>
      </w:tblGrid>
      <w:tr w:rsidR="00E45BEF" w:rsidRPr="000C3F42" w14:paraId="447EA77A" w14:textId="77777777" w:rsidTr="001A7233">
        <w:tc>
          <w:tcPr>
            <w:tcW w:w="3118" w:type="dxa"/>
            <w:tcBorders>
              <w:top w:val="single" w:sz="4" w:space="0" w:color="auto"/>
              <w:bottom w:val="single" w:sz="4" w:space="0" w:color="auto"/>
            </w:tcBorders>
          </w:tcPr>
          <w:p w14:paraId="0810BAB2" w14:textId="77777777" w:rsidR="00E45BEF" w:rsidRPr="000C3F42" w:rsidRDefault="00E45BEF" w:rsidP="00B12C33">
            <w:pPr>
              <w:jc w:val="center"/>
              <w:rPr>
                <w:rFonts w:ascii="Times New Roman" w:hAnsi="Times New Roman" w:cs="Times New Roman"/>
              </w:rPr>
            </w:pPr>
            <w:proofErr w:type="spellStart"/>
            <w:r w:rsidRPr="000C3F42">
              <w:rPr>
                <w:rFonts w:ascii="Times New Roman" w:hAnsi="Times New Roman" w:cs="Times New Roman"/>
              </w:rPr>
              <w:t>Author</w:t>
            </w:r>
            <w:proofErr w:type="spellEnd"/>
            <w:r w:rsidRPr="000C3F42">
              <w:rPr>
                <w:rFonts w:ascii="Times New Roman" w:hAnsi="Times New Roman" w:cs="Times New Roman"/>
              </w:rPr>
              <w:t xml:space="preserve"> (s) (</w:t>
            </w:r>
            <w:proofErr w:type="spellStart"/>
            <w:r w:rsidRPr="000C3F42">
              <w:rPr>
                <w:rFonts w:ascii="Times New Roman" w:hAnsi="Times New Roman" w:cs="Times New Roman"/>
              </w:rPr>
              <w:t>year</w:t>
            </w:r>
            <w:proofErr w:type="spellEnd"/>
            <w:r w:rsidRPr="000C3F42">
              <w:rPr>
                <w:rFonts w:ascii="Times New Roman" w:hAnsi="Times New Roman" w:cs="Times New Roman"/>
              </w:rPr>
              <w:t>)</w:t>
            </w:r>
          </w:p>
        </w:tc>
        <w:tc>
          <w:tcPr>
            <w:tcW w:w="2835" w:type="dxa"/>
            <w:tcBorders>
              <w:top w:val="single" w:sz="4" w:space="0" w:color="auto"/>
              <w:bottom w:val="single" w:sz="4" w:space="0" w:color="auto"/>
            </w:tcBorders>
          </w:tcPr>
          <w:p w14:paraId="04D6EE3F" w14:textId="77777777" w:rsidR="00E45BEF" w:rsidRPr="006911BB" w:rsidRDefault="00E45BEF" w:rsidP="00B12C33">
            <w:pPr>
              <w:jc w:val="center"/>
              <w:rPr>
                <w:rFonts w:ascii="Times New Roman" w:hAnsi="Times New Roman" w:cs="Times New Roman"/>
              </w:rPr>
            </w:pPr>
            <w:r w:rsidRPr="006911BB">
              <w:rPr>
                <w:rFonts w:ascii="Times New Roman" w:hAnsi="Times New Roman" w:cs="Times New Roman"/>
              </w:rPr>
              <w:t xml:space="preserve">Study </w:t>
            </w:r>
            <w:proofErr w:type="spellStart"/>
            <w:r w:rsidRPr="006911BB">
              <w:rPr>
                <w:rFonts w:ascii="Times New Roman" w:hAnsi="Times New Roman" w:cs="Times New Roman"/>
              </w:rPr>
              <w:t>quality</w:t>
            </w:r>
            <w:proofErr w:type="spellEnd"/>
          </w:p>
        </w:tc>
      </w:tr>
      <w:tr w:rsidR="00E45BEF" w:rsidRPr="000C3F42" w14:paraId="6D10BAE6" w14:textId="77777777" w:rsidTr="001A7233">
        <w:tc>
          <w:tcPr>
            <w:tcW w:w="3118" w:type="dxa"/>
            <w:tcBorders>
              <w:top w:val="single" w:sz="4" w:space="0" w:color="auto"/>
            </w:tcBorders>
          </w:tcPr>
          <w:p w14:paraId="49EBBCD3"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Biehl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{"citationItems":[{"id":"ITEM-1","itemData":{"DOI":"10.1186/s40337-020-00290-8","ISSN":"2050-2974 (Print)","PMID":"32280464","abstract":"BACKGROUND: Findings are mixed regarding the association of electroencephalographic  (EEG) attentional bias measures and body weight, with few studies measuring food craving or intake and no study reporting oscillatory measures. METHODS: EEG data were collected while 28 satiated adolescents (14 overweight/obese) viewed pictures of neutral, low-calorie food, and high-calorie food stimuli and rated their desire to eat, before having access to high-calorie snacks. RESULTS: Unlike normal-weight adolescents, overweight/obese participants showed similar P300 amplitudes for high- and low-calorie food, and strongest event-related alpha band desynchronization for low-calorie stimuli. P300 amplitudes and state craving for low-calorie food furthermore predicted snack intake in this group. CONCLUSIONS: The current research focus in overweight/obesity might need to be extended to include low-calorie food. While all participants showed an attentional bias for high-calorie food, it was the processing of low-calorie food which distinguished the two weight groups on measures of neural activity and which was associated with snack food intake in the overweight/obese group.","author":[{"dropping-particle":"","family":"Biehl","given":"Stefanie C","non-dropping-particle":"","parse-names":false,"suffix":""},{"dropping-particle":"","family":"Keil","given":"Julian","non-dropping-particle":"","parse-names":false,"suffix":""},{"dropping-particle":"","family":"Naumann","given":"Eva","non-dropping-particle":"","parse-names":false,"suffix":""},{"dropping-particle":"","family":"Svaldi","given":"Jennifer","non-dropping-particle":"","parse-names":false,"suffix":""}],"container-title":"Journal of eating disorders","id":"ITEM-1","issued":{"date-parts":[["2020"]]},"language":"eng","page":"14","title":"ERP and oscillatory differences in overweight/obese and normal-weight adolescents in  response to food stimuli.","type":"article-journal","volume":"8"},"uris":["http://www.mendeley.com/documents/?uuid=fa7f61e4-9922-4ce6-b1e4-1d524cc7c303"]}],"mendeley":{"formattedCitation":"[70]","plainTextFormattedCitation":"[70]","previouslyFormattedCitation":"[70]"},"properties":{"noteIndex":0},"schema":"https://github.com/citation-style-language/schema/raw/master/csl-citation.json"}</w:instrText>
            </w:r>
            <w:r>
              <w:rPr>
                <w:rFonts w:ascii="Times New Roman" w:hAnsi="Times New Roman"/>
                <w:lang w:val="en-US"/>
              </w:rPr>
              <w:fldChar w:fldCharType="separate"/>
            </w:r>
            <w:r w:rsidRPr="000C3F42">
              <w:rPr>
                <w:rFonts w:ascii="Times New Roman" w:hAnsi="Times New Roman" w:cs="Times New Roman"/>
                <w:noProof/>
                <w:lang w:val="en-US"/>
              </w:rPr>
              <w:t>[70]</w:t>
            </w:r>
            <w:r>
              <w:rPr>
                <w:rFonts w:ascii="Times New Roman" w:hAnsi="Times New Roman"/>
                <w:lang w:val="en-US"/>
              </w:rPr>
              <w:fldChar w:fldCharType="end"/>
            </w:r>
          </w:p>
        </w:tc>
        <w:tc>
          <w:tcPr>
            <w:tcW w:w="2835" w:type="dxa"/>
            <w:tcBorders>
              <w:top w:val="single" w:sz="4" w:space="0" w:color="auto"/>
            </w:tcBorders>
          </w:tcPr>
          <w:p w14:paraId="73B7CBC2"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1965501F" w14:textId="77777777" w:rsidTr="001A7233">
        <w:tc>
          <w:tcPr>
            <w:tcW w:w="3118" w:type="dxa"/>
          </w:tcPr>
          <w:p w14:paraId="35DEF946"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Hofmann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{"citationItems":[{"id":"ITEM-1","itemData":{"DOI":"10.1002/oby.21254","ISSN":"1930-739X (Electronic)","PMID":"26381395","abstract":"OBJECTIVE: Despite alarming prevalence rates, surprisingly little is known about  neural mechanisms underlying eating behavior in juveniles with obesity. To simulate reactivity to modern food environments, event-related potentials (ERP) to appetizing food images (relative to control images) were recorded in adolescents with obesity and healthy adolescents. METHODS: Thirty-four adolescents with obesity (patients) and 24 matched healthy control adolescents watched and rated standardized food and object images during ERP recording. Personality (impulsivity) and eating styles (trait craving and dietary restraint) were assessed as potential moderators. RESULTS: Food relative to object images triggered larger early (P100) and late (P300) ERPs. More impulsive individuals had considerably larger food-specific P100 amplitudes in both groups. Controls with higher restraint scores showed reduced food-specific P300 amplitudes and subjective palatability ratings whereas patients with higher restraint scores showed increased P300 and palatability ratings. CONCLUSIONS: This first ERP study in adolescents with obesity and controls revealed impulsivity as a general risk factor in the current obesogenic environment by increasing food-cue salience. Dietary restraint showed paradoxical effects in patients, making them more vulnerable to visual food-cues. Salutogenic therapeutic approaches that deemphasize strict dietary restraint and foster healthy food choice might reduce such paradoxical effects.","author":[{"dropping-particle":"","family":"Hofmann","given":"Johannes","non-dropping-particle":"","parse-names":false,"suffix":""},{"dropping-particle":"","family":"Ardelt-Gattinger","given":"Elisabeth","non-dropping-particle":"","parse-names":false,"suffix":""},{"dropping-particle":"","family":"Paulmichl","given":"Katharina","non-dropping-particle":"","parse-names":false,"suffix":""},{"dropping-particle":"","family":"Weghuber","given":"Daniel","non-dropping-particle":"","parse-names":false,"suffix":""},{"dropping-particle":"","family":"Blechert","given":"Jens","non-dropping-particle":"","parse-names":false,"suffix":""}],"container-title":"Obesity (Silver Spring, Md.)","id":"ITEM-1","issue":"11","issued":{"date-parts":[["2015","11"]]},"language":"eng","page":"2183-2189","publisher-place":"United States","title":"Dietary restraint and impulsivity modulate neural responses to food in  adolescents with obesity and healthy adolescents.","type":"article-journal","volume":"23"},"uris":["http://www.mendeley.com/documents/?uuid=9278ec63-e17f-4911-957a-f002611c8fc1"]}],"mendeley":{"formattedCitation":"[71]","plainTextFormattedCitation":"[71]","previouslyFormattedCitation":"[71]"},"properties":{"noteIndex":0},"schema":"https://github.com/citation-style-language/schema/raw/master/csl-citation.json"}</w:instrText>
            </w:r>
            <w:r>
              <w:rPr>
                <w:rFonts w:ascii="Times New Roman" w:hAnsi="Times New Roman"/>
                <w:lang w:val="en-US"/>
              </w:rPr>
              <w:fldChar w:fldCharType="separate"/>
            </w:r>
            <w:r w:rsidRPr="00434700">
              <w:rPr>
                <w:rFonts w:ascii="Times New Roman" w:hAnsi="Times New Roman" w:cs="Times New Roman"/>
                <w:noProof/>
                <w:lang w:val="en-US"/>
              </w:rPr>
              <w:t>[71]</w:t>
            </w:r>
            <w:r>
              <w:rPr>
                <w:rFonts w:ascii="Times New Roman" w:hAnsi="Times New Roman"/>
                <w:lang w:val="en-US"/>
              </w:rPr>
              <w:fldChar w:fldCharType="end"/>
            </w:r>
          </w:p>
        </w:tc>
        <w:tc>
          <w:tcPr>
            <w:tcW w:w="2835" w:type="dxa"/>
          </w:tcPr>
          <w:p w14:paraId="460DC5AD" w14:textId="77777777" w:rsidR="00E45BEF" w:rsidRPr="006911BB" w:rsidRDefault="00E45BEF" w:rsidP="00B12C33">
            <w:pPr>
              <w:jc w:val="center"/>
              <w:rPr>
                <w:rFonts w:ascii="Times New Roman" w:hAnsi="Times New Roman" w:cs="Times New Roman"/>
              </w:rPr>
            </w:pPr>
            <w:r w:rsidRPr="006911BB">
              <w:rPr>
                <w:rFonts w:ascii="Times New Roman" w:hAnsi="Times New Roman" w:cs="Times New Roman"/>
                <w:lang w:val="en-US"/>
              </w:rPr>
              <w:t>Good</w:t>
            </w:r>
          </w:p>
        </w:tc>
      </w:tr>
      <w:tr w:rsidR="00E45BEF" w:rsidRPr="000C3F42" w14:paraId="3A9DCD8F" w14:textId="77777777" w:rsidTr="001A7233">
        <w:tc>
          <w:tcPr>
            <w:tcW w:w="3118" w:type="dxa"/>
          </w:tcPr>
          <w:p w14:paraId="5EBF79AB" w14:textId="77777777" w:rsidR="00E45BEF" w:rsidRPr="000C3F42" w:rsidRDefault="00E45BEF" w:rsidP="00B12C33">
            <w:pPr>
              <w:jc w:val="center"/>
              <w:rPr>
                <w:rFonts w:ascii="Times New Roman" w:hAnsi="Times New Roman" w:cs="Times New Roman"/>
                <w:lang w:val="en-US"/>
              </w:rPr>
            </w:pPr>
            <w:proofErr w:type="spellStart"/>
            <w:r w:rsidRPr="000C3F42">
              <w:rPr>
                <w:rFonts w:ascii="Times New Roman" w:hAnsi="Times New Roman" w:cs="Times New Roman"/>
                <w:lang w:val="en-US"/>
              </w:rPr>
              <w:t>Kösling</w:t>
            </w:r>
            <w:proofErr w:type="spellEnd"/>
            <w:r w:rsidRPr="000C3F42">
              <w:rPr>
                <w:rFonts w:ascii="Times New Roman" w:hAnsi="Times New Roman" w:cs="Times New Roman"/>
                <w:lang w:val="en-US"/>
              </w:rPr>
              <w:t xml:space="preserve">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10.3390/brainsci12121653","author":[{"dropping-particle":"","family":"Kösling","given":"C","non-dropping-particle":"","parse-names":false,"suffix":""},{"dropping-particle":"","family":"Schäfer","given":"L","non-dropping-particle":"","parse-names":false,"suffix":""},{"dropping-particle":"","family":"Hübner","given":"C","non-dropping-particle":"","parse-names":false,"suffix":""},{"dropping-particle":"","family":"Sebert","given":"C","non-dropping-particle":"","parse-names":false,"suffix":""},{"dropping-particle":"","family":"Hilbert","given":"A","non-dropping-particle":"","parse-names":false,"suffix":""},{"dropping-particle":"","family":"Schmidt","given":"R","non-dropping-particle":"","parse-names":false,"suffix":""}],"container-title":"Brain Sciences","id":"ITEM-1","issue":"12","issued":{"date-parts":[["2022"]]},"note":"Export Date: 23 March 2023","title":"Food-Induced Brain Activity in Children with Overweight or Obesity versus Normal Weight: An Electroencephalographic Pilot Study","type":"article-journal","volume":"12"},"uris":["http://www.mendeley.com/documents/?uuid=28e6eaea-3175-43e4-8ecc-a2725f50f31a"]}],"mendeley":{"formattedCitation":"[72]","plainTextFormattedCitation":"[72]","previouslyFormattedCitation":"[72]"},"properties":{"noteIndex":0},"schema":"https://github.com/citation-style-language/schema/raw/master/csl-citation.json"}</w:instrText>
            </w:r>
            <w:r>
              <w:rPr>
                <w:rFonts w:ascii="Times New Roman" w:hAnsi="Times New Roman"/>
                <w:lang w:val="en-US"/>
              </w:rPr>
              <w:fldChar w:fldCharType="separate"/>
            </w:r>
            <w:r w:rsidRPr="00434700">
              <w:rPr>
                <w:rFonts w:ascii="Times New Roman" w:hAnsi="Times New Roman" w:cs="Times New Roman"/>
                <w:noProof/>
                <w:lang w:val="en-US"/>
              </w:rPr>
              <w:t>[72]</w:t>
            </w:r>
            <w:r>
              <w:rPr>
                <w:rFonts w:ascii="Times New Roman" w:hAnsi="Times New Roman"/>
                <w:lang w:val="en-US"/>
              </w:rPr>
              <w:fldChar w:fldCharType="end"/>
            </w:r>
          </w:p>
        </w:tc>
        <w:tc>
          <w:tcPr>
            <w:tcW w:w="2835" w:type="dxa"/>
          </w:tcPr>
          <w:p w14:paraId="72AB8F1A"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2B7E32BA" w14:textId="77777777" w:rsidTr="001A7233">
        <w:tc>
          <w:tcPr>
            <w:tcW w:w="3118" w:type="dxa"/>
          </w:tcPr>
          <w:p w14:paraId="52E3BD31"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Woltering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{"citationItems":[{"id":"ITEM-1","itemData":{"DOI":"10.1007/s10548-020-00812-2","ISSN":"0896-0267","PMID":"33438112","abstract":"Adolescent obesity is an increasingly prevalent problem in several societies. Researchers have begun to focus on neurocognitive processes that may help explain how unhealthy food habits form and are maintained. The present study compared attentional bias to food stimuli in a sample of obese (n = 22) and Normal-weight (n = 18) adolescents utilizing an Attention Blink (AB) paradigm while electroencephalography (EEG) was recorded. We found lower accuracy and Event-Related Potential (ERP) P3 amplitudes during the presentation of food stimuli in AB trials for obese adolescents. These findings suggest an impaired ability of their brains to flexibly relocate attentional resources in the face of food stimuli. The results were corroborated by lower P3s also being associated with higher body mass index (BMI) values and poorer self-reported self-efficacy in controlling food intake. The study is among the few examining neural correlates of attentional control in obese adolescents and suggests automatic attentional bias to food is an important aspect to consider in tackling the obesity crisis.","author":[{"dropping-particle":"","family":"Woltering","given":"Steven","non-dropping-particle":"","parse-names":false,"suffix":""},{"dropping-particle":"","family":"Chen","given":"Siqi","non-dropping-particle":"","parse-names":false,"suffix":""},{"dropping-particle":"","family":"Jia","given":"Yajun","non-dropping-particle":"","parse-names":false,"suffix":""}],"container-title":"Brain Topography","id":"ITEM-1","issue":"2","issued":{"date-parts":[["2021","3","12"]]},"language":"eng","page":"182-191","publisher-place":"United States","title":"Neural Correlates of Attentional Bias to Food Stimuli in Obese Adolescents","type":"article-journal","volume":"34"},"uris":["http://www.mendeley.com/documents/?uuid=d1f6c9ca-d0dc-4f26-b995-3d48b1db6308"]}],"mendeley":{"formattedCitation":"[74]","plainTextFormattedCitation":"[74]","previouslyFormattedCitation":"[74]"},"properties":{"noteIndex":0},"schema":"https://github.com/citation-style-language/schema/raw/master/csl-citation.json"}</w:instrText>
            </w:r>
            <w:r>
              <w:rPr>
                <w:rFonts w:ascii="Times New Roman" w:hAnsi="Times New Roman"/>
                <w:lang w:val="en-US"/>
              </w:rPr>
              <w:fldChar w:fldCharType="separate"/>
            </w:r>
            <w:r w:rsidRPr="009A5758">
              <w:rPr>
                <w:rFonts w:ascii="Times New Roman" w:hAnsi="Times New Roman" w:cs="Times New Roman"/>
                <w:noProof/>
                <w:lang w:val="en-US"/>
              </w:rPr>
              <w:t>[74]</w:t>
            </w:r>
            <w:r>
              <w:rPr>
                <w:rFonts w:ascii="Times New Roman" w:hAnsi="Times New Roman"/>
                <w:lang w:val="en-US"/>
              </w:rPr>
              <w:fldChar w:fldCharType="end"/>
            </w:r>
          </w:p>
        </w:tc>
        <w:tc>
          <w:tcPr>
            <w:tcW w:w="2835" w:type="dxa"/>
          </w:tcPr>
          <w:p w14:paraId="05DDDD44" w14:textId="77777777" w:rsidR="00E45BEF" w:rsidRPr="006911BB" w:rsidRDefault="00E45BEF" w:rsidP="00B12C33">
            <w:pPr>
              <w:jc w:val="center"/>
              <w:rPr>
                <w:rFonts w:ascii="Times New Roman" w:hAnsi="Times New Roman" w:cs="Times New Roman"/>
              </w:rPr>
            </w:pPr>
            <w:proofErr w:type="spellStart"/>
            <w:r w:rsidRPr="006911BB">
              <w:rPr>
                <w:rFonts w:ascii="Times New Roman" w:hAnsi="Times New Roman" w:cs="Times New Roman"/>
              </w:rPr>
              <w:t>Good</w:t>
            </w:r>
            <w:proofErr w:type="spellEnd"/>
          </w:p>
        </w:tc>
      </w:tr>
      <w:tr w:rsidR="00E45BEF" w:rsidRPr="000C3F42" w14:paraId="1BE93C81" w14:textId="77777777" w:rsidTr="001A7233">
        <w:tc>
          <w:tcPr>
            <w:tcW w:w="3118" w:type="dxa"/>
          </w:tcPr>
          <w:p w14:paraId="236CC5D1"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Braet &amp; </w:t>
            </w:r>
            <w:proofErr w:type="spellStart"/>
            <w:r w:rsidRPr="000C3F42">
              <w:rPr>
                <w:rFonts w:ascii="Times New Roman" w:hAnsi="Times New Roman" w:cs="Times New Roman"/>
                <w:lang w:val="en-US"/>
              </w:rPr>
              <w:t>Crombez</w:t>
            </w:r>
            <w:proofErr w:type="spellEnd"/>
            <w:r w:rsidRPr="000C3F42">
              <w:rPr>
                <w:rFonts w:ascii="Times New Roman" w:hAnsi="Times New Roman" w:cs="Times New Roman"/>
                <w:lang w:val="en-US"/>
              </w:rPr>
              <w:t xml:space="preserve">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{"citationItems":[{"id":"ITEM-1","itemData":{"DOI":"10.1207/S15374424JCCP3201_04","ISSN":"1537-4416 (Print)","PMID":"12573930","abstract":"Investigated specific information-processing biases for food-relevant stimuli in 34  children, Mage = 13 years, SD = 2 years, M = 177% of ideal weight, SD = 24%, who were completing a residential cognitive-behavioral treatment program for severe obesity and 40 matched control children who were not obese, Mage = 13 years, SD = 2 years, M = 103% of ideal weight, SD = 13%. Participants completed a computerized modified Stroop task, which included food words, negative-emotion words, and control words. Results indicated that children in the obesity group displayed a specific interference effect for food words. It is hypothesized that the observed bias in information processing reflects hypersensitivity for food cues, which can initiate or maintain dysfunctional eating behavior.","author":[{"dropping-particle":"","family":"Braet","given":"Caroline","non-dropping-particle":"","parse-names":false,"suffix":""},{"dropping-particle":"","family":"Crombez","given":"Geert","non-dropping-particle":"","parse-names":false,"suffix":""}],"container-title":"Journal of clinical child and adolescent psychology : the official journal for the  Society of Clinical Child and Adolescent Psychology, American Psychological Association, Division 53","id":"ITEM-1","issue":"1","issued":{"date-parts":[["2003","3"]]},"language":"eng","page":"32-39","publisher-place":"England","title":"Cognitive interference due to food cues in childhood obesity.","type":"article-journal","volume":"32"},"uris":["http://www.mendeley.com/documents/?uuid=e526a644-2cd6-4cce-b445-a5e05c14566c"]}],"mendeley":{"formattedCitation":"[77]","plainTextFormattedCitation":"[77]","previouslyFormattedCitation":"[77]"},"properties":{"noteIndex":0},"schema":"https://github.com/citation-style-language/schema/raw/master/csl-citation.json"}</w:instrText>
            </w:r>
            <w:r>
              <w:rPr>
                <w:rFonts w:ascii="Times New Roman" w:hAnsi="Times New Roman"/>
                <w:lang w:val="en-US"/>
              </w:rPr>
              <w:fldChar w:fldCharType="separate"/>
            </w:r>
            <w:r w:rsidRPr="009A5758">
              <w:rPr>
                <w:rFonts w:ascii="Times New Roman" w:hAnsi="Times New Roman" w:cs="Times New Roman"/>
                <w:noProof/>
                <w:lang w:val="en-US"/>
              </w:rPr>
              <w:t>[77]</w:t>
            </w:r>
            <w:r>
              <w:rPr>
                <w:rFonts w:ascii="Times New Roman" w:hAnsi="Times New Roman"/>
                <w:lang w:val="en-US"/>
              </w:rPr>
              <w:fldChar w:fldCharType="end"/>
            </w:r>
          </w:p>
        </w:tc>
        <w:tc>
          <w:tcPr>
            <w:tcW w:w="2835" w:type="dxa"/>
          </w:tcPr>
          <w:p w14:paraId="1EED97E7" w14:textId="77777777" w:rsidR="00E45BEF" w:rsidRPr="006911BB" w:rsidRDefault="00E45BEF" w:rsidP="00B12C33">
            <w:pPr>
              <w:jc w:val="center"/>
              <w:rPr>
                <w:rFonts w:ascii="Times New Roman" w:hAnsi="Times New Roman" w:cs="Times New Roman"/>
              </w:rPr>
            </w:pPr>
            <w:r w:rsidRPr="006911BB">
              <w:rPr>
                <w:rFonts w:ascii="Times New Roman" w:hAnsi="Times New Roman" w:cs="Times New Roman"/>
                <w:lang w:val="en-US"/>
              </w:rPr>
              <w:t>Fair</w:t>
            </w:r>
          </w:p>
        </w:tc>
      </w:tr>
      <w:tr w:rsidR="00E45BEF" w:rsidRPr="000C3F42" w14:paraId="24C05D2B" w14:textId="77777777" w:rsidTr="001A7233">
        <w:tc>
          <w:tcPr>
            <w:tcW w:w="3118" w:type="dxa"/>
          </w:tcPr>
          <w:p w14:paraId="5DC2F48F" w14:textId="77777777" w:rsidR="00E45BEF" w:rsidRPr="000C3F42" w:rsidRDefault="00E45BEF" w:rsidP="00B12C33">
            <w:pPr>
              <w:jc w:val="center"/>
              <w:rPr>
                <w:rFonts w:ascii="Times New Roman" w:hAnsi="Times New Roman" w:cs="Times New Roman"/>
                <w:lang w:val="en-US"/>
              </w:rPr>
            </w:pPr>
            <w:proofErr w:type="spellStart"/>
            <w:r w:rsidRPr="000C3F42">
              <w:rPr>
                <w:rFonts w:ascii="Times New Roman" w:hAnsi="Times New Roman" w:cs="Times New Roman"/>
                <w:lang w:val="en-US"/>
              </w:rPr>
              <w:t>Fearnbach</w:t>
            </w:r>
            <w:proofErr w:type="spellEnd"/>
            <w:r w:rsidRPr="000C3F42">
              <w:rPr>
                <w:rFonts w:ascii="Times New Roman" w:hAnsi="Times New Roman" w:cs="Times New Roman"/>
                <w:lang w:val="en-US"/>
              </w:rPr>
              <w:t xml:space="preserve">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{"citationItems":[{"id":"ITEM-1","itemData":{"DOI":"10.1016/j.nutres.2017.06.006","ISSN":"1879-0739 (Electronic)","PMID":"28821320","abstract":"Acute exercise has been found to reduce subsequent energy intake in obese  adolescents. Although it has been suggested that some neural pathways are involved in this post-exercise energy intake regulation, it remains unknown whether the post-exercise attentional response to food cues differs as a function of weight status. We hypothesize that there will be a reduction in the neural response to food cues as a result of exercise in obese adolescents, but not in their lean counterparts. Fourteen obese and 14 lean adolescent boys (12-15 years) were randomized (within-subjects design) to remain seated (CON) or to exercise 45 minutes at 65% of their maximal capacities (EX). After the exercise or sitting period, the adolescents' cognitive engagement in the processing of food vs. non-food cues was assessed during an attentional computer-based task with electroencephalography (EEG) recording. An ad libitum lunch meal was offered and appetite feelings were assessed (visual analog scales). There was no main effect of condition on energy intake in lean subjects, but obese adolescents ate significantly less following EX compared with CON (P&lt;.05). There was no effect of condition or stimulus type (food vs. non-food) on the EEG-recorded amplitude of the P3b component in lean adolescents. However, the response to food cues was significantly reduced compared with non-food stimuli after exercise in obese participants (P&lt;.01). Following EX, but not CON, total body weight, body mass index, and fat mass were inversely correlated with the EEG response to food-non-food stimuli (all P&lt;.05). However, this response was not associated with ad libitum EI (both P&gt;.1). Acute exercise favors decreased neural response to food cues compared with non-food cues in obese but not lean adolescents, suggesting differential effects of exercise on the neural processing of food cues based on weight status.","author":[{"dropping-particle":"","family":"Fearnbach","given":"S N","non-dropping-particle":"","parse-names":false,"suffix":""},{"dropping-particle":"","family":"Silvert","given":"L","non-dropping-particle":"","parse-names":false,"suffix":""},{"dropping-particle":"","family":"Pereira","given":"B","non-dropping-particle":"","parse-names":false,"suffix":""},{"dropping-particle":"","family":"Boirie","given":"Y","non-dropping-particle":"","parse-names":false,"suffix":""},{"dropping-particle":"","family":"Duclos","given":"M","non-dropping-particle":"","parse-names":false,"suffix":""},{"dropping-particle":"","family":"Keller","given":"K L","non-dropping-particle":"","parse-names":false,"suffix":""},{"dropping-particle":"","family":"Thivel","given":"D","non-dropping-particle":"","parse-names":false,"suffix":""}],"container-title":"Nutrition research (New York, N.Y.)","id":"ITEM-1","issued":{"date-parts":[["2017","8"]]},"language":"eng","page":"76-84","publisher-place":"United States","title":"Reduced neural responses to food cues might contribute to the anorexigenic effect  of acute exercise observed in obese but not lean adolescents.","type":"article-journal","volume":"44"},"uris":["http://www.mendeley.com/documents/?uuid=80018459-963e-44df-9d68-ec5cdd009a1f"]}],"mendeley":{"formattedCitation":"[73]","plainTextFormattedCitation":"[73]","previouslyFormattedCitation":"[73]"},"properties":{"noteIndex":0},"schema":"https://github.com/citation-style-language/schema/raw/master/csl-citation.json"}</w:instrText>
            </w:r>
            <w:r>
              <w:rPr>
                <w:rFonts w:ascii="Times New Roman" w:hAnsi="Times New Roman"/>
                <w:lang w:val="en-US"/>
              </w:rPr>
              <w:fldChar w:fldCharType="separate"/>
            </w:r>
            <w:r w:rsidRPr="009A5758">
              <w:rPr>
                <w:rFonts w:ascii="Times New Roman" w:hAnsi="Times New Roman" w:cs="Times New Roman"/>
                <w:noProof/>
                <w:lang w:val="en-US"/>
              </w:rPr>
              <w:t>[73]</w:t>
            </w:r>
            <w:r>
              <w:rPr>
                <w:rFonts w:ascii="Times New Roman" w:hAnsi="Times New Roman"/>
                <w:lang w:val="en-US"/>
              </w:rPr>
              <w:fldChar w:fldCharType="end"/>
            </w:r>
          </w:p>
        </w:tc>
        <w:tc>
          <w:tcPr>
            <w:tcW w:w="2835" w:type="dxa"/>
          </w:tcPr>
          <w:p w14:paraId="1B2CE7AB"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4490CF52" w14:textId="77777777" w:rsidTr="001A7233">
        <w:tc>
          <w:tcPr>
            <w:tcW w:w="3118" w:type="dxa"/>
          </w:tcPr>
          <w:p w14:paraId="02C3107E"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Rojo-Bofill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{"citationItems":[{"id":"ITEM-1","itemData":{"DOI":"10.1016/j.jecp.2019.04.014","ISSN":"1096-0457 (Electronic)","PMID":"31101361","abstract":"Overweight during childhood constitutes a high-risk factor for adult obesity. An  abnormal attention to food stimuli (i.e., a bias) has been suggested as an underlying mechanism to the onset and/or maintenance of obesity. Previous literature supports the existence of a biased attention toward food stimuli in adults with obesity. However, it is unknown whether this attentional bias occurs in high-risk children for adult obesity. We aimed to examine attentional biases to food at different stages of attention processing in overweight children. A dot-probe task was applied to 25 children with overweight and 25 healthy-weight children (8-12 years old). Attentional preference to or avoidance of pleasant food stimuli, which were displayed simultaneously with pleasant non-food stimuli (matched in valence and arousal), was examined at 100-ms (initial visual orienting), 500-ms (attention engagement), and 1500-ms (maintained attention) presentation rates. Both children with overweight and healthy-weight children showed an attentional bias toward food images at a 100-ms presentation rate. However, unlike healthy-weight children, those with overweight showed an attentional preference toward food images at 500- and 1500-ms presentation rates. A biased initial orienting to food cues can be found regardless of weight. However, a biased attention engagement and a biased maintained attention toward food cues are characteristics of children with overweight. Therefore, as in adults, children at risk of adult obesity have an abnormal attentional processing of food stimuli.","author":[{"dropping-particle":"","family":"Rojo-Bofill","given":"Luis M","non-dropping-particle":"","parse-names":false,"suffix":""},{"dropping-particle":"","family":"Ortiz-Roldán","given":"Alejandro","non-dropping-particle":"","parse-names":false,"suffix":""},{"dropping-particle":"","family":"Moreno-Giménez","given":"Alba","non-dropping-particle":"","parse-names":false,"suffix":""},{"dropping-particle":"","family":"Rojo-Moreno","given":"Luis","non-dropping-particle":"","parse-names":false,"suffix":""},{"dropping-particle":"","family":"Vitoria","given":"Isidro","non-dropping-particle":"","parse-names":false,"suffix":""},{"dropping-particle":"","family":"Correcher","given":"Patricia","non-dropping-particle":"","parse-names":false,"suffix":""},{"dropping-particle":"","family":"Bofill-Moscardó","given":"Isabel","non-dropping-particle":"","parse-names":false,"suffix":""},{"dropping-particle":"","family":"Vento","given":"Máximo","non-dropping-particle":"","parse-names":false,"suffix":""},{"dropping-particle":"","family":"García-Blanco","given":"Ana","non-dropping-particle":"","parse-names":false,"suffix":""}],"container-title":"Journal of experimental child psychology","id":"ITEM-1","issued":{"date-parts":[["2019","9"]]},"language":"eng","page":"206-213","publisher-place":"United States","title":"The role of attentional biases to appetitive stimuli in childhood overweight.","type":"article-journal","volume":"185"},"uris":["http://www.mendeley.com/documents/?uuid=70adf32f-27ac-49e9-b948-98bc49e975d9"]}],"mendeley":{"formattedCitation":"[78]","plainTextFormattedCitation":"[78]","previouslyFormattedCitation":"[78]"},"properties":{"noteIndex":0},"schema":"https://github.com/citation-style-language/schema/raw/master/csl-citation.json"}</w:instrText>
            </w:r>
            <w:r>
              <w:rPr>
                <w:rFonts w:ascii="Times New Roman" w:hAnsi="Times New Roman"/>
                <w:lang w:val="en-US"/>
              </w:rPr>
              <w:fldChar w:fldCharType="separate"/>
            </w:r>
            <w:r w:rsidRPr="004144E1">
              <w:rPr>
                <w:rFonts w:ascii="Times New Roman" w:hAnsi="Times New Roman" w:cs="Times New Roman"/>
                <w:noProof/>
                <w:lang w:val="en-US"/>
              </w:rPr>
              <w:t>[78]</w:t>
            </w:r>
            <w:r>
              <w:rPr>
                <w:rFonts w:ascii="Times New Roman" w:hAnsi="Times New Roman"/>
                <w:lang w:val="en-US"/>
              </w:rPr>
              <w:fldChar w:fldCharType="end"/>
            </w:r>
          </w:p>
        </w:tc>
        <w:tc>
          <w:tcPr>
            <w:tcW w:w="2835" w:type="dxa"/>
          </w:tcPr>
          <w:p w14:paraId="105C6B66"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4E75B0A4" w14:textId="77777777" w:rsidTr="001A7233">
        <w:tc>
          <w:tcPr>
            <w:tcW w:w="3118" w:type="dxa"/>
          </w:tcPr>
          <w:p w14:paraId="026E4E2A" w14:textId="77777777" w:rsidR="00E45BEF" w:rsidRPr="000C3F42" w:rsidRDefault="00E45BEF" w:rsidP="00B12C33">
            <w:pPr>
              <w:jc w:val="center"/>
              <w:rPr>
                <w:rFonts w:ascii="Times New Roman" w:hAnsi="Times New Roman" w:cs="Times New Roman"/>
                <w:lang w:val="en-US"/>
              </w:rPr>
            </w:pPr>
            <w:proofErr w:type="spellStart"/>
            <w:r w:rsidRPr="000C3F42">
              <w:rPr>
                <w:rFonts w:ascii="Times New Roman" w:hAnsi="Times New Roman" w:cs="Times New Roman"/>
                <w:lang w:val="en-US"/>
              </w:rPr>
              <w:t>Soetens</w:t>
            </w:r>
            <w:proofErr w:type="spellEnd"/>
            <w:r w:rsidRPr="000C3F42">
              <w:rPr>
                <w:rFonts w:ascii="Times New Roman" w:hAnsi="Times New Roman" w:cs="Times New Roman"/>
                <w:lang w:val="en-US"/>
              </w:rPr>
              <w:t xml:space="preserve"> &amp; Braet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{"citationItems":[{"id":"ITEM-1","itemData":{"DOI":"10.1348/135910706X107604","ISSN":"1359-107X (Print)","PMID":"17456287","abstract":"OBJECTIVES: Based on cognitive theory (CT), the aim of this study is to investigate  the cognitive processing of food cues in clinically overweight adolescents. DESIGN: An experimental design with performance-based measures. METHODS: Eighty-seven (45 overweight, 42 normal weight) adolescents between the ages of 12 and 18 years were examined. All completed an imbedded word task (IWT), containing high caloric food words and matched control words, as a measure of attention interference. A free-recall task was used to detect explicit memory biases. To study the effects of cognitive avoidance, participants were instructed to suppress thoughts about food or merely to monitor them, prior to completing the IWT and memory task. RESULTS: No evidence was found for interference in the attention processing of food cues. Also, no effects of thought suppression were found. However, consistent with hypotheses, the overweight adolescents did show an explicit memory bias for food stimuli, not due to a more general negative evaluation of food words. CONCLUSIONS: The results provide at least partial support for the applicability of CT to adolescent obesity. The study was the first to reveal a memory bias for high caloric food cues in overweight youngsters, which may well reflect a later-stage activation of food-related schemata. These may play a role in food-related preoccupations and overeating. The existence of an early-stage attention bias is less clear and requires further investigation.","author":[{"dropping-particle":"","family":"Soetens","given":"Barbara","non-dropping-particle":"","parse-names":false,"suffix":""},{"dropping-particle":"","family":"Braet","given":"Caroline","non-dropping-particle":"","parse-names":false,"suffix":""}],"container-title":"British journal of health psychology","id":"ITEM-1","issue":"Pt 2","issued":{"date-parts":[["2007","5"]]},"language":"eng","page":"285-304","publisher-place":"England","title":"Information processing of food cues in overweight and normal weight adolescents.","type":"article-journal","volume":"12"},"uris":["http://www.mendeley.com/documents/?uuid=cc9386ce-02ef-4433-b1c1-bd085e958db8"]}],"mendeley":{"formattedCitation":"[80]","plainTextFormattedCitation":"[80]","previouslyFormattedCitation":"[80]"},"properties":{"noteIndex":0},"schema":"https://github.com/citation-style-language/schema/raw/master/csl-citation.json"}</w:instrText>
            </w:r>
            <w:r>
              <w:rPr>
                <w:rFonts w:ascii="Times New Roman" w:hAnsi="Times New Roman"/>
                <w:lang w:val="en-US"/>
              </w:rPr>
              <w:fldChar w:fldCharType="separate"/>
            </w:r>
            <w:r w:rsidRPr="00B578B4">
              <w:rPr>
                <w:rFonts w:ascii="Times New Roman" w:hAnsi="Times New Roman" w:cs="Times New Roman"/>
                <w:noProof/>
                <w:lang w:val="en-US"/>
              </w:rPr>
              <w:t>[80]</w:t>
            </w:r>
            <w:r>
              <w:rPr>
                <w:rFonts w:ascii="Times New Roman" w:hAnsi="Times New Roman"/>
                <w:lang w:val="en-US"/>
              </w:rPr>
              <w:fldChar w:fldCharType="end"/>
            </w:r>
          </w:p>
        </w:tc>
        <w:tc>
          <w:tcPr>
            <w:tcW w:w="2835" w:type="dxa"/>
          </w:tcPr>
          <w:p w14:paraId="5CB95EC6" w14:textId="77777777" w:rsidR="00E45BEF" w:rsidRPr="006911BB" w:rsidRDefault="00E45BEF" w:rsidP="00B12C33">
            <w:pPr>
              <w:jc w:val="center"/>
              <w:rPr>
                <w:rFonts w:ascii="Times New Roman" w:hAnsi="Times New Roman" w:cs="Times New Roman"/>
                <w:lang w:val="en-US"/>
              </w:rPr>
            </w:pPr>
            <w:r>
              <w:rPr>
                <w:rFonts w:ascii="Times New Roman" w:hAnsi="Times New Roman"/>
                <w:lang w:val="en-US"/>
              </w:rPr>
              <w:t>Fair</w:t>
            </w:r>
          </w:p>
        </w:tc>
      </w:tr>
      <w:tr w:rsidR="00E45BEF" w:rsidRPr="000C3F42" w14:paraId="30DBD810" w14:textId="77777777" w:rsidTr="001A7233">
        <w:tc>
          <w:tcPr>
            <w:tcW w:w="3118" w:type="dxa"/>
          </w:tcPr>
          <w:p w14:paraId="140664D7"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Vervoort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{"citationItems":[{"id":"ITEM-1","itemData":{"DOI":"10.3389/fpsyg.2021.644512","ISSN":"1664-1078","PMID":"33746859","abstract":"Several versions of the dot probe detection task are frequently used to assess maladaptive attentional processes associated with a broad range of psychopathology and health behavior, including eating behavior and weight. However, there are serious concerns about the reliability of the indices derived from the paradigm as measurement of attentional bias toward or away from salient stimuli. The present paper gives an overview of different attentional bias indices used in psychopathology research and scrutinizes three types of indices (the traditional attentional bias score, the dynamic trial-level base scores, and the probability index) calculated from a pictorial version of the dot probe task to assess food-related attentional biases in children and youngsters with and without obesity. Correlational analyses reveal that dynamic scores (but not the traditional and probability indices) are dependent on general response speed. Reliability estimates are low for the traditional and probability indices. The higher reliability for the dynamic indices is at least partially explained by general response speed. No significant group differences between youth with and without obesity are found, and correlations with weight are also non-significant. Taken together, results cast doubt on the applicability of this specific task for both experimental and individual differences research on food-related attentional biases in youth. However, researchers are encouraged to make and test adaptations to the procedure or computational algorithm in an effort to increase psychometric quality of the task and to report psychometric characteristics of their version of the task for their specific sample.","author":[{"dropping-particle":"","family":"Vervoort","given":"Leentje","non-dropping-particle":"","parse-names":false,"suffix":""},{"dropping-particle":"","family":"Braun","given":"Maya","non-dropping-particle":"","parse-names":false,"suffix":""},{"dropping-particle":"","family":"Schryver","given":"Maarten","non-dropping-particle":"De","parse-names":false,"suffix":""},{"dropping-particle":"","family":"Naets","given":"Tiffany","non-dropping-particle":"","parse-names":false,"suffix":""},{"dropping-particle":"","family":"Koster","given":"Ernst H W","non-dropping-particle":"","parse-names":false,"suffix":""},{"dropping-particle":"","family":"Braet","given":"Caroline","non-dropping-particle":"","parse-names":false,"suffix":""}],"container-title":"Frontiers in Psychology","id":"ITEM-1","issued":{"date-parts":[["2021","3","3"]]},"language":"eng","page":"644512","title":"A Pictorial Dot Probe Task to Assess Food-Related Attentional Bias in Youth With and Without Obesity: Overview of Indices and Evaluation of Their Reliability","type":"article-journal","volume":"12"},"uris":["http://www.mendeley.com/documents/?uuid=daa58a0a-336e-49e9-a4bc-604044a6a649"]}],"mendeley":{"formattedCitation":"[79]","plainTextFormattedCitation":"[79]","previouslyFormattedCitation":"[79]"},"properties":{"noteIndex":0},"schema":"https://github.com/citation-style-language/schema/raw/master/csl-citation.json"}</w:instrText>
            </w:r>
            <w:r>
              <w:rPr>
                <w:rFonts w:ascii="Times New Roman" w:hAnsi="Times New Roman"/>
                <w:lang w:val="en-US"/>
              </w:rPr>
              <w:fldChar w:fldCharType="separate"/>
            </w:r>
            <w:r w:rsidRPr="004144E1">
              <w:rPr>
                <w:rFonts w:ascii="Times New Roman" w:hAnsi="Times New Roman" w:cs="Times New Roman"/>
                <w:noProof/>
                <w:lang w:val="en-US"/>
              </w:rPr>
              <w:t>[79]</w:t>
            </w:r>
            <w:r>
              <w:rPr>
                <w:rFonts w:ascii="Times New Roman" w:hAnsi="Times New Roman"/>
                <w:lang w:val="en-US"/>
              </w:rPr>
              <w:fldChar w:fldCharType="end"/>
            </w:r>
          </w:p>
        </w:tc>
        <w:tc>
          <w:tcPr>
            <w:tcW w:w="2835" w:type="dxa"/>
          </w:tcPr>
          <w:p w14:paraId="545736BD"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3D20E4CD" w14:textId="77777777" w:rsidTr="001A7233">
        <w:tc>
          <w:tcPr>
            <w:tcW w:w="3118" w:type="dxa"/>
          </w:tcPr>
          <w:p w14:paraId="7CFCAAC3"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Akcay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{"citationItems":[{"id":"ITEM-1","itemData":{"DOI":"10.1016/j.appet.2021.105734","abstract":"Adolescent obesity is a growing global health problem. Studies have demonstrated that exposure to food cues plays a role in both the development and the persistence of obesity. Understanding how visual attention changes dynamically in response to food cues may explain how they contribute to obesity. The primary aims were to evaluate attentional bias for food cues and conduct a time-course analysis of obese adolescents' food-cue processing. We also investigated the roles of inhibition, cognitive flexibility, and eating styles in their visual attention to food stimuli. A total of 60 age- and gender-matched 12-16-year-olds (n = 30, obese group; n = 30, control group; M = 13.9 years, SD = 1.26) were included in this study's sample. The participants viewed a series of high-calorie and low-calorie food images along with nonfood images in the free exploration paradigm during eye-tracking. Time-course analysis of the proportion of fixations on images of food and high-calorie foods determined that the attentional processing of the two groups differed, especially in later stages. The obese group had higher Stroop Interference and Trail Making Test-B scores than the control group, but these executive functions' scores did not affect their proportions of fixations on food and high-calorie food images over time. Higher Perceptual Reasoning Index scores led to a decrease in the proportions of fixations on high-calorie food images over time in the obese group, and this was particularly noticeable after about 4000 ms. This study found that time-course analysis of visual attention to food cues allows us to understand how it changes dynamically over larger time intervals. Future studies should provide knowledge about maintained attention for food cues and their relationship with top-down factors in obese adolescents. © 2021","author":[{"dropping-particle":"","family":"Akcay","given":"E","non-dropping-particle":"","parse-names":false,"suffix":""},{"dropping-particle":"","family":"Oztop","given":"D B","non-dropping-particle":"","parse-names":false,"suffix":""},{"dropping-particle":"","family":"Aydın","given":"Ö","non-dropping-particle":"","parse-names":false,"suffix":""},{"dropping-particle":"","family":"Caglar","given":"E","non-dropping-particle":"","parse-names":false,"suffix":""},{"dropping-particle":"","family":"Aycan","given":"Z","non-dropping-particle":"","parse-names":false,"suffix":""}],"container-title":"Appetite","id":"ITEM-1","issued":{"date-parts":[["2022"]]},"note":"Export Date: 15 December 2021","publisher-place":"Ankara City Hospital, Department of Child and Adolescent Psychiatry, Ankara, Turkey","title":"Dynamic changes in the food-cue processing of obese adolescents: A controlled eye-tracking study from a dual-system perspective","type":"article-journal","volume":"168"},"uris":["http://www.mendeley.com/documents/?uuid=2f9124d1-cb1f-48a2-8085-8006918f9d25"]}],"mendeley":{"formattedCitation":"[81]","plainTextFormattedCitation":"[81]","previouslyFormattedCitation":"[81]"},"properties":{"noteIndex":0},"schema":"https://github.com/citation-style-language/schema/raw/master/csl-citation.json"}</w:instrText>
            </w:r>
            <w:r>
              <w:rPr>
                <w:rFonts w:ascii="Times New Roman" w:hAnsi="Times New Roman"/>
                <w:lang w:val="en-US"/>
              </w:rPr>
              <w:fldChar w:fldCharType="separate"/>
            </w:r>
            <w:r w:rsidRPr="004144E1">
              <w:rPr>
                <w:rFonts w:ascii="Times New Roman" w:hAnsi="Times New Roman" w:cs="Times New Roman"/>
                <w:noProof/>
                <w:lang w:val="en-US"/>
              </w:rPr>
              <w:t>[81]</w:t>
            </w:r>
            <w:r>
              <w:rPr>
                <w:rFonts w:ascii="Times New Roman" w:hAnsi="Times New Roman"/>
                <w:lang w:val="en-US"/>
              </w:rPr>
              <w:fldChar w:fldCharType="end"/>
            </w:r>
          </w:p>
        </w:tc>
        <w:tc>
          <w:tcPr>
            <w:tcW w:w="2835" w:type="dxa"/>
          </w:tcPr>
          <w:p w14:paraId="042FE996"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Poor</w:t>
            </w:r>
          </w:p>
        </w:tc>
      </w:tr>
      <w:tr w:rsidR="00E45BEF" w:rsidRPr="000C3F42" w14:paraId="3FFDAAB4" w14:textId="77777777" w:rsidTr="001A7233">
        <w:tc>
          <w:tcPr>
            <w:tcW w:w="3118" w:type="dxa"/>
          </w:tcPr>
          <w:p w14:paraId="31F666FD"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Folkvord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{"citationItems":[{"id":"ITEM-1","itemData":{"DOI":"10.1016/j.foodqual.2019.103792","abstract":"People with an increased motivation for rewarding substances show increased automatic selective attention towards cues that are related to that specific substance. The aim of this study was to explore if overweight and hungry children have an attentional bias for food cues in food advertising. A randomized between-subject design was used with 95 children who played an advergame that promoted either energy-dense snacks or non-food products. Overweight children had a higher gaze duration for the food cues compared to normal weight children. No effects were found of overweight on the attentional bias measurements for the non-food cues. Furthermore, hungrier children had a higher gaze duration, a higher number of fixations, and a faster latency of initial fixation on the food cues than less hungry children, while we found the opposite results for the non-food cues. The findings largely confirm our expectations, adding important knowledge about individual susceptibility to food advertisements. Overweight and hungrier children seem to be stronger affected by food advertising than normal weight and less hungry children. This study is the first that examined attentional bias in a food advertisement that is highly comparable to advertisements that are used by food companies, thereby increasing the external validity of the findings. The second strength is that the development of an attentional bias for food cues is developing at a young age and it was examined in a real-life situation. © 2019 Elsevier Ltd","author":[{"dropping-particle":"","family":"Folkvord","given":"F","non-dropping-particle":"","parse-names":false,"suffix":""},{"dropping-particle":"","family":"Anschütz","given":"D J","non-dropping-particle":"","parse-names":false,"suffix":""},{"dropping-particle":"","family":"Buijzen","given":"M","non-dropping-particle":"","parse-names":false,"suffix":""}],"container-title":"Food Quality and Preference","id":"ITEM-1","issued":{"date-parts":[["2020"]]},"note":"Cited By :9\n\nExport Date: 15 December 2021","publisher-place":"Tilburg School of Humanities and Digital Sciences, Department Communication and Cognition, Tilburg University, Warrandelaan 2, AB Tilburg, 5037, Netherlands","title":"Attentional bias for food cues in advertising among overweight and hungry children: An explorative experimental study","type":"article-journal","volume":"79"},"uris":["http://www.mendeley.com/documents/?uuid=488044e4-910b-41c0-9065-df444004adcb"]}],"mendeley":{"formattedCitation":"[82]","plainTextFormattedCitation":"[82]","previouslyFormattedCitation":"[82]"},"properties":{"noteIndex":0},"schema":"https://github.com/citation-style-language/schema/raw/master/csl-citation.json"}</w:instrText>
            </w:r>
            <w:r>
              <w:rPr>
                <w:rFonts w:ascii="Times New Roman" w:hAnsi="Times New Roman"/>
                <w:lang w:val="en-US"/>
              </w:rPr>
              <w:fldChar w:fldCharType="separate"/>
            </w:r>
            <w:r w:rsidRPr="004144E1">
              <w:rPr>
                <w:rFonts w:ascii="Times New Roman" w:hAnsi="Times New Roman" w:cs="Times New Roman"/>
                <w:noProof/>
                <w:lang w:val="en-US"/>
              </w:rPr>
              <w:t>[82]</w:t>
            </w:r>
            <w:r>
              <w:rPr>
                <w:rFonts w:ascii="Times New Roman" w:hAnsi="Times New Roman"/>
                <w:lang w:val="en-US"/>
              </w:rPr>
              <w:fldChar w:fldCharType="end"/>
            </w:r>
          </w:p>
        </w:tc>
        <w:tc>
          <w:tcPr>
            <w:tcW w:w="2835" w:type="dxa"/>
          </w:tcPr>
          <w:p w14:paraId="54D9BB92" w14:textId="77777777" w:rsidR="00E45BEF" w:rsidRPr="006911BB" w:rsidRDefault="00E45BEF" w:rsidP="00B12C33">
            <w:pPr>
              <w:jc w:val="center"/>
              <w:rPr>
                <w:rFonts w:ascii="Times New Roman" w:hAnsi="Times New Roman" w:cs="Times New Roman"/>
                <w:color w:val="000000"/>
                <w:lang w:val="en-US"/>
              </w:rPr>
            </w:pPr>
            <w:r w:rsidRPr="006911BB">
              <w:rPr>
                <w:rFonts w:ascii="Times New Roman" w:hAnsi="Times New Roman" w:cs="Times New Roman"/>
                <w:lang w:val="en-US"/>
              </w:rPr>
              <w:t>Fair</w:t>
            </w:r>
          </w:p>
        </w:tc>
      </w:tr>
      <w:tr w:rsidR="00E45BEF" w:rsidRPr="000C3F42" w14:paraId="7793C739" w14:textId="77777777" w:rsidTr="001A7233">
        <w:tc>
          <w:tcPr>
            <w:tcW w:w="3118" w:type="dxa"/>
          </w:tcPr>
          <w:p w14:paraId="018A8CFE"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Werthmann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{"citationItems":[{"id":"ITEM-1","itemData":{"DOI":"10.1037/hea0000225","ISSN":"1930-7810 (Electronic)","PMID":"26030311","abstract":"OBJECTIVE: Obesity prevalence among children is high and knowledge on cognitive  factors that contribute to children's reactivity to the \"obesogenic\" food environment could help to design effective treatment and prevention campaigns. Empirical studies in adults suggest that attention bias for food could be a risk factor for overeating. Accordingly, the current study tested if children with obesity have an elevated attention bias for food when compared to healthy-weight children. Another aim was to explore whether attention biases for food predicted weight-change after 3 and 6 months in obese children. METHOD: Obese children (n = 34) were recruited from an intervention program and tested prior to the start of this intervention. Healthy-weight children (n = 36) were recruited from local schools. First, attention biases for food were compared between children with obesity (n = 30) and matched healthy-weight children (n = 30). Second, regression analyses were conducted to test if food-related attention biases predicted weight changes after 3 and 6 months in children with obesity following a weight loss lifestyle intervention. RESULTS: Results showed that obese children did not differ from healthy-weight children in their attention bias to food. Yet automatically directing attention toward food (i.e., initial orientation bias) was related to a reduced weight loss (R² = .14, p = .032) after 6 months in children with obesity. DISCUSSION: High palatable food is a salient stimulus for all children, irrespective of their weight status. However, automatically directing attention to food cues might facilitate further weight gain in children with obesity.","author":[{"dropping-particle":"","family":"Werthmann","given":"Jessica","non-dropping-particle":"","parse-names":false,"suffix":""},{"dropping-particle":"","family":"Jansen","given":"Anita","non-dropping-particle":"","parse-names":false,"suffix":""},{"dropping-particle":"","family":"Vreugdenhil","given":"Anita C E","non-dropping-particle":"","parse-names":false,"suffix":""},{"dropping-particle":"","family":"Nederkoorn","given":"Chantal","non-dropping-particle":"","parse-names":false,"suffix":""},{"dropping-particle":"","family":"Schyns","given":"Ghislaine","non-dropping-particle":"","parse-names":false,"suffix":""},{"dropping-particle":"","family":"Roefs","given":"Anne","non-dropping-particle":"","parse-names":false,"suffix":""}],"container-title":"Health psychology : official journal of the Division of Health Psychology, American  Psychological Association","id":"ITEM-1","issue":"12","issued":{"date-parts":[["2015","12"]]},"language":"eng","page":"1123-1132","publisher-place":"United States","title":"Food through the child's eye: An eye-tracking study on attentional bias for food in  healthy-weight children and children with obesity.","type":"article-journal","volume":"34"},"uris":["http://www.mendeley.com/documents/?uuid=7ee93e62-6658-4808-a9b4-4834576c2d45"]}],"mendeley":{"formattedCitation":"[41]","plainTextFormattedCitation":"[41]","previouslyFormattedCitation":"[41]"},"properties":{"noteIndex":0},"schema":"https://github.com/citation-style-language/schema/raw/master/csl-citation.json"}</w:instrText>
            </w:r>
            <w:r>
              <w:rPr>
                <w:rFonts w:ascii="Times New Roman" w:hAnsi="Times New Roman"/>
                <w:lang w:val="en-US"/>
              </w:rPr>
              <w:fldChar w:fldCharType="separate"/>
            </w:r>
            <w:r w:rsidRPr="004144E1">
              <w:rPr>
                <w:rFonts w:ascii="Times New Roman" w:hAnsi="Times New Roman" w:cs="Times New Roman"/>
                <w:noProof/>
                <w:lang w:val="en-US"/>
              </w:rPr>
              <w:t>[41]</w:t>
            </w:r>
            <w:r>
              <w:rPr>
                <w:rFonts w:ascii="Times New Roman" w:hAnsi="Times New Roman"/>
                <w:lang w:val="en-US"/>
              </w:rPr>
              <w:fldChar w:fldCharType="end"/>
            </w:r>
          </w:p>
        </w:tc>
        <w:tc>
          <w:tcPr>
            <w:tcW w:w="2835" w:type="dxa"/>
          </w:tcPr>
          <w:p w14:paraId="3B4F9855"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Good</w:t>
            </w:r>
          </w:p>
        </w:tc>
      </w:tr>
      <w:tr w:rsidR="00E45BEF" w:rsidRPr="000C3F42" w14:paraId="31BFCD1A" w14:textId="77777777" w:rsidTr="001A7233">
        <w:tc>
          <w:tcPr>
            <w:tcW w:w="3118" w:type="dxa"/>
            <w:tcBorders>
              <w:top w:val="single" w:sz="4" w:space="0" w:color="auto"/>
              <w:bottom w:val="single" w:sz="4" w:space="0" w:color="auto"/>
            </w:tcBorders>
          </w:tcPr>
          <w:p w14:paraId="7B3D32CC" w14:textId="77777777" w:rsidR="00E45BEF" w:rsidRPr="000C3F42" w:rsidRDefault="00E45BEF" w:rsidP="00B12C33">
            <w:pPr>
              <w:jc w:val="center"/>
              <w:rPr>
                <w:rFonts w:ascii="Times New Roman" w:hAnsi="Times New Roman" w:cs="Times New Roman"/>
                <w:lang w:val="en-US"/>
              </w:rPr>
            </w:pPr>
          </w:p>
        </w:tc>
        <w:tc>
          <w:tcPr>
            <w:tcW w:w="2835" w:type="dxa"/>
            <w:tcBorders>
              <w:top w:val="single" w:sz="4" w:space="0" w:color="auto"/>
              <w:bottom w:val="single" w:sz="4" w:space="0" w:color="auto"/>
            </w:tcBorders>
          </w:tcPr>
          <w:p w14:paraId="75D2C440" w14:textId="77777777" w:rsidR="00E45BEF" w:rsidRPr="006911BB" w:rsidRDefault="00E45BEF" w:rsidP="00B12C33">
            <w:pPr>
              <w:rPr>
                <w:rFonts w:ascii="Times New Roman" w:hAnsi="Times New Roman" w:cs="Times New Roman"/>
                <w:lang w:val="en-US"/>
              </w:rPr>
            </w:pPr>
          </w:p>
        </w:tc>
      </w:tr>
      <w:tr w:rsidR="00E45BEF" w:rsidRPr="000C3F42" w14:paraId="7D502337" w14:textId="77777777" w:rsidTr="001A7233">
        <w:tc>
          <w:tcPr>
            <w:tcW w:w="3118" w:type="dxa"/>
            <w:tcBorders>
              <w:top w:val="single" w:sz="4" w:space="0" w:color="auto"/>
            </w:tcBorders>
          </w:tcPr>
          <w:p w14:paraId="262C300B" w14:textId="77777777" w:rsidR="00E45BEF" w:rsidRPr="007F612A" w:rsidRDefault="00E45BEF" w:rsidP="00B12C33">
            <w:pPr>
              <w:jc w:val="center"/>
              <w:rPr>
                <w:rFonts w:ascii="Times New Roman" w:hAnsi="Times New Roman" w:cs="Times New Roman"/>
                <w:lang w:val="en-US"/>
              </w:rPr>
            </w:pPr>
            <w:r w:rsidRPr="007F612A">
              <w:rPr>
                <w:rFonts w:ascii="Times New Roman" w:hAnsi="Times New Roman" w:cs="Times New Roman"/>
                <w:lang w:val="en-US"/>
              </w:rPr>
              <w:t xml:space="preserve">Novosel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{"citationItems":[{"id":"ITEM-1","itemData":{"DOI":"10.1007/s40519-014-0114-7","ISSN":"1124-4909","PMID":"24652600","abstract":"Current literature suggests an increased attentional bias toward food stimuli in eating-disordered individuals compared to healthy controls. In line with these research efforts, the present study aims to investigate the processing of food stimuli (enriched by emotional stimuli) between patients diagnosed for anorexia nervosa (AN) and healthy controls by means of electroencephalography. Twenty-two female adolescents (eleven AN patients vs. eleven healthy controls) were investigated. Positive event-related potentials \"P300\" and \"late positive potential\" (LPP) reflecting attentional processing (caused by motivationally relevant stimuli) were investigated during passive viewing of the food cue picture stream. This method was used for the first time in a sample of individuals with AN. As a main result, AN patients exhibited a higher amount of attentional bias in P300 and LPP, while watching food stimuli. Moreover, AN patients rated food stimuli as less pleasant. For a conclusion, there is substantial evidence pointing to an abnormal attentional brain reactivity to food pictures in AN. Therefore, food stimuli seem to be more motivationally relevant for AN patients than for healthy controls. By broadening existing knowledge, these findings might bear some implications for the treatment for AN. However, further research is recommended in order to confirm the results coming from rather limited data.","author":[{"dropping-particle":"","family":"Novosel","given":"Anna","non-dropping-particle":"","parse-names":false,"suffix":""},{"dropping-particle":"","family":"Lackner","given":"Nina","non-dropping-particle":"","parse-names":false,"suffix":""},{"dropping-particle":"","family":"Unterrainer","given":"Human-Friedrich","non-dropping-particle":"","parse-names":false,"suffix":""},{"dropping-particle":"","family":"Dunitz-Scheer","given":"Marguerite","non-dropping-particle":"","parse-names":false,"suffix":""},{"dropping-particle":"","family":"Scheer","given":"Peter Jaron Zwi","non-dropping-particle":"","parse-names":false,"suffix":""},{"dropping-particle":"","family":"Wallner-Liebmann","given":"Sandra Johanna","non-dropping-particle":"","parse-names":false,"suffix":""},{"dropping-particle":"","family":"Neuper","given":"Christa","non-dropping-particle":"","parse-names":false,"suffix":""}],"container-title":"Eating and Weight Disorders - Studies on Anorexia, Bulimia and Obesity","id":"ITEM-1","issue":"2","issued":{"date-parts":[["2014","6","21"]]},"language":"eng","page":"169-175","publisher-place":"Germany","title":"Motivational processing of food cues in anorexia nervosa: a pilot study","type":"article-journal","volume":"19"},"uris":["http://www.mendeley.com/documents/?uuid=49e845eb-3671-436d-826e-376faaaa8882"]}],"mendeley":{"formattedCitation":"[84]","plainTextFormattedCitation":"[84]","previouslyFormattedCitation":"[84]"},"properties":{"noteIndex":0},"schema":"https://github.com/citation-style-language/schema/raw/master/csl-citation.json"}</w:instrText>
            </w:r>
            <w:r>
              <w:rPr>
                <w:rFonts w:ascii="Times New Roman" w:hAnsi="Times New Roman"/>
                <w:lang w:val="en-US"/>
              </w:rPr>
              <w:fldChar w:fldCharType="separate"/>
            </w:r>
            <w:r w:rsidRPr="00A53637">
              <w:rPr>
                <w:rFonts w:ascii="Times New Roman" w:hAnsi="Times New Roman" w:cs="Times New Roman"/>
                <w:noProof/>
                <w:lang w:val="en-US"/>
              </w:rPr>
              <w:t>[84]</w:t>
            </w:r>
            <w:r>
              <w:rPr>
                <w:rFonts w:ascii="Times New Roman" w:hAnsi="Times New Roman"/>
                <w:lang w:val="en-US"/>
              </w:rPr>
              <w:fldChar w:fldCharType="end"/>
            </w:r>
          </w:p>
        </w:tc>
        <w:tc>
          <w:tcPr>
            <w:tcW w:w="2835" w:type="dxa"/>
            <w:tcBorders>
              <w:top w:val="single" w:sz="4" w:space="0" w:color="auto"/>
            </w:tcBorders>
          </w:tcPr>
          <w:p w14:paraId="083BE86C"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5C4EECE0" w14:textId="77777777" w:rsidTr="001A7233">
        <w:tc>
          <w:tcPr>
            <w:tcW w:w="3118" w:type="dxa"/>
          </w:tcPr>
          <w:p w14:paraId="0663E6BA" w14:textId="77777777" w:rsidR="00E45BEF" w:rsidRPr="007F612A" w:rsidRDefault="00E45BEF" w:rsidP="00B12C33">
            <w:pPr>
              <w:jc w:val="center"/>
              <w:rPr>
                <w:rFonts w:ascii="Times New Roman" w:hAnsi="Times New Roman" w:cs="Times New Roman"/>
                <w:lang w:val="en-US"/>
              </w:rPr>
            </w:pPr>
            <w:proofErr w:type="spellStart"/>
            <w:r w:rsidRPr="007F612A">
              <w:rPr>
                <w:rFonts w:ascii="Times New Roman" w:hAnsi="Times New Roman" w:cs="Times New Roman"/>
                <w:lang w:val="en-US"/>
              </w:rPr>
              <w:t>Stonawski</w:t>
            </w:r>
            <w:proofErr w:type="spellEnd"/>
            <w:r w:rsidRPr="007F612A">
              <w:rPr>
                <w:rFonts w:ascii="Times New Roman" w:hAnsi="Times New Roman" w:cs="Times New Roman"/>
                <w:lang w:val="en-US"/>
              </w:rPr>
              <w:t xml:space="preserve">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{"citationItems":[{"id":"ITEM-1","itemData":{"DOI":"10.1002/erv.3040","author":[{"dropping-particle":"","family":"Stonawski","given":"V","non-dropping-particle":"","parse-names":false,"suffix":""},{"dropping-particle":"","family":"Mai-Lippold","given":"S A","non-dropping-particle":"","parse-names":false,"suffix":""},{"dropping-particle":"","family":"Graap","given":"H","non-dropping-particle":"","parse-names":false,"suffix":""},{"dropping-particle":"","family":"Moll","given":"G H","non-dropping-particle":"","parse-names":false,"suffix":""},{"dropping-particle":"","family":"Kratz","given":"O","non-dropping-particle":"","parse-names":false,"suffix":""},{"dropping-particle":"","family":"Doren","given":"J","non-dropping-particle":"Van","parse-names":false,"suffix":""},{"dropping-particle":"","family":"Horndasch","given":"S","non-dropping-particle":"","parse-names":false,"suffix":""}],"container-title":"European Eating Disorders Review","id":"ITEM-1","issue":"2","issued":{"date-parts":[["2024"]]},"note":"Export Date: 29 January 2025; Cited By: 0","page":"281-297","title":"Processing of food stimuli in anorexia nervosa: An ERP-study comparing adolescents and adults","type":"article-journal","volume":"32"},"uris":["http://www.mendeley.com/documents/?uuid=653dbb87-f6cc-4756-bd90-a4adc5d93d46"]}],"mendeley":{"formattedCitation":"[85]","plainTextFormattedCitation":"[85]","previouslyFormattedCitation":"[85]"},"properties":{"noteIndex":0},"schema":"https://github.com/citation-style-language/schema/raw/master/csl-citation.json"}</w:instrText>
            </w:r>
            <w:r>
              <w:rPr>
                <w:rFonts w:ascii="Times New Roman" w:hAnsi="Times New Roman"/>
                <w:lang w:val="en-US"/>
              </w:rPr>
              <w:fldChar w:fldCharType="separate"/>
            </w:r>
            <w:r w:rsidRPr="00A53637">
              <w:rPr>
                <w:rFonts w:ascii="Times New Roman" w:hAnsi="Times New Roman" w:cs="Times New Roman"/>
                <w:noProof/>
                <w:lang w:val="en-US"/>
              </w:rPr>
              <w:t>[85]</w:t>
            </w:r>
            <w:r>
              <w:rPr>
                <w:rFonts w:ascii="Times New Roman" w:hAnsi="Times New Roman"/>
                <w:lang w:val="en-US"/>
              </w:rPr>
              <w:fldChar w:fldCharType="end"/>
            </w:r>
          </w:p>
        </w:tc>
        <w:tc>
          <w:tcPr>
            <w:tcW w:w="2835" w:type="dxa"/>
          </w:tcPr>
          <w:p w14:paraId="419716B5"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Good</w:t>
            </w:r>
          </w:p>
        </w:tc>
      </w:tr>
      <w:tr w:rsidR="00E45BEF" w:rsidRPr="000C3F42" w14:paraId="2FCE0493" w14:textId="77777777" w:rsidTr="001A7233">
        <w:tc>
          <w:tcPr>
            <w:tcW w:w="3118" w:type="dxa"/>
          </w:tcPr>
          <w:p w14:paraId="5AE24662" w14:textId="77777777" w:rsidR="00E45BEF" w:rsidRPr="007F612A" w:rsidRDefault="00E45BEF" w:rsidP="00B12C33">
            <w:pPr>
              <w:jc w:val="center"/>
              <w:rPr>
                <w:rFonts w:ascii="Times New Roman" w:hAnsi="Times New Roman" w:cs="Times New Roman"/>
                <w:lang w:val="en-US"/>
              </w:rPr>
            </w:pPr>
            <w:r w:rsidRPr="007F612A">
              <w:rPr>
                <w:rFonts w:ascii="Times New Roman" w:hAnsi="Times New Roman" w:cs="Times New Roman"/>
                <w:lang w:val="en-US"/>
              </w:rPr>
              <w:lastRenderedPageBreak/>
              <w:t xml:space="preserve">Jonker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{"citationItems":[{"id":"ITEM-1","itemData":{"DOI":"10.1016/j.brat.2019.01.003","ISSN":"1873-622X (Electronic)","PMID":"30658165","abstract":"This study examined differences in food-related Attentional Bias (AB) between  patients with Anorexia Nervosa (AN) and adolescents without an eating disorder. AB was assessed with an Attentional Response to Distal versus Proximal Emotional Information (ARDPEI) task that was specifically designed to differentiate between attentional engagement with and attentional disengagement from food. We tested if patients with AN would show less attentional engagement and less difficulty to disengage their attention from food cues than individuals without an eating disorder. Both might contribute to patients' ability to refrain from eating even in a state of starvation. Participants were adolescents with AN (n = 69) and a comparison group with healthy weight, matched on age and educational level (n = 69). No differences were found in attentional disengagement. However, patients with AN did show less attentional engagement when food cues were shown briefly (100 ms). Given that the adolescents without an eating disorder showed a significant engagement bias to food cues, the results suggest that patients with AN lack the bias involved in healthy eating behavior. Future studies should further examine the direction of the relationship between decreased attentional engagement with food cues and anorexia nervosa.","author":[{"dropping-particle":"","family":"Jonker","given":"Nienke C","non-dropping-particle":"","parse-names":false,"suffix":""},{"dropping-particle":"","family":"Glashouwer","given":"Klaske A","non-dropping-particle":"","parse-names":false,"suffix":""},{"dropping-particle":"","family":"Hoekzema","given":"Albert","non-dropping-particle":"","parse-names":false,"suffix":""},{"dropping-particle":"","family":"Ostafin","given":"Brian D","non-dropping-particle":"","parse-names":false,"suffix":""},{"dropping-particle":"","family":"Jong","given":"Peter J","non-dropping-particle":"de","parse-names":false,"suffix":""}],"container-title":"Behaviour research and therapy","id":"ITEM-1","issued":{"date-parts":[["2019","3"]]},"language":"eng","page":"15-24","publisher-place":"England","title":"Attentional engagement with and disengagement from food cues in Anorexia Nervosa.","type":"article-journal","volume":"114"},"uris":["http://www.mendeley.com/documents/?uuid=ef0e6a9b-180c-41be-8eca-579766ea1164"]}],"mendeley":{"formattedCitation":"[83]","plainTextFormattedCitation":"[83]","previouslyFormattedCitation":"[83]"},"properties":{"noteIndex":0},"schema":"https://github.com/citation-style-language/schema/raw/master/csl-citation.json"}</w:instrText>
            </w:r>
            <w:r>
              <w:rPr>
                <w:rFonts w:ascii="Times New Roman" w:hAnsi="Times New Roman"/>
                <w:lang w:val="en-US"/>
              </w:rPr>
              <w:fldChar w:fldCharType="separate"/>
            </w:r>
            <w:r w:rsidRPr="00A53637">
              <w:rPr>
                <w:rFonts w:ascii="Times New Roman" w:hAnsi="Times New Roman" w:cs="Times New Roman"/>
                <w:noProof/>
                <w:lang w:val="en-US"/>
              </w:rPr>
              <w:t>[83]</w:t>
            </w:r>
            <w:r>
              <w:rPr>
                <w:rFonts w:ascii="Times New Roman" w:hAnsi="Times New Roman"/>
                <w:lang w:val="en-US"/>
              </w:rPr>
              <w:fldChar w:fldCharType="end"/>
            </w:r>
          </w:p>
        </w:tc>
        <w:tc>
          <w:tcPr>
            <w:tcW w:w="2835" w:type="dxa"/>
          </w:tcPr>
          <w:p w14:paraId="35B304DB"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5A156000" w14:textId="77777777" w:rsidTr="001A7233">
        <w:tc>
          <w:tcPr>
            <w:tcW w:w="3118" w:type="dxa"/>
          </w:tcPr>
          <w:p w14:paraId="0D924C07" w14:textId="77777777" w:rsidR="00E45BEF" w:rsidRPr="000C3F42" w:rsidRDefault="00E45BEF" w:rsidP="00B12C33">
            <w:pPr>
              <w:jc w:val="center"/>
              <w:rPr>
                <w:rFonts w:ascii="Times New Roman" w:hAnsi="Times New Roman" w:cs="Times New Roman"/>
              </w:rPr>
            </w:pPr>
            <w:r w:rsidRPr="000C3F42">
              <w:rPr>
                <w:rFonts w:ascii="Times New Roman" w:hAnsi="Times New Roman" w:cs="Times New Roman"/>
              </w:rPr>
              <w:t xml:space="preserve">Horndasch et al.  </w:t>
            </w:r>
            <w:r>
              <w:rPr>
                <w:rFonts w:ascii="Times New Roman" w:hAnsi="Times New Roman"/>
              </w:rPr>
              <w:fldChar w:fldCharType="begin" w:fldLock="1"/>
            </w:r>
            <w:r>
              <w:rPr>
                <w:rFonts w:ascii="Times New Roman" w:hAnsi="Times New Roman" w:cs="Times New Roman"/>
              </w:rPr>
              <w:instrText>ADDIN CSL_CITATION {"citationItems":[{"id":"ITEM-1","itemData":{"DOI":"10.1016/j.appet.2020.104800","ISSN":"1095-8304 (Electronic)","PMID":"32682033","abstract":"In Anorexia nervosa (AN) attentional biases towards, as well as away from, food cues  have been found using different paradigms. In the current study, adult and adolescent AN patients and control participants performed two tasks while their eye movements were recorded. The tasks involved viewing and rating: 1. Single photographs of food items; 2. Pairs of pictures consisting of one picture of high calorie and one of low calorie food. Girls and women suffering from AN rated pictures of high calorie food as more negative than control participants. In the task showing single food pictures, reduced fixation times within Regions of Interest of low calorie food were seen in AN; during the task using picture pairs, a visual attentional bias towards low calorie and away from high calorie stimuli for AN was demonstrated. There is evidence for heightened visual attentional capture by high calorie stimuli when presented alone as well as attraction of attention by low calorie stimuli when shown next to high calorie stimuli, possibly facilitated by avoidance of the latter. Different attentional mechanisms seem to be activated when only one stimulus is shown compared to when two stimuli are competing for the viewer's attention.","author":[{"dropping-particle":"","family":"Horndasch","given":"Stefanie","non-dropping-particle":"","parse-names":false,"suffix":""},{"dropping-particle":"","family":"Oschmann","given":"Stephanie","non-dropping-particle":"","parse-names":false,"suffix":""},{"dropping-particle":"","family":"Graap","given":"Holmer","non-dropping-particle":"","parse-names":false,"suffix":""},{"dropping-particle":"","family":"Heinrich","given":"Hartmut","non-dropping-particle":"","parse-names":false,"suffix":""},{"dropping-particle":"","family":"Moll","given":"Gunther","non-dropping-particle":"","parse-names":false,"suffix":""},{"dropping-particle":"","family":"Kratz","given":"Oliver","non-dropping-particle":"","parse-names":false,"suffix":""}],"container-title":"Appetite","id":"ITEM-1","issued":{"date-parts":[["2020","11"]]},"language":"eng","page":"104800","publisher-place":"England","title":"Attention towards food: Conflicting mechanisms in anorexia nervosa.","type":"article-journal","volume":"154"},"uris":["http://www.mendeley.com/documents/?uuid=d622769f-40b1-4fc9-86a0-9319f4717c71"]}],"mendeley":{"formattedCitation":"[86]","plainTextFormattedCitation":"[86]","previouslyFormattedCitation":"[86]"},"properties":{"noteIndex":0},"schema":"https://github.com/citation-style-language/schema/raw/master/csl-citation.json"}</w:instrText>
            </w:r>
            <w:r>
              <w:rPr>
                <w:rFonts w:ascii="Times New Roman" w:hAnsi="Times New Roman"/>
              </w:rPr>
              <w:fldChar w:fldCharType="separate"/>
            </w:r>
            <w:r w:rsidRPr="00A53637">
              <w:rPr>
                <w:rFonts w:ascii="Times New Roman" w:hAnsi="Times New Roman" w:cs="Times New Roman"/>
                <w:noProof/>
              </w:rPr>
              <w:t>[86]</w:t>
            </w:r>
            <w:r>
              <w:rPr>
                <w:rFonts w:ascii="Times New Roman" w:hAnsi="Times New Roman"/>
              </w:rPr>
              <w:fldChar w:fldCharType="end"/>
            </w:r>
          </w:p>
        </w:tc>
        <w:tc>
          <w:tcPr>
            <w:tcW w:w="2835" w:type="dxa"/>
          </w:tcPr>
          <w:p w14:paraId="407B6D1A"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Poor</w:t>
            </w:r>
          </w:p>
        </w:tc>
      </w:tr>
      <w:tr w:rsidR="00E45BEF" w:rsidRPr="000C3F42" w14:paraId="497041E9" w14:textId="77777777" w:rsidTr="001A7233">
        <w:tc>
          <w:tcPr>
            <w:tcW w:w="3118" w:type="dxa"/>
          </w:tcPr>
          <w:p w14:paraId="0110CCE0" w14:textId="77777777" w:rsidR="00E45BEF" w:rsidRPr="000C3F42" w:rsidRDefault="00E45BEF" w:rsidP="00B12C33">
            <w:pPr>
              <w:jc w:val="center"/>
              <w:rPr>
                <w:rFonts w:ascii="Times New Roman" w:hAnsi="Times New Roman" w:cs="Times New Roman"/>
              </w:rPr>
            </w:pPr>
            <w:r w:rsidRPr="000C3F42">
              <w:rPr>
                <w:rFonts w:ascii="Times New Roman" w:hAnsi="Times New Roman" w:cs="Times New Roman"/>
              </w:rPr>
              <w:t xml:space="preserve">Werthmann et al. </w:t>
            </w:r>
            <w:r>
              <w:rPr>
                <w:rFonts w:ascii="Times New Roman" w:hAnsi="Times New Roman"/>
              </w:rPr>
              <w:fldChar w:fldCharType="begin" w:fldLock="1"/>
            </w:r>
            <w:r>
              <w:rPr>
                <w:rFonts w:ascii="Times New Roman" w:hAnsi="Times New Roman" w:cs="Times New Roman"/>
              </w:rPr>
              <w:instrText>ADDIN CSL_CITATION {"citationItems":[{"id":"ITEM-1","itemData":{"DOI":"10.1002/eat.23064","ISSN":"1098-108X (Electronic)","PMID":"30912189","abstract":"OBJECTIVE: Attention processing for food may be biased in people with Anorexia  Nervosa (AN). However, previous studies have had inconsistent results. This is likely to be due to indirect assessment of attention, which does not inform on the underlying attention processes, and/or the heterogeneity of participants across studies, testing either adults or adolescents with AN, that is, people at very different developmental and illness stages. METHOD: Eye-tracking was employed as a direct assessment of attention during a visual probe task with food versus non-food pictures. Attention bias for food was measured in 39 adults and 34 adolescents with AN and in 53 adults and 31 adolescents without AN. RESULTS: All participants had a direction bias for food, specifically for high-calorie food. However, adults with AN subsequently avoided maintaining attention on food versus non-food cues, compared to adults without AN. Adolescents with or without AN demonstrated increased attention maintenance on food versus non-food cues, and, contrary to our hypothesis, did not differ in their attention bias for food cues. Accordingly, adults with AN differed significantly from adolescents with AN in attention maintenance for food cues: while adolescents with AN showed significantly increased attention maintenance on food stimuli, adults avoided maintaining attention on food cues. DISCUSSION: Adults with AN may apply attention strategies to facilitate restrictive eating. This strategy is absent in adolescents with AN. This difference in food-related attention bias between adolescents and adults with AN suggests that attention biases develop over time as the illness progresses.","author":[{"dropping-particle":"","family":"Werthmann","given":"Jessica","non-dropping-particle":"","parse-names":false,"suffix":""},{"dropping-particle":"","family":"Simic","given":"Mima","non-dropping-particle":"","parse-names":false,"suffix":""},{"dropping-particle":"","family":"Konstantellou","given":"Anna","non-dropping-particle":"","parse-names":false,"suffix":""},{"dropping-particle":"","family":"Mansfield","given":"Phoebe","non-dropping-particle":"","parse-names":false,"suffix":""},{"dropping-particle":"","family":"Mercado","given":"Daniela","non-dropping-particle":"","parse-names":false,"suffix":""},{"dropping-particle":"","family":"Ens","given":"Welmoed","non-dropping-particle":"van","parse-names":false,"suffix":""},{"dropping-particle":"","family":"Schmidt","given":"Ulrike","non-dropping-particle":"","parse-names":false,"suffix":""}],"container-title":"The International journal of eating disorders","id":"ITEM-1","issue":"6","issued":{"date-parts":[["2019","6"]]},"language":"eng","page":"681-690","publisher-place":"United States","title":"Same, same but different: Attention bias for food cues in adults and adolescents  with anorexia nervosa.","type":"article-journal","volume":"52"},"uris":["http://www.mendeley.com/documents/?uuid=153b7f8a-8f2f-41ab-ab56-7feadb89846e"]}],"mendeley":{"formattedCitation":"[52]","plainTextFormattedCitation":"[52]","previouslyFormattedCitation":"[52]"},"properties":{"noteIndex":0},"schema":"https://github.com/citation-style-language/schema/raw/master/csl-citation.json"}</w:instrText>
            </w:r>
            <w:r>
              <w:rPr>
                <w:rFonts w:ascii="Times New Roman" w:hAnsi="Times New Roman"/>
              </w:rPr>
              <w:fldChar w:fldCharType="separate"/>
            </w:r>
            <w:r w:rsidRPr="00A53637">
              <w:rPr>
                <w:rFonts w:ascii="Times New Roman" w:hAnsi="Times New Roman" w:cs="Times New Roman"/>
                <w:noProof/>
              </w:rPr>
              <w:t>[52]</w:t>
            </w:r>
            <w:r>
              <w:rPr>
                <w:rFonts w:ascii="Times New Roman" w:hAnsi="Times New Roman"/>
              </w:rPr>
              <w:fldChar w:fldCharType="end"/>
            </w:r>
          </w:p>
        </w:tc>
        <w:tc>
          <w:tcPr>
            <w:tcW w:w="2835" w:type="dxa"/>
          </w:tcPr>
          <w:p w14:paraId="7C905DED" w14:textId="77777777" w:rsidR="00E45BEF" w:rsidRPr="006911BB" w:rsidRDefault="00E45BEF" w:rsidP="00B12C33">
            <w:pPr>
              <w:jc w:val="center"/>
              <w:rPr>
                <w:rFonts w:ascii="Times New Roman" w:hAnsi="Times New Roman" w:cs="Times New Roman"/>
                <w:lang w:val="en-US"/>
              </w:rPr>
            </w:pPr>
            <w:proofErr w:type="spellStart"/>
            <w:r w:rsidRPr="006911BB">
              <w:rPr>
                <w:rFonts w:ascii="Times New Roman" w:hAnsi="Times New Roman" w:cs="Times New Roman"/>
              </w:rPr>
              <w:t>Good</w:t>
            </w:r>
            <w:proofErr w:type="spellEnd"/>
          </w:p>
        </w:tc>
      </w:tr>
      <w:tr w:rsidR="00E45BEF" w:rsidRPr="000C3F42" w14:paraId="46FF908E" w14:textId="77777777" w:rsidTr="001A7233">
        <w:tc>
          <w:tcPr>
            <w:tcW w:w="3118" w:type="dxa"/>
          </w:tcPr>
          <w:p w14:paraId="729D73C3" w14:textId="77777777" w:rsidR="00E45BEF" w:rsidRPr="007F612A" w:rsidRDefault="00E45BEF" w:rsidP="00B12C33">
            <w:pPr>
              <w:jc w:val="center"/>
              <w:rPr>
                <w:rFonts w:ascii="Times New Roman" w:hAnsi="Times New Roman" w:cs="Times New Roman"/>
                <w:lang w:val="en-US"/>
              </w:rPr>
            </w:pPr>
            <w:r w:rsidRPr="000C3F42">
              <w:rPr>
                <w:rFonts w:ascii="Times New Roman" w:hAnsi="Times New Roman" w:cs="Times New Roman"/>
              </w:rPr>
              <w:t xml:space="preserve">Schmidt et al. </w:t>
            </w:r>
            <w:r>
              <w:rPr>
                <w:rFonts w:ascii="Times New Roman" w:hAnsi="Times New Roman"/>
              </w:rPr>
              <w:fldChar w:fldCharType="begin" w:fldLock="1"/>
            </w:r>
            <w:r>
              <w:rPr>
                <w:rFonts w:ascii="Times New Roman" w:hAnsi="Times New Roman" w:cs="Times New Roman"/>
              </w:rPr>
              <w:instrText>ADDIN CSL_CITATION {"citationItems":[{"id":"ITEM-1","itemData":{"DOI":"10.1016/j.jpsychires.2016.05.016","ISSN":"1879-1379 (Electronic)","PMID":"27267318","abstract":"Evidence suggests that adults with binge-eating disorder (BED) are prone of having  their attention interfered by food cues, and that food-related attentional biases are associated with calorie intake and eating disorder psychopathology. For adolescents with BED experimental evidence on attentional processing of food cues is lacking. Using eye-tracking and a visual search task, the present study examined visual orienting and disengagement processes of food in youth with BED. Eye-movement data and reaction times were recorded in 25 adolescents (12-20 years) with BED and 25 controls (CG) individually matched for sex, age, body mass index, and socio-economic status. During a free exploration paradigm, the BED group showed a greater gaze duration bias for food images than the CG. Groups did not differ in gaze direction biases. In a visual search task, the BED group showed a greater detection bias for food targets than the CG. Group differences were more pronounced for personally attractive than unattractive food images. Regarding clinical associations, only in the BED group the gaze duration bias for food was associated with increased hunger and lower body mass index, and the detection bias for food targets was associated with greater reward sensitivity. The study provided first evidence of an attentional bias to f</w:instrText>
            </w:r>
            <w:r w:rsidRPr="007F612A">
              <w:rPr>
                <w:rFonts w:ascii="Times New Roman" w:hAnsi="Times New Roman" w:cs="Times New Roman"/>
                <w:lang w:val="en-US"/>
              </w:rPr>
              <w:instrText>ood in adolescents with BED. However, more research is needed for further specifying disengagement and orienting processes in adolescent BED, including overt and covert attention, and their prospective associations with binge-eating behaviors and associated psychopathology.","author":[{"dropping-particle":"","family":"Schmidt","given":"Ricarda","non-dropping-particle":"","parse-names":false,"suffix":""},{"dropping-particle":"","family":"Lüthold","given":"Patrick","non-dropping-particle":"","parse-names":false,"suffix":""},{"dropping-particle":"","family":"Kittel","given":"Rebekka","non-dropping-particle":"","parse-names":false,"suffix":""},{"dropping-particle":"","family":"Tetzlaff","given":"Anne","non-dropping-particle":"","parse-names":false,"suffix":""},{"dropping-particle":"","family":"Hilbert","given":"Anja","non-dropping-particle":"","parse-names":false,"suffix":""}],"container-title":"Journal of psychiatric research","id":"ITEM-1","issued":{"date-parts":[["2016","9"]]},"language":"eng","page":"22-29","publisher-place":"England","title":"Visual attentional bias for food in adolescents with binge-eating disorder.","type":"article-journal","volume":"80"},"uris":["http://www.mendeley.com/documents/?uuid=e2f122dc-e05c-4603-baac-1473e6a13ffb"]}],"mendeley":{"formattedCitation":"[87]","plainTextFormattedCitation":"[87]","previouslyFormattedCitation":"[87]"},"properties":{"noteIndex":0},"schema":"https://github.com/citation-style-language/schema/raw/master/csl-citation.json"}</w:instrText>
            </w:r>
            <w:r>
              <w:rPr>
                <w:rFonts w:ascii="Times New Roman" w:hAnsi="Times New Roman"/>
              </w:rPr>
              <w:fldChar w:fldCharType="separate"/>
            </w:r>
            <w:r w:rsidRPr="007F612A">
              <w:rPr>
                <w:rFonts w:ascii="Times New Roman" w:hAnsi="Times New Roman" w:cs="Times New Roman"/>
                <w:noProof/>
                <w:lang w:val="en-US"/>
              </w:rPr>
              <w:t>[87]</w:t>
            </w:r>
            <w:r>
              <w:rPr>
                <w:rFonts w:ascii="Times New Roman" w:hAnsi="Times New Roman"/>
              </w:rPr>
              <w:fldChar w:fldCharType="end"/>
            </w:r>
          </w:p>
        </w:tc>
        <w:tc>
          <w:tcPr>
            <w:tcW w:w="2835" w:type="dxa"/>
          </w:tcPr>
          <w:p w14:paraId="1D6F042A"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Good</w:t>
            </w:r>
          </w:p>
        </w:tc>
      </w:tr>
      <w:tr w:rsidR="00E45BEF" w:rsidRPr="000C3F42" w14:paraId="4C6609F9" w14:textId="77777777" w:rsidTr="001A7233">
        <w:tc>
          <w:tcPr>
            <w:tcW w:w="3118" w:type="dxa"/>
          </w:tcPr>
          <w:p w14:paraId="5559747F"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Shank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{"citationItems":[{"id":"ITEM-1","itemData":{"DOI":"10.1016/j.appet.2014.11.027","ISSN":"1095-8304 (Electronic)","PMID":"25435490","abstract":"Emerging data indicate that adults with binge eating may exhibit an attentional bias  toward highly palatable foods, which may promote obesogenic eating patterns and excess weight gain. However, it is unknown to what extent youth with loss of control (LOC) eating display a similar bias. We therefore studied 76 youth (14.5 ± 2.3 years; 86.8% female; BMI-z 1.7 ± .73) with (n = 47) and without (n = 29) reported LOC eating. Following a breakfast to reduce hunger, youth participated in a computerized visual probe task of sustained attention that assessed reaction time to pairs of pictures consisting of high palatable foods, low palatable foods, and neutral household objects. Although sustained attentional bias did not differ by LOC eating presence and was unrelated to body weight, a two-way interaction between BMI-z and LOC eating was observed (p = .01), such that only among youth with LOC eating, attentional bias toward high palatable foods versus neutral objects was positively associated with BMI-z. These findings suggest that LOC eating and body weight interact in their association with attentional bias to highly palatable foods cues, and may partially explain the mixed literature linking attentional bias to food cues with excess body weight.","author":[{"dropping-particle":"","family":"Shank","given":"Lisa M","non-dropping-particle":"","parse-names":false,"suffix":""},{"dropping-particle":"","family":"Tanofsky-Kraff","given":"Marian","non-dropping-particle":"","parse-names":false,"suffix":""},{"dropping-particle":"","family":"Nelson","given":"Eric E","non-dropping-particle":"","parse-names":false,"suffix":""},{"dropping-particle":"","family":"Shomaker","given":"Lauren B","non-dropping-particle":"","parse-names":false,"suffix":""},{"dropping-particle":"","family":"Ranzenhofer","given":"Lisa M","non-dropping-particle":"","parse-names":false,"suffix":""},{"dropping-particle":"","family":"Hannallah","given":"Louise M","non-dropping-particle":"","parse-names":false,"suffix":""},{"dropping-particle":"","family":"Field","given":"Sara E","non-dropping-particle":"","parse-names":false,"suffix":""},{"dropping-particle":"","family":"Vannucci","given":"Anna","non-dropping-particle":"","parse-names":false,"suffix":""},{"dropping-particle":"","family":"Bongiorno","given":"Diana M","non-dropping-particle":"","parse-names":false,"suffix":""},{"dropping-particle":"","family":"Brady","given":"Sheila M","non-dropping-particle":"","parse-names":false,"suffix":""},{"dropping-particle":"","family":"Condarco","given":"Tania","non-dropping-particle":"","parse-names":false,"suffix":""},{"dropping-particle":"","family":"Demidowich","given":"Andrew","non-dropping-particle":"","parse-names":false,"suffix":""},{"dropping-particle":"","family":"Kelly","given":"Nichole R","non-dropping-particle":"","parse-names":false,"suffix":""},{"dropping-particle":"","family":"Cassidy","given":"Omni","non-dropping-particle":"","parse-names":false,"suffix":""},{"dropping-particle":"","family":"Simmons","given":"W Kyle","non-dropping-particle":"","parse-names":false,"suffix":""},{"dropping-particle":"","family":"Engel","given":"Scott G","non-dropping-particle":"","parse-names":false,"suffix":""},{"dropping-particle":"","family":"Pine","given":"Daniel S","non-dropping-particle":"","parse-names":false,"suffix":""},{"dropping-particle":"","family":"Yanovski","given":"Jack A","non-dropping-particle":"","parse-names":false,"suffix":""}],"container-title":"Appetite","id":"ITEM-1","issued":{"date-parts":[["2015","4"]]},"language":"eng","page":"68-75","title":"Attentional bias to food cues in youth with loss of control eating.","type":"article-journal","volume":"87"},"uris":["http://www.mendeley.com/documents/?uuid=d4916899-f30e-49e2-9f67-f254c84b4a75"]}],"mendeley":{"formattedCitation":"[90]","plainTextFormattedCitation":"[90]","previouslyFormattedCitation":"[90]"},"properties":{"noteIndex":0},"schema":"https://github.com/citation-style-language/schema/raw/master/csl-citation.json"}</w:instrText>
            </w:r>
            <w:r>
              <w:rPr>
                <w:rFonts w:ascii="Times New Roman" w:hAnsi="Times New Roman"/>
                <w:lang w:val="en-US"/>
              </w:rPr>
              <w:fldChar w:fldCharType="separate"/>
            </w:r>
            <w:r w:rsidRPr="007F612A">
              <w:rPr>
                <w:rFonts w:ascii="Times New Roman" w:hAnsi="Times New Roman" w:cs="Times New Roman"/>
                <w:noProof/>
                <w:lang w:val="en-US"/>
              </w:rPr>
              <w:t>[90]</w:t>
            </w:r>
            <w:r>
              <w:rPr>
                <w:rFonts w:ascii="Times New Roman" w:hAnsi="Times New Roman"/>
                <w:lang w:val="en-US"/>
              </w:rPr>
              <w:fldChar w:fldCharType="end"/>
            </w:r>
          </w:p>
        </w:tc>
        <w:tc>
          <w:tcPr>
            <w:tcW w:w="2835" w:type="dxa"/>
          </w:tcPr>
          <w:p w14:paraId="63D70EF7"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6DECBA14" w14:textId="77777777" w:rsidTr="001A7233">
        <w:tc>
          <w:tcPr>
            <w:tcW w:w="3118" w:type="dxa"/>
          </w:tcPr>
          <w:p w14:paraId="0199730C"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Van Malderen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{"citationItems":[{"id":"ITEM-1","itemData":{"DOI":"10.1016/j.appet.2020.104729","ISSN":"1095-8304 (Electronic)","PMID":"32387199","abstract":"OBJECTIVE: Dual-pathway models propose that loss of control over eating (LOC) is the  result of an imbalance between weaker regulatory and stronger reactive processes. However, these processes are generally captured with only one assessment method, leading to mixed findings. Additionally, it is unclear whether regulatory difficulties are generic or food-specific. Therefore, the aim of this study was twofold: (1) to investigate the interaction between regulatory and reactive processes in predicting the presence of LOC in adolescents, using both self-report questionnaires and behavioral tasks, and (2) to examine whether generic or food-specific regulatory processes interact with reactive processes to predict the presence of LOC. METHOD: A community sample of 295 adolescents (10-17 years; 67.2% girls; M = 13 years; SD = 1.99) was allocated to a LOC-Group (n = 93) or a NoLOC-Group (n = 202) based on a self-report questionnaire which assessed whether participants had experienced LOC over the past month (Children's Eating Disorder Examination Questionnaire). Both self-report questionnaires and behavioral tasks were used to measure regulatory (Behavior Rating Inventory of Executive Function and go/no-go task, respectively) and reactive (Behavioral Activation Scale and dot probe task, respectively) processes. Some adolescents completed a generic go/no-go task and others a food-specific version. Binary logistic regressions were conducted with LOC as the categorical dependent variable and regulatory and reactive processes (and their interaction) as the independent variables. RESULTS: In line with dual-pathway models, the combination of weaker regulatory and stronger reactive processes was associated with the presence of LOC. This was evident from both the self-report scales and the behavioral tasks. Preliminary results further suggest that regulatory difficulties seem to be food-specific. CONCLUSIONS: Our results provide multi-method evidence for the dual-pathway account of self-regulation in LOC among adolescents. Theoretical and practical implications are discussed.","author":[{"dropping-particle":"","family":"Malderen","given":"Eva","non-dropping-particle":"Van","parse-names":false,"suffix":""},{"dropping-particle":"","family":"Goossens","given":"Lien","non-dropping-particle":"","parse-names":false,"suffix":""},{"dropping-particle":"","family":"Verbeken","given":"Sandra","non-dropping-particle":"","parse-names":false,"suffix":""},{"dropping-particle":"","family":"Kemps","given":"Eva","non-dropping-particle":"","parse-names":false,"suffix":""}],"container-title":"Appetite","id":"ITEM-1","issued":{"date-parts":[["2020","10"]]},"language":"eng","page":"104729","publisher-place":"England","title":"Multi-method evidence for a dual-pathway perspective of self-regulation in loss of  control over eating among adolescents.","type":"article-journal","volume":"153"},"uris":["http://www.mendeley.com/documents/?uuid=a1393f1c-a99e-4dd5-a546-cc76ea564d9c"]}],"mendeley":{"formattedCitation":"[91]","plainTextFormattedCitation":"[91]","previouslyFormattedCitation":"[91]"},"properties":{"noteIndex":0},"schema":"https://github.com/citation-style-language/schema/raw/master/csl-citation.json"}</w:instrText>
            </w:r>
            <w:r>
              <w:rPr>
                <w:rFonts w:ascii="Times New Roman" w:hAnsi="Times New Roman"/>
                <w:lang w:val="en-US"/>
              </w:rPr>
              <w:fldChar w:fldCharType="separate"/>
            </w:r>
            <w:r w:rsidRPr="007F612A">
              <w:rPr>
                <w:rFonts w:ascii="Times New Roman" w:hAnsi="Times New Roman" w:cs="Times New Roman"/>
                <w:noProof/>
                <w:lang w:val="en-US"/>
              </w:rPr>
              <w:t>[91]</w:t>
            </w:r>
            <w:r>
              <w:rPr>
                <w:rFonts w:ascii="Times New Roman" w:hAnsi="Times New Roman"/>
                <w:lang w:val="en-US"/>
              </w:rPr>
              <w:fldChar w:fldCharType="end"/>
            </w:r>
          </w:p>
        </w:tc>
        <w:tc>
          <w:tcPr>
            <w:tcW w:w="2835" w:type="dxa"/>
          </w:tcPr>
          <w:p w14:paraId="76DF41D0"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r w:rsidR="00E45BEF" w:rsidRPr="000C3F42" w14:paraId="03DD08D5" w14:textId="77777777" w:rsidTr="001A7233">
        <w:tc>
          <w:tcPr>
            <w:tcW w:w="3118" w:type="dxa"/>
            <w:tcBorders>
              <w:bottom w:val="single" w:sz="4" w:space="0" w:color="auto"/>
            </w:tcBorders>
          </w:tcPr>
          <w:p w14:paraId="2DAB7DB0" w14:textId="77777777" w:rsidR="00E45BEF" w:rsidRPr="000C3F42" w:rsidRDefault="00E45BEF" w:rsidP="00B12C33">
            <w:pPr>
              <w:jc w:val="center"/>
              <w:rPr>
                <w:rFonts w:ascii="Times New Roman" w:hAnsi="Times New Roman" w:cs="Times New Roman"/>
                <w:lang w:val="en-US"/>
              </w:rPr>
            </w:pPr>
            <w:r w:rsidRPr="000C3F42">
              <w:rPr>
                <w:rFonts w:ascii="Times New Roman" w:hAnsi="Times New Roman" w:cs="Times New Roman"/>
                <w:lang w:val="en-US"/>
              </w:rPr>
              <w:t xml:space="preserve">Van Malderen et al. </w:t>
            </w:r>
            <w:r>
              <w:rPr>
                <w:rFonts w:ascii="Times New Roman" w:hAnsi="Times New Roman"/>
                <w:lang w:val="en-US"/>
              </w:rPr>
              <w:fldChar w:fldCharType="begin" w:fldLock="1"/>
            </w:r>
            <w:r>
              <w:rPr>
                <w:rFonts w:ascii="Times New Roman" w:hAnsi="Times New Roman" w:cs="Times New Roman"/>
                <w:lang w:val="en-US"/>
              </w:rPr>
              <w:instrText>ADDIN CSL_CITATION {"citationItems":[{"id":"ITEM-1","itemData":{"DOI":"10.3389/fpsyg.2021.630000","ISSN":"1664-1078 (Print)","PMID":"33868095","abstract":"INTRODUCTION: One in three adolescents frequently consume unhealthy snacks, which is  associated with negative developmental outcomes. To date, it remains unclear how intrapersonal factors account for food choices in adolescents. Guided by the dual-pathway model, the current study aimed to: (1) examine the joint contribution of inhibitory control and attentional bias in predicting unhealthy food choices in adolescents, and (2) determine whether this mechanism is more pronounced in adolescents who experience loss of control over eating (LOC). MATERIALS AND METHODS: A community sample of 80 adolescents (65% female; 10-17 years old, M (age) = 13.28, SD = 1.94) was recruited. Based on a self-report questionnaire, 28.7% of this sample reported at least one episode of LOC over the past month. Food choice was assessed using a computerized food choice task. Both inhibitory control and attentional bias were measured with behavioral tasks (go/no-go and dot probe task, respectively). Binary logistic regressions were conducted to address the research questions. RESULTS: Inhibitory control and attentional bias did not significantly interact to predict unhealthy food choices. However, there was a significant three-way interaction between inhibitory control, attentional bias and LOC. For adolescents without LOC, the combination of poor inhibitory control and low attentional bias was significantly associated with unhealthy food choice. Surprisingly, for adolescents with LOC, there was no significant association between unhealthy food choice and inhibitory control or attentional bias. DISCUSSION: Dual-pathway processes do not seem to add to the explanation of food choice behavior for adolescents with LOC. For adolescents who do not experience LOC, those with poor inhibitory control combined with low attentional bias might be at particular risk for making unhealthy food choices.","author":[{"dropping-particle":"","family":"Malderen","given":"Eva","non-dropping-particle":"Van","parse-names":false,"suffix":""},{"dropping-particle":"","family":"Kemps","given":"Eva","non-dropping-particle":"","parse-names":false,"suffix":""},{"dropping-particle":"","family":"Claes","given":"Laurence","non-dropping-particle":"","parse-names":false,"suffix":""},{"dropping-particle":"","family":"Verbeken","given":"Sandra","non-dropping-particle":"","parse-names":false,"suffix":""},{"dropping-particle":"","family":"Goossens","given":"Lien","non-dropping-particle":"","parse-names":false,"suffix":""}],"container-title":"Frontiers in psychology","id":"ITEM-1","issued":{"date-parts":[["2021"]]},"language":"eng","page":"630000","title":"A Dual-Pathway Perspective on Food Choices in Adolescents: The Role of Loss of  Control Over Eating.","type":"article-journal","volume":"12"},"uris":["http://www.mendeley.com/documents/?uuid=d11e48e7-ed62-487d-809c-c3be1d5e4d01"]}],"mendeley":{"formattedCitation":"[92]","plainTextFormattedCitation":"[92]","previouslyFormattedCitation":"[92]"},"properties":{"noteIndex":0},"schema":"https://github.com/citation-style-language/schema/raw/master/csl-citation.json"}</w:instrText>
            </w:r>
            <w:r>
              <w:rPr>
                <w:rFonts w:ascii="Times New Roman" w:hAnsi="Times New Roman"/>
                <w:lang w:val="en-US"/>
              </w:rPr>
              <w:fldChar w:fldCharType="separate"/>
            </w:r>
            <w:r w:rsidRPr="007F612A">
              <w:rPr>
                <w:rFonts w:ascii="Times New Roman" w:hAnsi="Times New Roman" w:cs="Times New Roman"/>
                <w:noProof/>
                <w:lang w:val="en-US"/>
              </w:rPr>
              <w:t>[92]</w:t>
            </w:r>
            <w:r>
              <w:rPr>
                <w:rFonts w:ascii="Times New Roman" w:hAnsi="Times New Roman"/>
                <w:lang w:val="en-US"/>
              </w:rPr>
              <w:fldChar w:fldCharType="end"/>
            </w:r>
          </w:p>
        </w:tc>
        <w:tc>
          <w:tcPr>
            <w:tcW w:w="2835" w:type="dxa"/>
            <w:tcBorders>
              <w:bottom w:val="single" w:sz="4" w:space="0" w:color="auto"/>
            </w:tcBorders>
          </w:tcPr>
          <w:p w14:paraId="27019C7C" w14:textId="77777777" w:rsidR="00E45BEF" w:rsidRPr="006911BB" w:rsidRDefault="00E45BEF" w:rsidP="00B12C33">
            <w:pPr>
              <w:jc w:val="center"/>
              <w:rPr>
                <w:rFonts w:ascii="Times New Roman" w:hAnsi="Times New Roman" w:cs="Times New Roman"/>
                <w:lang w:val="en-US"/>
              </w:rPr>
            </w:pPr>
            <w:r w:rsidRPr="006911BB">
              <w:rPr>
                <w:rFonts w:ascii="Times New Roman" w:hAnsi="Times New Roman" w:cs="Times New Roman"/>
                <w:lang w:val="en-US"/>
              </w:rPr>
              <w:t>Fair</w:t>
            </w:r>
          </w:p>
        </w:tc>
      </w:tr>
    </w:tbl>
    <w:p w14:paraId="51A8874E" w14:textId="77777777" w:rsidR="00E45BEF" w:rsidRDefault="00E45BEF" w:rsidP="00E45BEF"/>
    <w:p w14:paraId="495B9074" w14:textId="77777777" w:rsidR="00E45BEF" w:rsidRDefault="00E45BEF" w:rsidP="00E45BEF">
      <w:pPr>
        <w:rPr>
          <w:rFonts w:ascii="Times New Roman" w:hAnsi="Times New Roman"/>
          <w:i/>
          <w:iCs/>
          <w:lang w:val="en-US"/>
        </w:rPr>
      </w:pPr>
    </w:p>
    <w:p w14:paraId="58C1992A" w14:textId="77777777" w:rsidR="00E45BEF" w:rsidRPr="00DE67ED" w:rsidRDefault="00E45BEF" w:rsidP="00E45BEF">
      <w:pPr>
        <w:rPr>
          <w:rFonts w:ascii="Times New Roman" w:hAnsi="Times New Roman"/>
          <w:i/>
          <w:iCs/>
          <w:lang w:val="en-US"/>
        </w:rPr>
      </w:pPr>
      <w:r>
        <w:rPr>
          <w:rFonts w:ascii="Times New Roman" w:hAnsi="Times New Roman"/>
          <w:i/>
          <w:iCs/>
          <w:lang w:val="en-US"/>
        </w:rPr>
        <w:t xml:space="preserve">Study quality rating for studies investigating </w:t>
      </w:r>
      <w:r w:rsidRPr="00DE67ED">
        <w:rPr>
          <w:rFonts w:ascii="Times New Roman" w:hAnsi="Times New Roman"/>
          <w:i/>
          <w:iCs/>
          <w:lang w:val="en-US"/>
        </w:rPr>
        <w:t xml:space="preserve">AB to body-related stimuli </w:t>
      </w:r>
    </w:p>
    <w:p w14:paraId="161DD719" w14:textId="77777777" w:rsidR="00E45BEF" w:rsidRPr="00DE67ED" w:rsidRDefault="00E45BEF" w:rsidP="00E45BEF">
      <w:pPr>
        <w:rPr>
          <w:rFonts w:ascii="Times New Roman" w:hAnsi="Times New Roman"/>
          <w:i/>
          <w:iCs/>
          <w:lang w:val="en-US"/>
        </w:rPr>
      </w:pPr>
    </w:p>
    <w:tbl>
      <w:tblPr>
        <w:tblStyle w:val="TabellemithellemGitternetz"/>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8"/>
        <w:gridCol w:w="2835"/>
      </w:tblGrid>
      <w:tr w:rsidR="00E45BEF" w:rsidRPr="00517914" w14:paraId="091DA490" w14:textId="77777777" w:rsidTr="001A7233">
        <w:tc>
          <w:tcPr>
            <w:tcW w:w="3118" w:type="dxa"/>
            <w:tcBorders>
              <w:top w:val="single" w:sz="4" w:space="0" w:color="auto"/>
              <w:bottom w:val="single" w:sz="4" w:space="0" w:color="auto"/>
            </w:tcBorders>
          </w:tcPr>
          <w:p w14:paraId="11D190B5" w14:textId="77777777" w:rsidR="00E45BEF" w:rsidRPr="00517914" w:rsidRDefault="00E45BEF" w:rsidP="00B12C33">
            <w:pPr>
              <w:jc w:val="center"/>
              <w:rPr>
                <w:rFonts w:ascii="Times New Roman" w:hAnsi="Times New Roman" w:cs="Times New Roman"/>
              </w:rPr>
            </w:pPr>
            <w:proofErr w:type="spellStart"/>
            <w:r w:rsidRPr="00517914">
              <w:rPr>
                <w:rFonts w:ascii="Times New Roman" w:hAnsi="Times New Roman" w:cs="Times New Roman"/>
              </w:rPr>
              <w:t>Author</w:t>
            </w:r>
            <w:proofErr w:type="spellEnd"/>
            <w:r w:rsidRPr="00517914">
              <w:rPr>
                <w:rFonts w:ascii="Times New Roman" w:hAnsi="Times New Roman" w:cs="Times New Roman"/>
              </w:rPr>
              <w:t xml:space="preserve"> (s) (</w:t>
            </w:r>
            <w:proofErr w:type="spellStart"/>
            <w:r w:rsidRPr="00517914">
              <w:rPr>
                <w:rFonts w:ascii="Times New Roman" w:hAnsi="Times New Roman" w:cs="Times New Roman"/>
              </w:rPr>
              <w:t>year</w:t>
            </w:r>
            <w:proofErr w:type="spellEnd"/>
            <w:r w:rsidRPr="00517914">
              <w:rPr>
                <w:rFonts w:ascii="Times New Roman" w:hAnsi="Times New Roman" w:cs="Times New Roman"/>
              </w:rPr>
              <w:t>)</w:t>
            </w:r>
          </w:p>
        </w:tc>
        <w:tc>
          <w:tcPr>
            <w:tcW w:w="2835" w:type="dxa"/>
            <w:tcBorders>
              <w:top w:val="single" w:sz="4" w:space="0" w:color="auto"/>
              <w:bottom w:val="single" w:sz="4" w:space="0" w:color="auto"/>
            </w:tcBorders>
          </w:tcPr>
          <w:p w14:paraId="2FA93331" w14:textId="77777777" w:rsidR="00E45BEF" w:rsidRPr="00517914" w:rsidRDefault="00E45BEF" w:rsidP="00B12C33">
            <w:pPr>
              <w:jc w:val="center"/>
              <w:rPr>
                <w:rFonts w:ascii="Times New Roman" w:hAnsi="Times New Roman" w:cs="Times New Roman"/>
              </w:rPr>
            </w:pPr>
            <w:r w:rsidRPr="00517914">
              <w:rPr>
                <w:rFonts w:ascii="Times New Roman" w:hAnsi="Times New Roman" w:cs="Times New Roman"/>
              </w:rPr>
              <w:t>Study Quality</w:t>
            </w:r>
          </w:p>
        </w:tc>
      </w:tr>
      <w:tr w:rsidR="00E45BEF" w:rsidRPr="00517914" w14:paraId="274A0077" w14:textId="77777777" w:rsidTr="001A7233">
        <w:tc>
          <w:tcPr>
            <w:tcW w:w="3118" w:type="dxa"/>
            <w:tcBorders>
              <w:top w:val="single" w:sz="4" w:space="0" w:color="auto"/>
            </w:tcBorders>
          </w:tcPr>
          <w:p w14:paraId="513EDFE9"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rPr>
              <w:t xml:space="preserve">Bauer et al. </w:t>
            </w:r>
            <w:r w:rsidRPr="00517914">
              <w:rPr>
                <w:rFonts w:ascii="Times New Roman" w:hAnsi="Times New Roman" w:cs="Times New Roman"/>
              </w:rPr>
              <w:fldChar w:fldCharType="begin" w:fldLock="1"/>
            </w:r>
            <w:r w:rsidRPr="00517914">
              <w:rPr>
                <w:rFonts w:ascii="Times New Roman" w:hAnsi="Times New Roman" w:cs="Times New Roman"/>
              </w:rPr>
              <w:instrText>ADDIN CSL_CITATION {"citationItems":[{"id":"ITEM-1","itemData":{"DOI":"10.1002/eat.22771","ISSN":"1098-108X (Electronic)","PMID":"28851058","abstract":"OBJECTIVE: The vigilance-avoidance theory postulates a specific threat-related  pattern of attention deployment, characterized by initial orientation towards fear-evoking stimuli and subsequent directing of attention away from them. The current eye-tracking study was the first to examine the applicability of the theory for patients with eating disorders, who perceive their own body as a highly aversive, threat-evoking stimulus. METHOD: N = 56 female adolescents with anorexia nervosa (AN) and n = 43 healthy controls (HC) aged 13-18 viewed own-body pictures while their eye movements were recorded. Relative fixation times on self-defined unattractive body areas were compared between the groups by sequencing the overall presentation time of 6,000 ms into six intervals à 1,000 ms. RESULTS: Participants with AN showed a significantly stronger attentional bias for unattractive body areas than HC within the time intervals 1, 2, and 3. However, for intervals 4, 5, and 6, no significant group differences occurred. Within the AN group, the bias for unattractive body areas was significantly stronger in interval 1 compared to intervals 4, 5, and 6; whereas within the HC group, a stable pattern of attention deployment emerged. In AN, early attention deployment was positively correlated with the negative affect reported after photo presentation. DISCUSSION: The early vigilance in AN and the subsequent decrease in attention to unattractive body parts is in line with our assumptions. However, no indication of attentional avoidance was found. The current findings partially support the vigilance-avoidance theory for the exposure to one's own body in adolescents with AN.","author":[{"dropping-particle":"","family":"Bauer","given":"Anika</w:instrText>
            </w:r>
            <w:r w:rsidRPr="00517914">
              <w:rPr>
                <w:rFonts w:ascii="Times New Roman" w:hAnsi="Times New Roman" w:cs="Times New Roman"/>
                <w:lang w:val="en-US"/>
              </w:rPr>
              <w:instrText>","non-dropping-particle":"","parse-names":false,"suffix":""},{"dropping-particle":"","family":"Schneider","given":"Silvia","non-dropping-particle":"","parse-names":false,"suffix":""},{"dropping-particle":"","family":"Waldorf","given":"Manuel","non-dropping-particle":"","parse-names":false,"suffix":""},{"dropping-particle":"","family":"Cordes","given":"Martin","non-dropping-particle":"","parse-names":false,"suffix":""},{"dropping-particle":"","family":"Huber","given":"Thomas J","non-dropping-particle":"","parse-names":false,"suffix":""},{"dropping-particle":"","family":"Braks","given":"Karsten","non-dropping-particle":"","parse-names":false,"suffix":""},{"dropping-particle":"","family":"Vocks","given":"Silja","non-dropping-particle":"","parse-names":false,"suffix":""}],"container-title":"The International journal of eating disorders","id":"ITEM-1","issue":"10","issued":{"date-parts":[["2017","10"]]},"language":"eng","page":"1205-1213","publisher-place":"United States","title":"Visual processing of one's own body over the course of time: Evidence for the  vigilance-avoidance theory in adolescents with anorexia nervosa?","type":"article-journal","volume":"50"},"uris":["http://www.mendeley.com/documents/?uuid=308a5ef9-2420-4308-bde7-62ad8ee37081"]}],"mendeley":{"formattedCitation":"[95]","plainTextFormattedCitation":"[95]","previouslyFormattedCitation":"[95]"},"properties":{"noteIndex":0},"schema":"https://github.com/citation-style-language/schema/raw/master/csl-citation.json"}</w:instrText>
            </w:r>
            <w:r w:rsidRPr="00517914">
              <w:rPr>
                <w:rFonts w:ascii="Times New Roman" w:hAnsi="Times New Roman" w:cs="Times New Roman"/>
              </w:rPr>
              <w:fldChar w:fldCharType="separate"/>
            </w:r>
            <w:r w:rsidRPr="00517914">
              <w:rPr>
                <w:rFonts w:ascii="Times New Roman" w:hAnsi="Times New Roman" w:cs="Times New Roman"/>
                <w:noProof/>
                <w:lang w:val="en-US"/>
              </w:rPr>
              <w:t>[95]</w:t>
            </w:r>
            <w:r w:rsidRPr="00517914">
              <w:rPr>
                <w:rFonts w:ascii="Times New Roman" w:hAnsi="Times New Roman" w:cs="Times New Roman"/>
              </w:rPr>
              <w:fldChar w:fldCharType="end"/>
            </w:r>
          </w:p>
        </w:tc>
        <w:tc>
          <w:tcPr>
            <w:tcW w:w="2835" w:type="dxa"/>
            <w:tcBorders>
              <w:top w:val="single" w:sz="4" w:space="0" w:color="auto"/>
            </w:tcBorders>
          </w:tcPr>
          <w:p w14:paraId="7420BEF0"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Good</w:t>
            </w:r>
          </w:p>
        </w:tc>
      </w:tr>
      <w:tr w:rsidR="00E45BEF" w:rsidRPr="00517914" w14:paraId="793A26DD" w14:textId="77777777" w:rsidTr="001A7233">
        <w:tc>
          <w:tcPr>
            <w:tcW w:w="3118" w:type="dxa"/>
          </w:tcPr>
          <w:p w14:paraId="5D0091B2" w14:textId="77777777" w:rsidR="00E45BEF" w:rsidRPr="00517914" w:rsidRDefault="00E45BEF" w:rsidP="00B12C33">
            <w:pPr>
              <w:jc w:val="center"/>
              <w:rPr>
                <w:rFonts w:ascii="Times New Roman" w:hAnsi="Times New Roman" w:cs="Times New Roman"/>
              </w:rPr>
            </w:pPr>
            <w:r w:rsidRPr="00517914">
              <w:rPr>
                <w:rFonts w:ascii="Times New Roman" w:hAnsi="Times New Roman" w:cs="Times New Roman"/>
                <w:lang w:val="en-US"/>
              </w:rPr>
              <w:t xml:space="preserve">Pinhas et al. </w:t>
            </w:r>
            <w:r w:rsidRPr="00517914">
              <w:rPr>
                <w:rFonts w:ascii="Times New Roman" w:hAnsi="Times New Roman" w:cs="Times New Roman"/>
              </w:rPr>
              <w:fldChar w:fldCharType="begin" w:fldLock="1"/>
            </w:r>
            <w:r w:rsidRPr="00517914">
              <w:rPr>
                <w:rFonts w:ascii="Times New Roman" w:hAnsi="Times New Roman" w:cs="Times New Roman"/>
                <w:lang w:val="en-US"/>
              </w:rPr>
              <w:instrText>ADDIN CSL_CITATION {"citationItems":[{"id":"ITEM-1","itemData":{"DOI":"10.1016/j.psychres.2014.08.006","author":[{"dropping-particle":"","family":"Pinhas","given":"L","non-dropping-particle":"","parse-names":false,"suffix":""},{"dropping-particle":"","family":"Fok","given":"K.-H.","non-dropping-particle":"","parse-names":false,"suffix":""},{"dropping-particle":"","family":"Chen","given":"A","non-dropping-particle":"","parse-names":false,"suffix":""},{"dropping-particle":"","family":"Lam","given":"E","non-dropping-particle":"","parse-names":false,"suffix":""},{"dropping-particle":"","family":"Schachter","given":"R","non-dropping-particle":"","parse-names":false,"suffix":""},{"dropping-particle":"","family":"Eizenman","given":"O","non-dropping-particle":"","parse-names":false,"suffix":""},{"dropping-particle":"","family":"Grupp","given":"L","non-dropping-particle":"","parse-names":false,"suffix":""},{"dropping-particle":"","family":"Eizenman","given":"M","non-dropping-particle":"","parse-names":false,"suffix":""}],"container-title":"Psychiatry Research","id":"ITEM-1","issue":"1-2","issued":{"date-parts":[["2014"]]},"note":"Cited By :44\n\nExport Date: 23 March 2023","page":"519-526","title":"Attentional biases to body shape images in adolescents with anorexia nervosa: An exploratory eye-tracking study","type":"article-journal","volume":"220"},"uris":["http://www.mendeley.com/documents/?uuid=f6300e24-cc65-4369-8842-d693b787ee8c"]}],"mendeley":{"formattedCitation":"[96]","plainTextFormattedCitation":"[96]","previouslyFormattedCitation":"[96]"},"properties":{"noteIndex":0},"schema":"https://github.com/citation-style-language/schema/raw/master/csl-citation.json"}</w:instrText>
            </w:r>
            <w:r w:rsidRPr="00517914">
              <w:rPr>
                <w:rFonts w:ascii="Times New Roman" w:hAnsi="Times New Roman" w:cs="Times New Roman"/>
              </w:rPr>
              <w:fldChar w:fldCharType="separate"/>
            </w:r>
            <w:r w:rsidRPr="00517914">
              <w:rPr>
                <w:rFonts w:ascii="Times New Roman" w:hAnsi="Times New Roman" w:cs="Times New Roman"/>
                <w:noProof/>
              </w:rPr>
              <w:t>[96]</w:t>
            </w:r>
            <w:r w:rsidRPr="00517914">
              <w:rPr>
                <w:rFonts w:ascii="Times New Roman" w:hAnsi="Times New Roman" w:cs="Times New Roman"/>
              </w:rPr>
              <w:fldChar w:fldCharType="end"/>
            </w:r>
          </w:p>
        </w:tc>
        <w:tc>
          <w:tcPr>
            <w:tcW w:w="2835" w:type="dxa"/>
          </w:tcPr>
          <w:p w14:paraId="79E249E7"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Fair/Poor</w:t>
            </w:r>
          </w:p>
        </w:tc>
      </w:tr>
      <w:tr w:rsidR="00E45BEF" w:rsidRPr="00517914" w14:paraId="197E171C" w14:textId="77777777" w:rsidTr="001A7233">
        <w:tc>
          <w:tcPr>
            <w:tcW w:w="3118" w:type="dxa"/>
          </w:tcPr>
          <w:p w14:paraId="46F1E78B" w14:textId="77777777" w:rsidR="00E45BEF" w:rsidRPr="00517914" w:rsidRDefault="00E45BEF" w:rsidP="00B12C33">
            <w:pPr>
              <w:jc w:val="center"/>
              <w:rPr>
                <w:rFonts w:ascii="Times New Roman" w:hAnsi="Times New Roman" w:cs="Times New Roman"/>
                <w:lang w:val="en-US"/>
              </w:rPr>
            </w:pPr>
            <w:proofErr w:type="spellStart"/>
            <w:r w:rsidRPr="00517914">
              <w:rPr>
                <w:rFonts w:ascii="Times New Roman" w:hAnsi="Times New Roman" w:cs="Times New Roman"/>
              </w:rPr>
              <w:t>Sfärlea</w:t>
            </w:r>
            <w:proofErr w:type="spellEnd"/>
            <w:r w:rsidRPr="00517914">
              <w:rPr>
                <w:rFonts w:ascii="Times New Roman" w:hAnsi="Times New Roman" w:cs="Times New Roman"/>
              </w:rPr>
              <w:t xml:space="preserve"> et al. </w:t>
            </w:r>
            <w:r w:rsidRPr="00517914">
              <w:rPr>
                <w:rFonts w:ascii="Times New Roman" w:hAnsi="Times New Roman" w:cs="Times New Roman"/>
              </w:rPr>
              <w:fldChar w:fldCharType="begin" w:fldLock="1"/>
            </w:r>
            <w:r w:rsidRPr="00517914">
              <w:rPr>
                <w:rFonts w:ascii="Times New Roman" w:hAnsi="Times New Roman" w:cs="Times New Roman"/>
              </w:rPr>
              <w:instrText>ADDIN CSL_CITATION {"citationItems":[{"id":"ITEM-1","itemData":{"DOI":"10.1007/s10802-022-00993-3","author":[{"dropping-particle":"","family":"Sfärlea","given":"A","non-dropping-particle":"","parse-names":false,"suffix":""},{"dropping-particle":"","family":"Radix","given":"A K","non-dropping-particle":"","parse-names":false,"suffix":""},{"dropping-particle":"","family":"Schulte-Körne","given":"G","non-dropping-particle":"","parse-names":false,"suffix":""},{"dropping-particle":"","family":"Legenbauer","given":"T","non-dropping-particle":"","parse-names":false,"suffix":""},{"dropping-particle":"","family":"Platt","given":"B","non-dropping-particle":"","parse-names":false,"suffix":""}],"container-title":"Research on Child and Adolescent Psychopathology","id":"ITEM-1","issued":{"date-parts":[["2022"]]},"note":"Export Date: 23 March 2023","title":"Attention Biases for Eating Disorder-Related Stimuli Versus Social Stimuli in Adolescents with Anorexia Nervosa – An Eye-Tracking Study","type":"article-journal"},"uris":["http://www.mendeley.com/documents/?uuid=9fbfa1a0-142a-4f78-8385-a756852f7f8f"]}],"mendeley":{"formattedCitation":"[97]","plainTextFormattedCitation":"[97]","previouslyFormattedCitation":"[97]"},"properties":{"noteIndex":0},"schema":"https://github.com/citation-style-language/schema/raw/master/csl-citation.json"}</w:instrText>
            </w:r>
            <w:r w:rsidRPr="00517914">
              <w:rPr>
                <w:rFonts w:ascii="Times New Roman" w:hAnsi="Times New Roman" w:cs="Times New Roman"/>
              </w:rPr>
              <w:fldChar w:fldCharType="separate"/>
            </w:r>
            <w:r w:rsidRPr="00517914">
              <w:rPr>
                <w:rFonts w:ascii="Times New Roman" w:hAnsi="Times New Roman" w:cs="Times New Roman"/>
                <w:noProof/>
                <w:lang w:val="en-US"/>
              </w:rPr>
              <w:t>[97]</w:t>
            </w:r>
            <w:r w:rsidRPr="00517914">
              <w:rPr>
                <w:rFonts w:ascii="Times New Roman" w:hAnsi="Times New Roman" w:cs="Times New Roman"/>
              </w:rPr>
              <w:fldChar w:fldCharType="end"/>
            </w:r>
          </w:p>
        </w:tc>
        <w:tc>
          <w:tcPr>
            <w:tcW w:w="2835" w:type="dxa"/>
          </w:tcPr>
          <w:p w14:paraId="494C91B1"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Good</w:t>
            </w:r>
          </w:p>
        </w:tc>
      </w:tr>
      <w:tr w:rsidR="00E45BEF" w:rsidRPr="00517914" w14:paraId="0B394846" w14:textId="77777777" w:rsidTr="001A7233">
        <w:tc>
          <w:tcPr>
            <w:tcW w:w="3118" w:type="dxa"/>
          </w:tcPr>
          <w:p w14:paraId="15493E8D"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 xml:space="preserve">Svaldi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{"citationItems":[{"id":"ITEM-1","itemData":{"DOI":"10.1371/journal.pone.0154462","ISSN":"1932-6203 (Electronic)","PMID":"27123587","abstract":"OBJECTIVE: Previous research has yielded evidence of increased attentional  processing of negatively valenced body parts in women with anorexia nervosa (AN), especially for those with high depressive symptomatology. The present study extended previous research by implementing an experimental mood manipulation. METHOD: In a within-subjects design, female adolescents with AN (n = 12) and an age matched female control group (CG; n = 12) were given a negative and a positive mood induction at a one-week interval. After each mood induction, participants underwent a 3-min mirror exposure, while their eye movements were recorded. RESULTS: After the positive mood induction, both AN and CG participants displayed longer and more frequent gazes towards their self-defined most ugly relative to their self-defined most beautiful body part. However, after the negative mood induction, only females with AN were characterized by increased attention to their most ugly compared to their most beautiful body part, while CG participants' attention distribution was balanced. Furthermore, in the negative (but not in the positive) mood induction condition gaze frequency and duration towards the most ugly body part was significantly stronger in the AN group relative to the CG. DISCUSSION: The results emphasize the role of negative mood in the maintenance of pathological information processing of the self-body. This increased body-related negativity-bias during negative mood may lead to the persistence and aggravation of AN patients' body image disturbance.","author":[{"dropping-particle":"","family":"Svaldi","given":"Jennifer","non-dropping-particle":"","parse-names":false,"suffix":""},{"dropping-particle":"","family":"Bender","given":"Caroline","non-dropping-particle":"","parse-names":false,"suffix":""},{"dropping-particle":"","family":"Caffier","given":"Detlef","non-dropping-particle":"","parse-names":false,"suffix":""},{"dropping-particle":"","family":"Ivanova","given":"Viliana","non-dropping-particle":"","parse-names":false,"suffix":""},{"dropping-particle":"","family":"Mies","given":"Nina","non-dropping-particle":"","parse-names":false,"suffix":""},{"dropping-particle":"","family":"Fleischhaker","given":"Christian","non-dropping-particle":"","parse-names":false,"suffix":""},{"dropping-particle":"","family":"Tuschen-Caffier","given":"Brunna","non-dropping-particle":"","parse-names":false,"suffix":""}],"container-title":"PloS one","id":"ITEM-1","issue":"4","issued":{"date-parts":[["2016"]]},"language":"eng","page":"e0154462","title":"Negative Mood Increases Selective Attention to Negatively Valenced Body Parts in  Female Adolescents with Anorexia Nervosa.","type":"article-journal","volume":"11"},"uris":["http://www.mendeley.com/documents/?uuid=d67623f5-20d9-4a7d-97dc-a885278385c1"]}],"mendeley":{"formattedCitation":"[98]","plainTextFormattedCitation":"[98]","previouslyFormattedCitation":"[98]"},"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[98]</w:t>
            </w:r>
            <w:r w:rsidRPr="00517914">
              <w:rPr>
                <w:rFonts w:ascii="Times New Roman" w:hAnsi="Times New Roman" w:cs="Times New Roman"/>
                <w:lang w:val="en-US"/>
              </w:rPr>
              <w:fldChar w:fldCharType="end"/>
            </w:r>
          </w:p>
        </w:tc>
        <w:tc>
          <w:tcPr>
            <w:tcW w:w="2835" w:type="dxa"/>
          </w:tcPr>
          <w:p w14:paraId="35F17599"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Fair</w:t>
            </w:r>
          </w:p>
        </w:tc>
      </w:tr>
      <w:tr w:rsidR="00E45BEF" w:rsidRPr="00517914" w14:paraId="094B654F" w14:textId="77777777" w:rsidTr="001A7233">
        <w:tc>
          <w:tcPr>
            <w:tcW w:w="3118" w:type="dxa"/>
          </w:tcPr>
          <w:p w14:paraId="2F96692B" w14:textId="77777777" w:rsidR="00E45BEF" w:rsidRPr="00517914" w:rsidRDefault="00E45BEF" w:rsidP="00B12C33">
            <w:pPr>
              <w:jc w:val="center"/>
              <w:rPr>
                <w:rFonts w:ascii="Times New Roman" w:hAnsi="Times New Roman" w:cs="Times New Roman"/>
                <w:lang w:val="en-US"/>
              </w:rPr>
            </w:pPr>
            <w:proofErr w:type="spellStart"/>
            <w:r w:rsidRPr="00517914">
              <w:rPr>
                <w:rFonts w:ascii="Times New Roman" w:hAnsi="Times New Roman" w:cs="Times New Roman"/>
                <w:lang w:val="en-US"/>
              </w:rPr>
              <w:t>Horndasch</w:t>
            </w:r>
            <w:proofErr w:type="spellEnd"/>
            <w:r w:rsidRPr="00517914">
              <w:rPr>
                <w:rFonts w:ascii="Times New Roman" w:hAnsi="Times New Roman" w:cs="Times New Roman"/>
                <w:lang w:val="en-US"/>
              </w:rPr>
              <w:t xml:space="preserve">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10.1016/j.jpsychores.2012.09.020","author":[{"dropping-particle":"","family":"Horndasch","given":"S","non-dropping-particle":"","parse-names":false,"suffix":""},{"dropping-particle":"","family":"Heinrich","given":"H","non-dropping-particle":"","parse-names":false,"suffix":""},{"dropping-particle":"","family":"Kratz","given":"O","non-dropping-particle":"","parse-names":false,"suffix":""},{"dropping-particle":"","family":"Moll","given":"G H","non-dropping-particle":"","parse-names":false,"suffix":""}],"container-title":"Journal of Psychosomatic Research","id":"ITEM-1","issue":"6","issued":{"date-parts":[["2012"]]},"note":"Cited By :17\n\nExport Date: 23 March 2023","page":"443-447","title":"The late positive potential as a marker of motivated attention to underweight bodies in girls with anorexia nervosa","type":"article-journal","volume":"73"},"uris":["http://www.mendeley.com/documents/?uuid=a371e569-a05c-4891-b164-e8d9fb66efbc"]}],"mendeley":{"formattedCitation":"[99]","plainTextFormattedCitation":"[99]","previouslyFormattedCitation":"[99]"},"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[99]</w:t>
            </w:r>
            <w:r w:rsidRPr="00517914">
              <w:rPr>
                <w:rFonts w:ascii="Times New Roman" w:hAnsi="Times New Roman" w:cs="Times New Roman"/>
                <w:lang w:val="en-US"/>
              </w:rPr>
              <w:fldChar w:fldCharType="end"/>
            </w:r>
          </w:p>
        </w:tc>
        <w:tc>
          <w:tcPr>
            <w:tcW w:w="2835" w:type="dxa"/>
          </w:tcPr>
          <w:p w14:paraId="384D51E4"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Fair</w:t>
            </w:r>
          </w:p>
        </w:tc>
      </w:tr>
      <w:tr w:rsidR="00E45BEF" w:rsidRPr="00517914" w14:paraId="09355A7D" w14:textId="77777777" w:rsidTr="001A7233">
        <w:tc>
          <w:tcPr>
            <w:tcW w:w="3118" w:type="dxa"/>
          </w:tcPr>
          <w:p w14:paraId="2C7A3422" w14:textId="77777777" w:rsidR="00E45BEF" w:rsidRPr="00517914" w:rsidRDefault="00E45BEF" w:rsidP="00B12C33">
            <w:pPr>
              <w:jc w:val="center"/>
              <w:rPr>
                <w:rFonts w:ascii="Times New Roman" w:hAnsi="Times New Roman" w:cs="Times New Roman"/>
                <w:lang w:val="en-US"/>
              </w:rPr>
            </w:pPr>
            <w:proofErr w:type="spellStart"/>
            <w:r w:rsidRPr="00517914">
              <w:rPr>
                <w:rFonts w:ascii="Times New Roman" w:hAnsi="Times New Roman" w:cs="Times New Roman"/>
                <w:lang w:val="en-US"/>
              </w:rPr>
              <w:t>Horndasch</w:t>
            </w:r>
            <w:proofErr w:type="spellEnd"/>
            <w:r w:rsidRPr="00517914">
              <w:rPr>
                <w:rFonts w:ascii="Times New Roman" w:hAnsi="Times New Roman" w:cs="Times New Roman"/>
                <w:lang w:val="en-US"/>
              </w:rPr>
              <w:t xml:space="preserve">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{"citationItems":[{"id":"ITEM-1","itemData":{"DOI":"10.1017/S0033291717001994","ISSN":"0033-2917","PMID":"28735596","abstract":"BACKGROUND: Aberrant reward mechanisms with regard to slim body shapes are discussed in patients with anorexia nervosa (AN). The aim of the present study was to examine of cue reactivity toward body shapes in AN via the late positive potential (LPP), an event-related electroencephalography (EEG) component. By including adolescents and adults, aspects of development and chronification could be studied (2 × 2 design). METHODS: Thirty-two female AN patients (19 adolescents and 13 adults) and 37 control participants (16 adolescents and 21 adults) were included. Standardized photographic stimuli showing women's bodies in underwear from five body mass index (BMI) categories (extremely underweight to extremely overweight) were presented. During picture evaluation, EEG activity was recorded (10-20 system). The LPP was measured in two time windows characterized by different topographies (450-700 ms: posterior; 1000-1300 ms: central). RESULTS: Regarding the posterior component, LPP amplitudes were clearly reduced in adult but not in adolescent patients; for both time windows the LPP showed differential patterns over BMI categories for patients and controls. Regarding the central component, a highly significant linear decrease from extremely underweight to extremely overweight body shapes was revealed in patients and no significant modulation in control participants. CONCLUSIONS: Adolescent and adult patients show increased sustained attention toward extremely underweight bodies. In chronically ill patients, this bias appears to be accompanied by generally reduced automatic attention. The LPP findings provide a differentiated picture of aberrant cue reactivity which could be interpreted as motivated attention toward body shapes in AN.","author":[{"dropping-particle":"","family":"Horndasch","given":"S","non-dropping-particle":"","parse-names":false,"suffix":""},{"dropping-particle":"","family":"Kratz","given":"O","non-dropping-particle":"","parse-names":false,"suffix":""},{"dropping-particle":"","family":"Doren","given":"J","non-dropping-particle":"Van","parse-names":false,"suffix":""},{"dropping-particle":"","family":"Graap","given":"H","non-dropping-particle":"","parse-names":false,"suffix":""},{"dropping-particle":"","family":"Kramer","given":"R","non-dropping-particle":"","parse-names":false,"suffix":""},{"dropping-particle":"","family":"Moll","given":"G H","non-dropping-particle":"","parse-names":false,"suffix":""},{"dropping-particle":"","family":"Heinrich","given":"H","non-dropping-particle":"","parse-names":false,"suffix":""}],"container-title":"Psychological Medicine","id":"ITEM-1","issue":"3","issued":{"date-parts":[["2018","2","24"]]},"language":"eng","page":"508-518","publisher-place":"England","title":"Cue reactivity towards bodies in anorexia nervosa – common and differential effects in adolescents and adults","type":"article-journal","volume":"48"},"uris":["http://www.mendeley.com/documents/?uuid=23fae2a7-f8eb-4fa4-aec5-d2ef33331a6e"]}],"mendeley":{"formattedCitation":"[100]","plainTextFormattedCitation":"[100]","previouslyFormattedCitation":"[100]"},"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[100]</w:t>
            </w:r>
            <w:r w:rsidRPr="00517914">
              <w:rPr>
                <w:rFonts w:ascii="Times New Roman" w:hAnsi="Times New Roman" w:cs="Times New Roman"/>
                <w:lang w:val="en-US"/>
              </w:rPr>
              <w:fldChar w:fldCharType="end"/>
            </w:r>
          </w:p>
        </w:tc>
        <w:tc>
          <w:tcPr>
            <w:tcW w:w="2835" w:type="dxa"/>
          </w:tcPr>
          <w:p w14:paraId="672ECB2D"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Poor</w:t>
            </w:r>
          </w:p>
        </w:tc>
      </w:tr>
      <w:tr w:rsidR="00E45BEF" w:rsidRPr="00517914" w14:paraId="5E033875" w14:textId="77777777" w:rsidTr="001A7233">
        <w:tc>
          <w:tcPr>
            <w:tcW w:w="3118" w:type="dxa"/>
          </w:tcPr>
          <w:p w14:paraId="5EDD186B"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 xml:space="preserve">Romero Frausto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{"citationItems":[{"id":"ITEM-1","itemData":{"DOI":"10.1038/s41398-024-03144-y","author":[{"dropping-particle":"","family":"Romero Frausto","given":"H","non-dropping-particle":"","parse-names":false,"suffix":""},{"dropping-particle":"","family":"Rahder","given":"I","non-dropping-particle":"","parse-names":false,"suffix":""},{"dropping-particle":"","family":"Dalhoff","given":"A W","non-dropping-particle":"","parse-names":false,"suffix":""},{"dropping-particle":"","family":"Roesmann","given":"K","non-dropping-particle":"","parse-names":false,"suffix":""},{"dropping-particle":"","family":"Romer","given":"G","non-dropping-particle":"","parse-names":false,"suffix":""},{"dropping-particle":"","family":"Junghöfer","given":"M","non-dropping-particle":"","parse-names":false,"suffix":""},{"dropping-particle":"","family":"Wessing","given":"I","non-dropping-particle":"","parse-names":false,"suffix":""}],"container-title":"Translational Psychiatry","id":"ITEM-1","issue":"1","issued":{"date-parts":[["2024"]]},"note":"Export Date: 29 January 2025; Cited By: 0","title":"Visual body size estimation in adolescent anorexia nervosa: Behavioural and neurophysiological data suggest intact visual perception and biased emotional attention","type":"article-journal","volume":"14"},"uris":["http://www.mendeley.com/documents/?uuid=ba2766b4-99c3-434b-a52c-928af8471ec9"]}],"mendeley":{"formattedCitation":"[101]","plainTextFormattedCitation":"[101]","previouslyFormattedCitation":"[101]"},"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[101]</w:t>
            </w:r>
            <w:r w:rsidRPr="00517914">
              <w:rPr>
                <w:rFonts w:ascii="Times New Roman" w:hAnsi="Times New Roman" w:cs="Times New Roman"/>
                <w:lang w:val="en-US"/>
              </w:rPr>
              <w:fldChar w:fldCharType="end"/>
            </w:r>
          </w:p>
        </w:tc>
        <w:tc>
          <w:tcPr>
            <w:tcW w:w="2835" w:type="dxa"/>
          </w:tcPr>
          <w:p w14:paraId="62FEA4C0"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Good</w:t>
            </w:r>
          </w:p>
        </w:tc>
      </w:tr>
      <w:tr w:rsidR="00E45BEF" w:rsidRPr="00517914" w14:paraId="1C6092BB" w14:textId="77777777" w:rsidTr="001A7233">
        <w:tc>
          <w:tcPr>
            <w:tcW w:w="3118" w:type="dxa"/>
          </w:tcPr>
          <w:p w14:paraId="3C99D11F"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 xml:space="preserve">Bauer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{"citationItems":[{"id":"ITEM-1","itemData":{"DOI":"10.1007/s10802-017-0263-z","ISSN":"1573-2835 (Electronic)","PMID":"28133705","abstract":"The development of eating disorders is associated with a body-related attentional  bias. Although eating disorders are especially prevalent in adolescence, so far, no study has analyzed gaze patterns and state body image in response to viewing one's own body in youth. To fill this gap, the present study aimed to examine a body-related attentional bias and state body satisfaction in adolescents with various forms of eating disorders. Girls with anorexia nervosa, restrictive type (AN-R; n = 30), anorexia nervosa, binge eating/purging type (AN-BP; n = 26), bulimia nervosa (BN; n = 22), clinical controls with anxiety disorders (n = 20) and healthy controls (n = 43) looked at photographs of their own and a peer's body, while their spontaneous eye movements were recorded. After stimulus presentation, state body satisfaction and individual attractiveness ratings for areas of the presented stimuli were assessed. An analysis of variance revealed that participants of all subgroups showed an attentive preference for unattractive areas of one's own body. Girls with AN-R attended significantly longer to unattractive body areas than both control groups and significantly shorter to attractive body areas than healthy controls. State body dissatisfaction was more prominent in all eating disorder subgroups, with significantly lower scores in BN compared to AN-R. In general, the higher the state body dissatisfaction, the stronger was the deficit orientation on one's own body. The attentional bias towards unattractive body areas, which is most pronounced in AN-R, indicates that interventions aiming to modify distorted attention might be promising in the prevention and treatment of eating disorders in adolescence.","author":[{"dropping-particle":"","family":"Bauer","given":"Anika","non-dropping-particle":"","parse-names":false,"suffix":""},{"dropping-particle":"","family":"Schneider","given":"Silvia","non-dropping-particle":"","parse-names":false,"suffix":""},{"dropping-particle":"","family":"Waldorf","given":"Manuel","non-dropping-particle":"","parse-names":false,"suffix":""},{"dropping-particle":"","family":"Braks","given":"Karsten","non-dropping-particle":"","parse-names":false,"suffix":""},{"dropping-particle":"","family":"Huber","given":"Thomas J","non-dropping-particle":"","parse-names":false,"suffix":""},{"dropping-particle":"","family":"Adolph","given":"Dirk","non-dropping-particle":"","parse-names":false,"suffix":""},{"dropping-particle":"","family":"Vocks","given":"Silja","non-dropping-particle":"","parse-names":false,"suffix":""}],"container-title":"Journal of abnormal child psychology","id":"ITEM-1","issue":"8","issued":{"date-parts":[["2017","11"]]},"language":"eng","page":"1647-1661","publisher-place":"United States","title":"Selective Visual Attention Towards Oneself and Associated State Body Satisfaction:  an Eye-Tracking Study in Adolescents with Different Types of Eating Disorders.","type":"article-journal","volume":"45"},"uris":["http://www.mendeley.com/documents/?uuid=02f4cc6a-f8e9-4f3e-9050-8f55c6bc2268"]}],"mendeley":{"formattedCitation":"[93]","plainTextFormattedCitation":"[93]","previouslyFormattedCitation":"[93]"},"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[93]</w:t>
            </w:r>
            <w:r w:rsidRPr="00517914">
              <w:rPr>
                <w:rFonts w:ascii="Times New Roman" w:hAnsi="Times New Roman" w:cs="Times New Roman"/>
                <w:lang w:val="en-US"/>
              </w:rPr>
              <w:fldChar w:fldCharType="end"/>
            </w:r>
          </w:p>
        </w:tc>
        <w:tc>
          <w:tcPr>
            <w:tcW w:w="2835" w:type="dxa"/>
          </w:tcPr>
          <w:p w14:paraId="73F86C53"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Good</w:t>
            </w:r>
          </w:p>
        </w:tc>
      </w:tr>
      <w:tr w:rsidR="00E45BEF" w:rsidRPr="00517914" w14:paraId="440BF5EC" w14:textId="77777777" w:rsidTr="001A7233">
        <w:tc>
          <w:tcPr>
            <w:tcW w:w="3118" w:type="dxa"/>
            <w:tcBorders>
              <w:bottom w:val="single" w:sz="4" w:space="0" w:color="auto"/>
            </w:tcBorders>
          </w:tcPr>
          <w:p w14:paraId="3FE9DD09" w14:textId="77777777" w:rsidR="00E45BEF" w:rsidRPr="00517914" w:rsidRDefault="00E45BEF" w:rsidP="00B12C33">
            <w:pPr>
              <w:jc w:val="center"/>
              <w:rPr>
                <w:rFonts w:ascii="Times New Roman" w:hAnsi="Times New Roman" w:cs="Times New Roman"/>
                <w:lang w:val="en-US"/>
              </w:rPr>
            </w:pPr>
            <w:proofErr w:type="spellStart"/>
            <w:r w:rsidRPr="00517914">
              <w:rPr>
                <w:rFonts w:ascii="Times New Roman" w:hAnsi="Times New Roman" w:cs="Times New Roman"/>
                <w:lang w:val="en-US"/>
              </w:rPr>
              <w:t>Horndasch</w:t>
            </w:r>
            <w:proofErr w:type="spellEnd"/>
            <w:r w:rsidRPr="00517914">
              <w:rPr>
                <w:rFonts w:ascii="Times New Roman" w:hAnsi="Times New Roman" w:cs="Times New Roman"/>
                <w:lang w:val="en-US"/>
              </w:rPr>
              <w:t xml:space="preserve"> et al. </w:t>
            </w:r>
            <w:r w:rsidRPr="00517914">
              <w:rPr>
                <w:rFonts w:ascii="Times New Roman" w:hAnsi="Times New Roman" w:cs="Times New Roman"/>
                <w:lang w:val="en-US"/>
              </w:rPr>
              <w:fldChar w:fldCharType="begin" w:fldLock="1"/>
            </w:r>
            <w:r w:rsidRPr="00517914">
              <w:rPr>
                <w:rFonts w:ascii="Times New Roman" w:hAnsi="Times New Roman" w:cs="Times New Roman"/>
                <w:lang w:val="en-US"/>
              </w:rPr>
              <w:instrText>ADDIN CSL_CITATION {"citationItems":[{"id":"ITEM-1","itemData":{"DOI":"10.1016/j.psychres.2011.12.029","ISSN":"1872-7123 (Electronic)","PMID":"22417927","abstract":"Visual attention allocation of adolescent girls with and without an eating disorder  while viewing body images of underweight, normal-weight and overweight women was studied using eye tracking. While all girls attended more to specific body parts (e.g. hips, upper legs), eating-disordered girls showed an attentional bias towards unclothed body parts.","author":[{"dropping-particle":"","family":"Horndasch","given":"Stefanie","non-dropping-particle":"","parse-names":false,"suffix":""},{"dropping-particle":"","family":"Kratz","given":"Oliver","non-dropping-particle":"","parse-names":false,"suffix":""},{"dropping-particle":"","family":"Holczinger","given":"Anna","non-dropping-particle":"","parse-names":false,"suffix":""},{"dropping-particle":"","family":"Heinrich","given":"Hartmut","non-dropping-particle":"","parse-names":false,"suffix":""},{"dropping-particle":"","family":"Hönig","given":"Florian","non-dropping-particle":"","parse-names":false,"suffix":""},{"dropping-particle":"","family":"Nöth","given":"Elmar","non-dropping-particle":"","parse-names":false,"suffix":""},{"dropping-particle":"","family":"Moll","given":"Gunther H","non-dropping-particle":"","parse-names":false,"suffix":""}],"container-title":"Psychiatry research","id":"ITEM-1","issue":"2","issued":{"date-parts":[["2012","7"]]},"language":"eng","page":"321-323","publisher-place":"Ireland","title":"\"Looks do matter\"--visual attentional biases in adolescent girls with eating  disorders viewing body images.","type":"article-journal","volume":"198"},"uris":["http://www.mendeley.com/documents/?uuid=78c68d53-8630-48f0-801c-2b13d9212914"]}],"mendeley":{"formattedCitation":"[94]","plainTextFormattedCitation":"[94]","previouslyFormattedCitation":"[94]"},"properties":{"noteIndex":0},"schema":"https://github.com/citation-style-language/schema/raw/master/csl-citation.json"}</w:instrText>
            </w:r>
            <w:r w:rsidRPr="00517914">
              <w:rPr>
                <w:rFonts w:ascii="Times New Roman" w:hAnsi="Times New Roman" w:cs="Times New Roman"/>
                <w:lang w:val="en-US"/>
              </w:rPr>
              <w:fldChar w:fldCharType="separate"/>
            </w:r>
            <w:r w:rsidRPr="00517914">
              <w:rPr>
                <w:rFonts w:ascii="Times New Roman" w:hAnsi="Times New Roman" w:cs="Times New Roman"/>
                <w:noProof/>
                <w:lang w:val="en-US"/>
              </w:rPr>
              <w:t>[94]</w:t>
            </w:r>
            <w:r w:rsidRPr="00517914">
              <w:rPr>
                <w:rFonts w:ascii="Times New Roman" w:hAnsi="Times New Roman" w:cs="Times New Roman"/>
                <w:lang w:val="en-US"/>
              </w:rPr>
              <w:fldChar w:fldCharType="end"/>
            </w:r>
          </w:p>
        </w:tc>
        <w:tc>
          <w:tcPr>
            <w:tcW w:w="2835" w:type="dxa"/>
            <w:tcBorders>
              <w:bottom w:val="single" w:sz="4" w:space="0" w:color="auto"/>
            </w:tcBorders>
          </w:tcPr>
          <w:p w14:paraId="09D17897" w14:textId="77777777" w:rsidR="00E45BEF" w:rsidRPr="00517914" w:rsidRDefault="00E45BEF" w:rsidP="00B12C33">
            <w:pPr>
              <w:jc w:val="center"/>
              <w:rPr>
                <w:rFonts w:ascii="Times New Roman" w:hAnsi="Times New Roman" w:cs="Times New Roman"/>
                <w:lang w:val="en-US"/>
              </w:rPr>
            </w:pPr>
            <w:r w:rsidRPr="00517914">
              <w:rPr>
                <w:rFonts w:ascii="Times New Roman" w:hAnsi="Times New Roman" w:cs="Times New Roman"/>
                <w:lang w:val="en-US"/>
              </w:rPr>
              <w:t>Fair</w:t>
            </w:r>
          </w:p>
        </w:tc>
      </w:tr>
    </w:tbl>
    <w:p w14:paraId="19E63A00" w14:textId="77777777" w:rsidR="00E45BEF" w:rsidRDefault="00E45BEF" w:rsidP="00E45BEF"/>
    <w:p w14:paraId="0FD2D9B2" w14:textId="77777777" w:rsidR="00E45BEF" w:rsidRPr="001E6777" w:rsidRDefault="00E45BEF">
      <w:pPr>
        <w:rPr>
          <w:rFonts w:ascii="Times New Roman" w:hAnsi="Times New Roman" w:cs="Times New Roman"/>
          <w:lang w:val="en-US"/>
        </w:rPr>
      </w:pPr>
    </w:p>
    <w:sectPr w:rsidR="00E45BEF" w:rsidRPr="001E6777" w:rsidSect="00BC284E">
      <w:pgSz w:w="11900" w:h="16840"/>
      <w:pgMar w:top="1417" w:right="1417" w:bottom="1134" w:left="141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84"/>
    <w:rsid w:val="001118C0"/>
    <w:rsid w:val="001A7233"/>
    <w:rsid w:val="001E6777"/>
    <w:rsid w:val="001F4784"/>
    <w:rsid w:val="002332D9"/>
    <w:rsid w:val="004A7B93"/>
    <w:rsid w:val="00653DA6"/>
    <w:rsid w:val="007C654C"/>
    <w:rsid w:val="007D5F98"/>
    <w:rsid w:val="007E74B2"/>
    <w:rsid w:val="008B6C18"/>
    <w:rsid w:val="0095302F"/>
    <w:rsid w:val="009B324E"/>
    <w:rsid w:val="00A54945"/>
    <w:rsid w:val="00A70175"/>
    <w:rsid w:val="00BC284E"/>
    <w:rsid w:val="00BE0CAA"/>
    <w:rsid w:val="00BE2103"/>
    <w:rsid w:val="00E45B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8F11B6C"/>
  <w14:defaultImageDpi w14:val="32767"/>
  <w15:chartTrackingRefBased/>
  <w15:docId w15:val="{76512685-422E-EA4D-A0FD-3DC42D9C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rsid w:val="001E6777"/>
  </w:style>
  <w:style w:type="character" w:styleId="Fett">
    <w:name w:val="Strong"/>
    <w:basedOn w:val="Absatz-Standardschriftart"/>
    <w:uiPriority w:val="22"/>
    <w:qFormat/>
    <w:rsid w:val="001E6777"/>
    <w:rPr>
      <w:b/>
      <w:bCs/>
    </w:rPr>
  </w:style>
  <w:style w:type="table" w:styleId="TabellemithellemGitternetz">
    <w:name w:val="Grid Table Light"/>
    <w:basedOn w:val="NormaleTabelle"/>
    <w:uiPriority w:val="40"/>
    <w:rsid w:val="00E45B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12521</Words>
  <Characters>72121</Characters>
  <Application>Microsoft Office Word</Application>
  <DocSecurity>0</DocSecurity>
  <Lines>1849</Lines>
  <Paragraphs>591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Maarit Pelzer</dc:creator>
  <cp:keywords/>
  <dc:description/>
  <cp:lastModifiedBy>Maarit Pelzer</cp:lastModifiedBy>
  <cp:revision>3</cp:revision>
  <dcterms:created xsi:type="dcterms:W3CDTF">2025-03-20T15:07:00Z</dcterms:created>
  <dcterms:modified xsi:type="dcterms:W3CDTF">2025-07-26T08:47:00Z</dcterms:modified>
</cp:coreProperties>
</file>