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BCDDE" w14:textId="3D201C48" w:rsidR="00EF0FCB" w:rsidRPr="00C645B0" w:rsidRDefault="00EF0FCB" w:rsidP="00EF0FCB">
      <w:pPr>
        <w:spacing w:line="257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C645B0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Appendix </w:t>
      </w:r>
      <w:r w:rsidR="00D04890" w:rsidRPr="00C645B0">
        <w:rPr>
          <w:rFonts w:ascii="Times New Roman" w:eastAsia="Times New Roman" w:hAnsi="Times New Roman" w:cs="Times New Roman"/>
          <w:sz w:val="24"/>
          <w:szCs w:val="24"/>
          <w:lang w:val="sr-Latn-RS"/>
        </w:rPr>
        <w:t>2</w:t>
      </w:r>
      <w:r w:rsidRPr="00C645B0">
        <w:rPr>
          <w:rFonts w:ascii="Times New Roman" w:eastAsia="Times New Roman" w:hAnsi="Times New Roman" w:cs="Times New Roman"/>
          <w:sz w:val="24"/>
          <w:szCs w:val="24"/>
          <w:lang w:val="sr-Latn-RS"/>
        </w:rPr>
        <w:t>. Analysis of covariance, predicting ISQ scores from demographic variables</w:t>
      </w:r>
      <w:r w:rsidR="00C359C3" w:rsidRPr="00C645B0"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16"/>
        <w:gridCol w:w="1125"/>
        <w:gridCol w:w="1954"/>
        <w:gridCol w:w="2285"/>
      </w:tblGrid>
      <w:tr w:rsidR="00EF0FCB" w:rsidRPr="00C645B0" w14:paraId="6D089CF5" w14:textId="77777777" w:rsidTr="009F20EB">
        <w:trPr>
          <w:trHeight w:val="300"/>
        </w:trPr>
        <w:tc>
          <w:tcPr>
            <w:tcW w:w="9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C859DEF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Predicting ISQ</w:t>
            </w:r>
          </w:p>
        </w:tc>
      </w:tr>
      <w:tr w:rsidR="00EF0FCB" w:rsidRPr="00C645B0" w14:paraId="3A70AAD4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E7A599D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  <w:tc>
          <w:tcPr>
            <w:tcW w:w="1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CCCA8E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 square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83806D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Adjusted R square</w:t>
            </w:r>
          </w:p>
        </w:tc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4E2C371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Statistical significance</w:t>
            </w:r>
          </w:p>
        </w:tc>
      </w:tr>
      <w:tr w:rsidR="00EF0FCB" w:rsidRPr="00C645B0" w14:paraId="0EF67642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566CB2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0.57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94AECD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02A28C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0.27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22B7EB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p&lt;0.01</w:t>
            </w:r>
          </w:p>
        </w:tc>
      </w:tr>
      <w:tr w:rsidR="00EF0FCB" w:rsidRPr="00C645B0" w14:paraId="6C3CD768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0238B2F" w14:textId="77777777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9F4F50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B25D3F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 statistic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B001AC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Statistical significance</w:t>
            </w:r>
          </w:p>
        </w:tc>
      </w:tr>
      <w:tr w:rsidR="00EF0FCB" w:rsidRPr="00C645B0" w14:paraId="716BA58A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520AC43" w14:textId="77777777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(Intercept)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7D6D5F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53.92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D97FB2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04B3A0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p&lt;0.01</w:t>
            </w:r>
          </w:p>
        </w:tc>
      </w:tr>
      <w:tr w:rsidR="00EF0FCB" w:rsidRPr="00C645B0" w14:paraId="7C610794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9BA839D" w14:textId="77777777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Gender identity (Non-binary or agender)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57E7D8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-5.31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65F9B9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-.39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2A0726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0.69</w:t>
            </w:r>
          </w:p>
        </w:tc>
      </w:tr>
      <w:tr w:rsidR="00EF0FCB" w:rsidRPr="00C645B0" w14:paraId="4406DFD7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16CC39C" w14:textId="77777777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Gender identity (Woman)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99017A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-12.32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DA7BEF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-.96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D17F21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0.34</w:t>
            </w:r>
          </w:p>
        </w:tc>
      </w:tr>
      <w:tr w:rsidR="00EF0FCB" w:rsidRPr="00C645B0" w14:paraId="075E79FC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6C6268D" w14:textId="77777777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Sexual orientation (Bisexual)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C1DB33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-9.15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02DD30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-1.22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EC53F9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0.22</w:t>
            </w:r>
          </w:p>
        </w:tc>
      </w:tr>
      <w:tr w:rsidR="00EF0FCB" w:rsidRPr="00C645B0" w14:paraId="1F32A14D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E7A7C35" w14:textId="77777777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Sexual orientation (Gay / Lesbian)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FBD7EB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-4.01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9723F9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-.51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4BB384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0.61</w:t>
            </w:r>
          </w:p>
        </w:tc>
      </w:tr>
      <w:tr w:rsidR="00EF0FCB" w:rsidRPr="00C645B0" w14:paraId="5E85942F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462D259" w14:textId="77777777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Sexual orientation (Pansexual)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2C9633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-20.46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8ACB5D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-2.53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A88866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0.01</w:t>
            </w:r>
          </w:p>
        </w:tc>
      </w:tr>
      <w:tr w:rsidR="00EF0FCB" w:rsidRPr="00C645B0" w14:paraId="0F2C1F69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592B4D4" w14:textId="4CA17275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Sexual orientation (Straight</w:t>
            </w:r>
            <w:r w:rsidR="0083618A" w:rsidRPr="00C645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/ </w:t>
            </w:r>
            <w:r w:rsidRPr="00C645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Heterosexual)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2FF61E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-19.76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01B337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-2.86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45286A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p&lt;0.01</w:t>
            </w:r>
          </w:p>
        </w:tc>
      </w:tr>
      <w:tr w:rsidR="00EF0FCB" w:rsidRPr="00C645B0" w14:paraId="009BECC7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ABDBBC4" w14:textId="77777777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Age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D916A9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471DAB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.83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4A25E0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0.41</w:t>
            </w:r>
          </w:p>
        </w:tc>
      </w:tr>
      <w:tr w:rsidR="00EF0FCB" w:rsidRPr="00C645B0" w14:paraId="5E678D47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8D73F11" w14:textId="77777777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Racial background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9B78E4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16.57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C907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21D14E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p&lt;0.01</w:t>
            </w:r>
          </w:p>
        </w:tc>
      </w:tr>
      <w:tr w:rsidR="00EF0FCB" w:rsidRPr="00C645B0" w14:paraId="1A176F11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5A3C4DE" w14:textId="77777777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Sex assigned at birth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C45DF4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22.55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55234C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1.68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37E34B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0.10</w:t>
            </w:r>
          </w:p>
        </w:tc>
      </w:tr>
      <w:tr w:rsidR="00EF0FCB" w:rsidRPr="00C645B0" w14:paraId="6516741A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00CA935" w14:textId="77777777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Living situation (Renting or assisted living)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C41B69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6.42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5C7E16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5DDDE6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0.24</w:t>
            </w:r>
          </w:p>
        </w:tc>
      </w:tr>
      <w:tr w:rsidR="00EF0FCB" w:rsidRPr="00C645B0" w14:paraId="1E346331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9710873" w14:textId="77777777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Living situation (Living with parents)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5DF90B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280FF5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.24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F918AB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0.81</w:t>
            </w:r>
          </w:p>
        </w:tc>
      </w:tr>
      <w:tr w:rsidR="00EF0FCB" w:rsidRPr="00C645B0" w14:paraId="62049347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ACE0712" w14:textId="77777777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Employed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22730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D63A9F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.29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93CBF8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0.78</w:t>
            </w:r>
          </w:p>
        </w:tc>
      </w:tr>
      <w:tr w:rsidR="00EF0FCB" w:rsidRPr="00C645B0" w14:paraId="6A4FB7C5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492EEBF" w14:textId="77777777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Student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DDFB10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F58150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6E8E23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0.89</w:t>
            </w:r>
          </w:p>
        </w:tc>
      </w:tr>
      <w:tr w:rsidR="00EF0FCB" w:rsidRPr="00C645B0" w14:paraId="48F6FBF5" w14:textId="77777777" w:rsidTr="009F20EB">
        <w:trPr>
          <w:trHeight w:val="300"/>
        </w:trPr>
        <w:tc>
          <w:tcPr>
            <w:tcW w:w="4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F49DF5B" w14:textId="77777777" w:rsidR="00EF0FCB" w:rsidRPr="00C645B0" w:rsidRDefault="00EF0FCB" w:rsidP="009F20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Retired and Unemployed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0A50EB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10.87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CF1D50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A46D04" w14:textId="77777777" w:rsidR="00EF0FCB" w:rsidRPr="00C645B0" w:rsidRDefault="00EF0FCB" w:rsidP="009F20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5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0.13</w:t>
            </w:r>
          </w:p>
        </w:tc>
      </w:tr>
    </w:tbl>
    <w:p w14:paraId="462CC71C" w14:textId="77777777" w:rsidR="00EF0FCB" w:rsidRPr="00C645B0" w:rsidRDefault="00EF0FCB" w:rsidP="00EF0FCB">
      <w:pPr>
        <w:rPr>
          <w:rFonts w:ascii="Times New Roman" w:eastAsia="Times New Roman" w:hAnsi="Times New Roman" w:cs="Times New Roman"/>
          <w:sz w:val="24"/>
          <w:szCs w:val="24"/>
        </w:rPr>
      </w:pPr>
      <w:r w:rsidRPr="00C645B0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Note.</w:t>
      </w:r>
      <w:r w:rsidRPr="00C645B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ISQ = Interoception Sensory Questionnaire. </w:t>
      </w:r>
      <w:r w:rsidRPr="00C645B0">
        <w:rPr>
          <w:rFonts w:ascii="Times New Roman" w:eastAsia="Times New Roman" w:hAnsi="Times New Roman" w:cs="Times New Roman"/>
          <w:sz w:val="24"/>
          <w:szCs w:val="24"/>
        </w:rPr>
        <w:t xml:space="preserve">This analysis of covariance examines the predictive value of demographic variables on ISQ total scores. </w:t>
      </w:r>
      <w:r w:rsidRPr="00C645B0">
        <w:rPr>
          <w:rFonts w:ascii="Times New Roman" w:eastAsia="Times New Roman" w:hAnsi="Times New Roman" w:cs="Times New Roman"/>
          <w:i/>
          <w:iCs/>
          <w:sz w:val="24"/>
          <w:szCs w:val="24"/>
        </w:rPr>
        <w:t>R</w:t>
      </w:r>
      <w:r w:rsidRPr="00C645B0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C645B0">
        <w:rPr>
          <w:rFonts w:ascii="Times New Roman" w:eastAsia="Times New Roman" w:hAnsi="Times New Roman" w:cs="Times New Roman"/>
          <w:i/>
          <w:iCs/>
          <w:sz w:val="24"/>
          <w:szCs w:val="24"/>
        </w:rPr>
        <w:t>R²</w:t>
      </w:r>
      <w:r w:rsidRPr="00C645B0">
        <w:rPr>
          <w:rFonts w:ascii="Times New Roman" w:eastAsia="Times New Roman" w:hAnsi="Times New Roman" w:cs="Times New Roman"/>
          <w:sz w:val="24"/>
          <w:szCs w:val="24"/>
        </w:rPr>
        <w:t xml:space="preserve"> represent the strength and proportion of variance explained by the model, respectively; adjusted </w:t>
      </w:r>
      <w:r w:rsidRPr="00C645B0">
        <w:rPr>
          <w:rFonts w:ascii="Times New Roman" w:eastAsia="Times New Roman" w:hAnsi="Times New Roman" w:cs="Times New Roman"/>
          <w:i/>
          <w:iCs/>
          <w:sz w:val="24"/>
          <w:szCs w:val="24"/>
        </w:rPr>
        <w:t>R²</w:t>
      </w:r>
      <w:r w:rsidRPr="00C645B0">
        <w:rPr>
          <w:rFonts w:ascii="Times New Roman" w:eastAsia="Times New Roman" w:hAnsi="Times New Roman" w:cs="Times New Roman"/>
          <w:sz w:val="24"/>
          <w:szCs w:val="24"/>
        </w:rPr>
        <w:t xml:space="preserve"> accounts for the number of predictors in the model. </w:t>
      </w:r>
      <w:r w:rsidRPr="00C645B0">
        <w:rPr>
          <w:rFonts w:ascii="Times New Roman" w:eastAsia="Times New Roman" w:hAnsi="Times New Roman" w:cs="Times New Roman"/>
          <w:i/>
          <w:iCs/>
          <w:sz w:val="24"/>
          <w:szCs w:val="24"/>
        </w:rPr>
        <w:t>B</w:t>
      </w:r>
      <w:r w:rsidRPr="00C645B0">
        <w:rPr>
          <w:rFonts w:ascii="Times New Roman" w:eastAsia="Times New Roman" w:hAnsi="Times New Roman" w:cs="Times New Roman"/>
          <w:sz w:val="24"/>
          <w:szCs w:val="24"/>
        </w:rPr>
        <w:t xml:space="preserve"> indicates the unstandardised regression coefficient, and </w:t>
      </w:r>
      <w:r w:rsidRPr="00C645B0"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 w:rsidRPr="00C645B0">
        <w:rPr>
          <w:rFonts w:ascii="Times New Roman" w:eastAsia="Times New Roman" w:hAnsi="Times New Roman" w:cs="Times New Roman"/>
          <w:sz w:val="24"/>
          <w:szCs w:val="24"/>
        </w:rPr>
        <w:t xml:space="preserve"> is the associated </w:t>
      </w:r>
      <w:r w:rsidRPr="00C645B0"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 w:rsidRPr="00C645B0">
        <w:rPr>
          <w:rFonts w:ascii="Times New Roman" w:eastAsia="Times New Roman" w:hAnsi="Times New Roman" w:cs="Times New Roman"/>
          <w:sz w:val="24"/>
          <w:szCs w:val="24"/>
        </w:rPr>
        <w:t xml:space="preserve">-statistic for each predictor. </w:t>
      </w:r>
      <w:r w:rsidRPr="00C645B0">
        <w:rPr>
          <w:rFonts w:ascii="Times New Roman" w:hAnsi="Times New Roman" w:cs="Times New Roman"/>
          <w:sz w:val="24"/>
          <w:szCs w:val="24"/>
        </w:rPr>
        <w:br/>
      </w:r>
      <w:r w:rsidRPr="00F42939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645B0">
        <w:rPr>
          <w:rFonts w:ascii="Times New Roman" w:eastAsia="Times New Roman" w:hAnsi="Times New Roman" w:cs="Times New Roman"/>
          <w:sz w:val="24"/>
          <w:szCs w:val="24"/>
        </w:rPr>
        <w:t xml:space="preserve">-values indicate statistical significance; bolded values meet the conventional threshold of </w:t>
      </w:r>
      <w:r w:rsidRPr="00F42939">
        <w:rPr>
          <w:rFonts w:ascii="Times New Roman" w:eastAsia="Times New Roman" w:hAnsi="Times New Roman" w:cs="Times New Roman"/>
          <w:sz w:val="24"/>
          <w:szCs w:val="24"/>
        </w:rPr>
        <w:t xml:space="preserve">p </w:t>
      </w:r>
      <w:r w:rsidRPr="00C645B0">
        <w:rPr>
          <w:rFonts w:ascii="Times New Roman" w:eastAsia="Times New Roman" w:hAnsi="Times New Roman" w:cs="Times New Roman"/>
          <w:sz w:val="24"/>
          <w:szCs w:val="24"/>
        </w:rPr>
        <w:t>&lt; .05.</w:t>
      </w:r>
    </w:p>
    <w:p w14:paraId="1DBB33F0" w14:textId="77777777" w:rsidR="00CA4DBF" w:rsidRDefault="00CA4DBF"/>
    <w:sectPr w:rsidR="00CA4D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A1A43" w14:textId="77777777" w:rsidR="00474C33" w:rsidRDefault="00474C33" w:rsidP="00521DD9">
      <w:pPr>
        <w:spacing w:after="0" w:line="240" w:lineRule="auto"/>
      </w:pPr>
      <w:r>
        <w:separator/>
      </w:r>
    </w:p>
  </w:endnote>
  <w:endnote w:type="continuationSeparator" w:id="0">
    <w:p w14:paraId="51429317" w14:textId="77777777" w:rsidR="00474C33" w:rsidRDefault="00474C33" w:rsidP="00521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4E550" w14:textId="77777777" w:rsidR="00474C33" w:rsidRDefault="00474C33" w:rsidP="00521DD9">
      <w:pPr>
        <w:spacing w:after="0" w:line="240" w:lineRule="auto"/>
      </w:pPr>
      <w:r>
        <w:separator/>
      </w:r>
    </w:p>
  </w:footnote>
  <w:footnote w:type="continuationSeparator" w:id="0">
    <w:p w14:paraId="1E504F8B" w14:textId="77777777" w:rsidR="00474C33" w:rsidRDefault="00474C33" w:rsidP="00521D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FCB"/>
    <w:rsid w:val="00111211"/>
    <w:rsid w:val="001F246F"/>
    <w:rsid w:val="002413E2"/>
    <w:rsid w:val="002E2D41"/>
    <w:rsid w:val="003B698A"/>
    <w:rsid w:val="00474C33"/>
    <w:rsid w:val="00521DD9"/>
    <w:rsid w:val="00524E8C"/>
    <w:rsid w:val="00601D18"/>
    <w:rsid w:val="0068420E"/>
    <w:rsid w:val="0083618A"/>
    <w:rsid w:val="008B76BD"/>
    <w:rsid w:val="008D1146"/>
    <w:rsid w:val="009061D4"/>
    <w:rsid w:val="00A94121"/>
    <w:rsid w:val="00B55153"/>
    <w:rsid w:val="00C359C3"/>
    <w:rsid w:val="00C645B0"/>
    <w:rsid w:val="00C9221C"/>
    <w:rsid w:val="00CA4DBF"/>
    <w:rsid w:val="00CB6ECC"/>
    <w:rsid w:val="00D04890"/>
    <w:rsid w:val="00EF0FCB"/>
    <w:rsid w:val="00F42939"/>
    <w:rsid w:val="00FD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0ACCD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FCB"/>
  </w:style>
  <w:style w:type="paragraph" w:styleId="Heading1">
    <w:name w:val="heading 1"/>
    <w:basedOn w:val="Normal"/>
    <w:next w:val="Normal"/>
    <w:link w:val="Heading1Char"/>
    <w:uiPriority w:val="9"/>
    <w:qFormat/>
    <w:rsid w:val="00EF0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F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F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F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F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F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F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F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F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F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F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F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F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F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FC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1D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DD9"/>
  </w:style>
  <w:style w:type="paragraph" w:styleId="Footer">
    <w:name w:val="footer"/>
    <w:basedOn w:val="Normal"/>
    <w:link w:val="FooterChar"/>
    <w:uiPriority w:val="99"/>
    <w:unhideWhenUsed/>
    <w:rsid w:val="00521D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2025-09-19T05:50:00Z</dcterms:created>
  <dcterms:modified xsi:type="dcterms:W3CDTF">2025-12-18T06:45:00Z</dcterms:modified>
</cp:coreProperties>
</file>