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E32C8">
      <w:pPr>
        <w:pStyle w:val="31"/>
        <w:keepNext/>
      </w:pPr>
      <w:r>
        <w:rPr>
          <w:color w:val="000000"/>
        </w:rPr>
        <w:t>Additional file 1</w:t>
      </w:r>
      <w:r>
        <w:rPr>
          <w:rFonts w:hint="eastAsia"/>
          <w:color w:val="000000"/>
          <w:lang w:val="en-US" w:eastAsia="zh-CN"/>
        </w:rPr>
        <w:t xml:space="preserve"> </w:t>
      </w:r>
      <w:r>
        <w:rPr>
          <w:color w:val="000000"/>
        </w:rPr>
        <w:t>Registration differences classification definitions and reporting considerations</w:t>
      </w:r>
    </w:p>
    <w:p w14:paraId="36EE65F1">
      <w:pPr>
        <w:keepNext w:val="0"/>
      </w:pPr>
      <w:r>
        <w:rPr>
          <w:color w:val="000000"/>
        </w:rPr>
        <w:t>Table 1 documents registration and implementation differences. Tables 2–5 define the classifications used in the revised evidence maps. Table 6 summarizes reporting considerations.</w:t>
      </w:r>
    </w:p>
    <w:p w14:paraId="1BB995E4">
      <w:pPr>
        <w:pStyle w:val="4"/>
        <w:keepNext/>
      </w:pPr>
      <w:r>
        <w:rPr>
          <w:color w:val="000000"/>
        </w:rPr>
        <w:t>Table 1 Registered and implemented review procedures</w:t>
      </w:r>
    </w:p>
    <w:tbl>
      <w:tblPr>
        <w:tblStyle w:val="32"/>
        <w:tblW w:w="0" w:type="auto"/>
        <w:jc w:val="center"/>
        <w:tblLayout w:type="fixed"/>
        <w:tblCellMar>
          <w:top w:w="0" w:type="dxa"/>
          <w:left w:w="108" w:type="dxa"/>
          <w:bottom w:w="0" w:type="dxa"/>
          <w:right w:w="108" w:type="dxa"/>
        </w:tblCellMar>
      </w:tblPr>
      <w:tblGrid>
        <w:gridCol w:w="1728"/>
        <w:gridCol w:w="2736"/>
        <w:gridCol w:w="2635"/>
        <w:gridCol w:w="2506"/>
      </w:tblGrid>
      <w:tr w14:paraId="5EBC102A">
        <w:trPr>
          <w:cantSplit/>
          <w:tblHeader/>
          <w:jc w:val="center"/>
        </w:trPr>
        <w:tc>
          <w:tcPr>
            <w:tcW w:w="1728"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36BE8FE7">
            <w:pPr>
              <w:spacing w:before="20" w:after="40" w:line="252" w:lineRule="auto"/>
            </w:pPr>
            <w:r>
              <w:rPr>
                <w:rFonts w:ascii="Times New Roman" w:hAnsi="Times New Roman"/>
                <w:b/>
                <w:color w:val="000000"/>
                <w:sz w:val="18"/>
              </w:rPr>
              <w:t>Issue and original location</w:t>
            </w:r>
          </w:p>
        </w:tc>
        <w:tc>
          <w:tcPr>
            <w:tcW w:w="2736"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5E0084A6">
            <w:pPr>
              <w:spacing w:before="20" w:after="40" w:line="252" w:lineRule="auto"/>
            </w:pPr>
            <w:r>
              <w:rPr>
                <w:rFonts w:ascii="Times New Roman" w:hAnsi="Times New Roman"/>
                <w:b/>
                <w:color w:val="000000"/>
                <w:sz w:val="18"/>
              </w:rPr>
              <w:t>Original registered text</w:t>
            </w:r>
          </w:p>
        </w:tc>
        <w:tc>
          <w:tcPr>
            <w:tcW w:w="2635"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5E97853F">
            <w:pPr>
              <w:spacing w:before="20" w:after="40" w:line="252" w:lineRule="auto"/>
            </w:pPr>
            <w:r>
              <w:rPr>
                <w:rFonts w:ascii="Times New Roman" w:hAnsi="Times New Roman"/>
                <w:b/>
                <w:color w:val="000000"/>
                <w:sz w:val="18"/>
              </w:rPr>
              <w:t>Submitted manuscript or actual implementation if unreported</w:t>
            </w:r>
          </w:p>
        </w:tc>
        <w:tc>
          <w:tcPr>
            <w:tcW w:w="2506"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01C0CDEE">
            <w:pPr>
              <w:spacing w:before="20" w:after="40" w:line="252" w:lineRule="auto"/>
            </w:pPr>
            <w:r>
              <w:rPr>
                <w:rFonts w:ascii="Times New Roman" w:hAnsi="Times New Roman"/>
                <w:b/>
                <w:color w:val="000000"/>
                <w:sz w:val="18"/>
              </w:rPr>
              <w:t>Correction and location</w:t>
            </w:r>
          </w:p>
        </w:tc>
      </w:tr>
      <w:tr w14:paraId="70C58A5E">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3EC95134">
            <w:pPr>
              <w:spacing w:before="20" w:after="40" w:line="252" w:lineRule="auto"/>
            </w:pPr>
            <w:r>
              <w:rPr>
                <w:rFonts w:ascii="Times New Roman" w:hAnsi="Times New Roman"/>
                <w:color w:val="000000"/>
                <w:sz w:val="18"/>
              </w:rPr>
              <w:t>1 Registration stage</w:t>
            </w:r>
            <w:r>
              <w:rPr>
                <w:rFonts w:ascii="Times New Roman" w:hAnsi="Times New Roman"/>
                <w:color w:val="000000"/>
                <w:sz w:val="18"/>
              </w:rPr>
              <w:br w:type="textWrapping"/>
            </w:r>
            <w:r>
              <w:rPr>
                <w:rFonts w:ascii="Times New Roman" w:hAnsi="Times New Roman"/>
                <w:color w:val="000000"/>
                <w:sz w:val="18"/>
              </w:rPr>
              <w:t>Current review stage, paragraph 1. Manuscript §2.1</w:t>
            </w:r>
          </w:p>
        </w:tc>
        <w:tc>
          <w:tcPr>
            <w:tcW w:w="2736" w:type="dxa"/>
            <w:tcBorders>
              <w:top w:val="nil"/>
              <w:left w:val="nil"/>
              <w:bottom w:val="nil"/>
              <w:right w:val="nil"/>
            </w:tcBorders>
            <w:tcMar>
              <w:top w:w="65" w:type="dxa"/>
              <w:left w:w="65" w:type="dxa"/>
              <w:bottom w:w="65" w:type="dxa"/>
              <w:right w:w="65" w:type="dxa"/>
            </w:tcMar>
            <w:vAlign w:val="center"/>
          </w:tcPr>
          <w:p w14:paraId="1C3AFB9E">
            <w:pPr>
              <w:spacing w:before="20" w:after="40" w:line="252" w:lineRule="auto"/>
            </w:pPr>
            <w:r>
              <w:rPr>
                <w:rFonts w:ascii="Times New Roman" w:hAnsi="Times New Roman"/>
                <w:color w:val="000000"/>
                <w:sz w:val="18"/>
              </w:rPr>
              <w:t>Formal data charting, verification, synthesis, and reporting are ongoing and have not yet been finalized.</w:t>
            </w:r>
          </w:p>
        </w:tc>
        <w:tc>
          <w:tcPr>
            <w:tcW w:w="2635" w:type="dxa"/>
            <w:tcBorders>
              <w:top w:val="nil"/>
              <w:left w:val="nil"/>
              <w:bottom w:val="nil"/>
              <w:right w:val="nil"/>
            </w:tcBorders>
            <w:tcMar>
              <w:top w:w="65" w:type="dxa"/>
              <w:left w:w="65" w:type="dxa"/>
              <w:bottom w:w="65" w:type="dxa"/>
              <w:right w:w="65" w:type="dxa"/>
            </w:tcMar>
            <w:vAlign w:val="center"/>
          </w:tcPr>
          <w:p w14:paraId="2BFD6C7F">
            <w:pPr>
              <w:spacing w:before="20" w:after="40" w:line="252" w:lineRule="auto"/>
            </w:pPr>
            <w:r>
              <w:rPr>
                <w:rFonts w:ascii="Times New Roman" w:hAnsi="Times New Roman"/>
                <w:color w:val="000000"/>
                <w:sz w:val="18"/>
              </w:rPr>
              <w:t xml:space="preserve">“The OSF registration was created after the initial database search and screening had </w:t>
            </w:r>
            <w:r>
              <w:rPr>
                <w:rFonts w:hint="eastAsia" w:ascii="Times New Roman" w:hAnsi="Times New Roman"/>
                <w:color w:val="000000"/>
                <w:sz w:val="18"/>
              </w:rPr>
              <w:t>been completed</w:t>
            </w:r>
            <w:r>
              <w:rPr>
                <w:rFonts w:ascii="Times New Roman" w:hAnsi="Times New Roman"/>
                <w:color w:val="000000"/>
                <w:sz w:val="18"/>
              </w:rPr>
              <w:t xml:space="preserve"> but before formal data charting and synthesis.”</w:t>
            </w:r>
            <w:bookmarkStart w:id="0" w:name="_GoBack"/>
            <w:bookmarkEnd w:id="0"/>
          </w:p>
        </w:tc>
        <w:tc>
          <w:tcPr>
            <w:tcW w:w="2506" w:type="dxa"/>
            <w:tcBorders>
              <w:top w:val="nil"/>
              <w:left w:val="nil"/>
              <w:bottom w:val="nil"/>
              <w:right w:val="nil"/>
            </w:tcBorders>
            <w:tcMar>
              <w:top w:w="65" w:type="dxa"/>
              <w:left w:w="65" w:type="dxa"/>
              <w:bottom w:w="65" w:type="dxa"/>
              <w:right w:w="65" w:type="dxa"/>
            </w:tcMar>
            <w:vAlign w:val="center"/>
          </w:tcPr>
          <w:p w14:paraId="394328B9">
            <w:pPr>
              <w:spacing w:before="20" w:after="40" w:line="252" w:lineRule="auto"/>
            </w:pPr>
            <w:r>
              <w:rPr>
                <w:rFonts w:ascii="Times New Roman" w:hAnsi="Times New Roman"/>
                <w:color w:val="000000"/>
                <w:sz w:val="18"/>
              </w:rPr>
              <w:t>Clarified in §2.1 and the dated OSF amendment. The protocol preceded formal charting. The review had entered that stage at registration, but formal charting had not begun. The original dated record is retained.</w:t>
            </w:r>
          </w:p>
        </w:tc>
      </w:tr>
      <w:tr w14:paraId="5C723B85">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786E3FCC">
            <w:pPr>
              <w:spacing w:before="20" w:after="40" w:line="252" w:lineRule="auto"/>
            </w:pPr>
            <w:r>
              <w:rPr>
                <w:rFonts w:ascii="Times New Roman" w:hAnsi="Times New Roman"/>
                <w:color w:val="000000"/>
                <w:sz w:val="18"/>
              </w:rPr>
              <w:t>2a Screening</w:t>
            </w:r>
            <w:r>
              <w:rPr>
                <w:rFonts w:ascii="Times New Roman" w:hAnsi="Times New Roman"/>
                <w:color w:val="000000"/>
                <w:sz w:val="18"/>
              </w:rPr>
              <w:br w:type="textWrapping"/>
            </w:r>
            <w:r>
              <w:rPr>
                <w:rFonts w:ascii="Times New Roman" w:hAnsi="Times New Roman"/>
                <w:color w:val="000000"/>
                <w:sz w:val="18"/>
              </w:rPr>
              <w:t>Screening reliability, paragraphs 3–4. §2.4</w:t>
            </w:r>
          </w:p>
        </w:tc>
        <w:tc>
          <w:tcPr>
            <w:tcW w:w="2736" w:type="dxa"/>
            <w:tcBorders>
              <w:top w:val="nil"/>
              <w:left w:val="nil"/>
              <w:bottom w:val="nil"/>
              <w:right w:val="nil"/>
            </w:tcBorders>
            <w:tcMar>
              <w:top w:w="65" w:type="dxa"/>
              <w:left w:w="65" w:type="dxa"/>
              <w:bottom w:w="65" w:type="dxa"/>
              <w:right w:w="65" w:type="dxa"/>
            </w:tcMar>
            <w:vAlign w:val="center"/>
          </w:tcPr>
          <w:p w14:paraId="20FB6AB1">
            <w:pPr>
              <w:spacing w:before="20" w:after="40" w:line="252" w:lineRule="auto"/>
            </w:pPr>
            <w:r>
              <w:rPr>
                <w:rFonts w:ascii="Times New Roman" w:hAnsi="Times New Roman"/>
                <w:color w:val="000000"/>
                <w:sz w:val="18"/>
              </w:rPr>
              <w:t>“Uncertain or boundary cases will be checked through consensus discussion, and a second reviewer may verify selected records where needed.”</w:t>
            </w:r>
            <w:r>
              <w:rPr>
                <w:rFonts w:ascii="Times New Roman" w:hAnsi="Times New Roman"/>
                <w:color w:val="000000"/>
                <w:sz w:val="18"/>
              </w:rPr>
              <w:br w:type="textWrapping"/>
            </w:r>
            <w:r>
              <w:rPr>
                <w:rFonts w:ascii="Times New Roman" w:hAnsi="Times New Roman"/>
                <w:color w:val="000000"/>
                <w:sz w:val="18"/>
              </w:rPr>
              <w:t>“Agreement statistics such as Cohen’s kappa are not planned unless an independently screened calibration subset is completed and reported separately.”</w:t>
            </w:r>
          </w:p>
        </w:tc>
        <w:tc>
          <w:tcPr>
            <w:tcW w:w="2635" w:type="dxa"/>
            <w:tcBorders>
              <w:top w:val="nil"/>
              <w:left w:val="nil"/>
              <w:bottom w:val="nil"/>
              <w:right w:val="nil"/>
            </w:tcBorders>
            <w:tcMar>
              <w:top w:w="65" w:type="dxa"/>
              <w:left w:w="65" w:type="dxa"/>
              <w:bottom w:w="65" w:type="dxa"/>
              <w:right w:w="65" w:type="dxa"/>
            </w:tcMar>
            <w:vAlign w:val="center"/>
          </w:tcPr>
          <w:p w14:paraId="59D624A6">
            <w:pPr>
              <w:spacing w:before="20" w:after="40" w:line="252" w:lineRule="auto"/>
            </w:pPr>
            <w:r>
              <w:rPr>
                <w:rFonts w:ascii="Times New Roman" w:hAnsi="Times New Roman"/>
                <w:color w:val="000000"/>
                <w:sz w:val="18"/>
              </w:rPr>
              <w:t>“Two reviewers (LZ and JY) first independently screened a random 20% sample of records at both the title/abstract and full-text stages. After high inter-rater agreement was demonstrated, the remaining records were screened by one reviewer (LZ) alone.”</w:t>
            </w:r>
          </w:p>
        </w:tc>
        <w:tc>
          <w:tcPr>
            <w:tcW w:w="2506" w:type="dxa"/>
            <w:tcBorders>
              <w:top w:val="nil"/>
              <w:left w:val="nil"/>
              <w:bottom w:val="nil"/>
              <w:right w:val="nil"/>
            </w:tcBorders>
            <w:tcMar>
              <w:top w:w="65" w:type="dxa"/>
              <w:left w:w="65" w:type="dxa"/>
              <w:bottom w:w="65" w:type="dxa"/>
              <w:right w:w="65" w:type="dxa"/>
            </w:tcMar>
            <w:vAlign w:val="center"/>
          </w:tcPr>
          <w:p w14:paraId="1F29762C">
            <w:pPr>
              <w:spacing w:before="20" w:after="40" w:line="252" w:lineRule="auto"/>
            </w:pPr>
            <w:r>
              <w:rPr>
                <w:rFonts w:ascii="Times New Roman" w:hAnsi="Times New Roman"/>
                <w:color w:val="000000"/>
                <w:sz w:val="18"/>
              </w:rPr>
              <w:t>§2.4 and the dated amendment specify random-number-table sampling and revision-stage calculation from pre-consensus records. Agreement was 95.3%/88.1%, κ 0.71/0.73.</w:t>
            </w:r>
          </w:p>
        </w:tc>
      </w:tr>
      <w:tr w14:paraId="4003152A">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440583DD">
            <w:pPr>
              <w:spacing w:before="20" w:after="40" w:line="252" w:lineRule="auto"/>
            </w:pPr>
            <w:r>
              <w:rPr>
                <w:rFonts w:ascii="Times New Roman" w:hAnsi="Times New Roman"/>
                <w:color w:val="000000"/>
                <w:sz w:val="18"/>
              </w:rPr>
              <w:t>2b Charting</w:t>
            </w:r>
            <w:r>
              <w:rPr>
                <w:rFonts w:ascii="Times New Roman" w:hAnsi="Times New Roman"/>
                <w:color w:val="000000"/>
                <w:sz w:val="18"/>
              </w:rPr>
              <w:br w:type="textWrapping"/>
            </w:r>
            <w:r>
              <w:rPr>
                <w:rFonts w:ascii="Times New Roman" w:hAnsi="Times New Roman"/>
                <w:color w:val="000000"/>
                <w:sz w:val="18"/>
              </w:rPr>
              <w:t>Extraction reliability, paragraphs 1 and 4. §2.5</w:t>
            </w:r>
          </w:p>
        </w:tc>
        <w:tc>
          <w:tcPr>
            <w:tcW w:w="2736" w:type="dxa"/>
            <w:tcBorders>
              <w:top w:val="nil"/>
              <w:left w:val="nil"/>
              <w:bottom w:val="nil"/>
              <w:right w:val="nil"/>
            </w:tcBorders>
            <w:tcMar>
              <w:top w:w="65" w:type="dxa"/>
              <w:left w:w="65" w:type="dxa"/>
              <w:bottom w:w="65" w:type="dxa"/>
              <w:right w:w="65" w:type="dxa"/>
            </w:tcMar>
            <w:vAlign w:val="center"/>
          </w:tcPr>
          <w:p w14:paraId="48A653F0">
            <w:pPr>
              <w:spacing w:before="20" w:after="40" w:line="252" w:lineRule="auto"/>
            </w:pPr>
            <w:r>
              <w:rPr>
                <w:rFonts w:ascii="Times New Roman" w:hAnsi="Times New Roman"/>
                <w:color w:val="000000"/>
                <w:sz w:val="18"/>
              </w:rPr>
              <w:t>Main data charting will be conducted by one primary extractor using the structured extraction workbook and predefined field definitions.</w:t>
            </w:r>
            <w:r>
              <w:rPr>
                <w:rFonts w:ascii="Times New Roman" w:hAnsi="Times New Roman"/>
                <w:color w:val="000000"/>
                <w:sz w:val="18"/>
              </w:rPr>
              <w:br w:type="textWrapping"/>
            </w:r>
            <w:r>
              <w:rPr>
                <w:rFonts w:ascii="Times New Roman" w:hAnsi="Times New Roman"/>
                <w:color w:val="000000"/>
                <w:sz w:val="18"/>
              </w:rPr>
              <w:t>No formal extractor agreement statistic is planned unless an independently extracted verification subset is completed and reported separately.</w:t>
            </w:r>
          </w:p>
        </w:tc>
        <w:tc>
          <w:tcPr>
            <w:tcW w:w="2635" w:type="dxa"/>
            <w:tcBorders>
              <w:top w:val="nil"/>
              <w:left w:val="nil"/>
              <w:bottom w:val="nil"/>
              <w:right w:val="nil"/>
            </w:tcBorders>
            <w:tcMar>
              <w:top w:w="65" w:type="dxa"/>
              <w:left w:w="65" w:type="dxa"/>
              <w:bottom w:w="65" w:type="dxa"/>
              <w:right w:w="65" w:type="dxa"/>
            </w:tcMar>
            <w:vAlign w:val="center"/>
          </w:tcPr>
          <w:p w14:paraId="02D605AA">
            <w:pPr>
              <w:spacing w:before="20" w:after="40" w:line="252" w:lineRule="auto"/>
            </w:pPr>
            <w:r>
              <w:rPr>
                <w:rFonts w:ascii="Times New Roman" w:hAnsi="Times New Roman"/>
                <w:color w:val="000000"/>
                <w:sz w:val="18"/>
              </w:rPr>
              <w:t>“JY and LZ independently extracted a random 20% sample to establish inter-rater reliability. After sufficient agreement was demonstrated, JY proceeded to extract data from all remaining studies.”</w:t>
            </w:r>
          </w:p>
        </w:tc>
        <w:tc>
          <w:tcPr>
            <w:tcW w:w="2506" w:type="dxa"/>
            <w:tcBorders>
              <w:top w:val="nil"/>
              <w:left w:val="nil"/>
              <w:bottom w:val="nil"/>
              <w:right w:val="nil"/>
            </w:tcBorders>
            <w:tcMar>
              <w:top w:w="65" w:type="dxa"/>
              <w:left w:w="65" w:type="dxa"/>
              <w:bottom w:w="65" w:type="dxa"/>
              <w:right w:w="65" w:type="dxa"/>
            </w:tcMar>
            <w:vAlign w:val="center"/>
          </w:tcPr>
          <w:p w14:paraId="02228A55">
            <w:pPr>
              <w:spacing w:before="20" w:after="40" w:line="252" w:lineRule="auto"/>
            </w:pPr>
            <w:r>
              <w:rPr>
                <w:rFonts w:ascii="Times New Roman" w:hAnsi="Times New Roman"/>
                <w:color w:val="000000"/>
                <w:sz w:val="18"/>
              </w:rPr>
              <w:t>§2.5 and the dated amendment describe independent random 20% charting, consensus and why no coefficient is reported. Unsupported “sufficient agreement” wording is removed.</w:t>
            </w:r>
          </w:p>
        </w:tc>
      </w:tr>
      <w:tr w14:paraId="28A4A70C">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53C879E7">
            <w:pPr>
              <w:spacing w:before="20" w:after="40" w:line="252" w:lineRule="auto"/>
            </w:pPr>
            <w:r>
              <w:rPr>
                <w:rFonts w:ascii="Times New Roman" w:hAnsi="Times New Roman"/>
                <w:color w:val="000000"/>
                <w:sz w:val="18"/>
              </w:rPr>
              <w:t>3 Intervention families</w:t>
            </w:r>
            <w:r>
              <w:rPr>
                <w:rFonts w:ascii="Times New Roman" w:hAnsi="Times New Roman"/>
                <w:color w:val="000000"/>
                <w:sz w:val="18"/>
              </w:rPr>
              <w:br w:type="textWrapping"/>
            </w:r>
            <w:r>
              <w:rPr>
                <w:rFonts w:ascii="Times New Roman" w:hAnsi="Times New Roman"/>
                <w:color w:val="000000"/>
                <w:sz w:val="18"/>
              </w:rPr>
              <w:t>Planned data transformations, paragraph 2. §2.6</w:t>
            </w:r>
          </w:p>
        </w:tc>
        <w:tc>
          <w:tcPr>
            <w:tcW w:w="2736" w:type="dxa"/>
            <w:tcBorders>
              <w:top w:val="nil"/>
              <w:left w:val="nil"/>
              <w:bottom w:val="nil"/>
              <w:right w:val="nil"/>
            </w:tcBorders>
            <w:tcMar>
              <w:top w:w="65" w:type="dxa"/>
              <w:left w:w="65" w:type="dxa"/>
              <w:bottom w:w="65" w:type="dxa"/>
              <w:right w:w="65" w:type="dxa"/>
            </w:tcMar>
            <w:vAlign w:val="center"/>
          </w:tcPr>
          <w:p w14:paraId="2A4755DF">
            <w:pPr>
              <w:spacing w:before="20" w:after="40" w:line="252" w:lineRule="auto"/>
            </w:pPr>
            <w:r>
              <w:rPr>
                <w:rFonts w:ascii="Times New Roman" w:hAnsi="Times New Roman"/>
                <w:color w:val="000000"/>
                <w:sz w:val="18"/>
              </w:rPr>
              <w:t>“grouping psychotherapy models into broader intervention categories”</w:t>
            </w:r>
          </w:p>
        </w:tc>
        <w:tc>
          <w:tcPr>
            <w:tcW w:w="2635" w:type="dxa"/>
            <w:tcBorders>
              <w:top w:val="nil"/>
              <w:left w:val="nil"/>
              <w:bottom w:val="nil"/>
              <w:right w:val="nil"/>
            </w:tcBorders>
            <w:tcMar>
              <w:top w:w="65" w:type="dxa"/>
              <w:left w:w="65" w:type="dxa"/>
              <w:bottom w:w="65" w:type="dxa"/>
              <w:right w:w="65" w:type="dxa"/>
            </w:tcMar>
            <w:vAlign w:val="center"/>
          </w:tcPr>
          <w:p w14:paraId="0ADB9953">
            <w:pPr>
              <w:spacing w:before="20" w:after="40" w:line="252" w:lineRule="auto"/>
            </w:pPr>
            <w:r>
              <w:rPr>
                <w:rFonts w:ascii="Times New Roman" w:hAnsi="Times New Roman"/>
                <w:color w:val="000000"/>
                <w:sz w:val="18"/>
              </w:rPr>
              <w:t>“Interventions were grouped into six broad families according to their primary theoretical mechanism of change or therapeutic target.”</w:t>
            </w:r>
          </w:p>
        </w:tc>
        <w:tc>
          <w:tcPr>
            <w:tcW w:w="2506" w:type="dxa"/>
            <w:tcBorders>
              <w:top w:val="nil"/>
              <w:left w:val="nil"/>
              <w:bottom w:val="nil"/>
              <w:right w:val="nil"/>
            </w:tcBorders>
            <w:tcMar>
              <w:top w:w="65" w:type="dxa"/>
              <w:left w:w="65" w:type="dxa"/>
              <w:bottom w:w="65" w:type="dxa"/>
              <w:right w:w="65" w:type="dxa"/>
            </w:tcMar>
            <w:vAlign w:val="center"/>
          </w:tcPr>
          <w:p w14:paraId="6D86B7CF">
            <w:pPr>
              <w:spacing w:before="20" w:after="40" w:line="252" w:lineRule="auto"/>
            </w:pPr>
            <w:r>
              <w:rPr>
                <w:rFonts w:ascii="Times New Roman" w:hAnsi="Times New Roman"/>
                <w:color w:val="000000"/>
                <w:sz w:val="18"/>
              </w:rPr>
              <w:t>§2.6, §5 and the dated amendment state that categories developed during synthesis, with team discussion, one-person coding and second-person checking. Additional files 1 and 4 give variables and definitions.</w:t>
            </w:r>
          </w:p>
        </w:tc>
      </w:tr>
      <w:tr w14:paraId="37FA47D4">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1DCF8E07">
            <w:pPr>
              <w:spacing w:before="20" w:after="40" w:line="252" w:lineRule="auto"/>
            </w:pPr>
            <w:r>
              <w:rPr>
                <w:rFonts w:ascii="Times New Roman" w:hAnsi="Times New Roman"/>
                <w:color w:val="000000"/>
                <w:sz w:val="18"/>
              </w:rPr>
              <w:t>4 Comparator aggregation</w:t>
            </w:r>
            <w:r>
              <w:rPr>
                <w:rFonts w:ascii="Times New Roman" w:hAnsi="Times New Roman"/>
                <w:color w:val="000000"/>
                <w:sz w:val="18"/>
              </w:rPr>
              <w:br w:type="textWrapping"/>
            </w:r>
            <w:r>
              <w:rPr>
                <w:rFonts w:ascii="Times New Roman" w:hAnsi="Times New Roman"/>
                <w:color w:val="000000"/>
                <w:sz w:val="18"/>
              </w:rPr>
              <w:t>Entities to extract, paragraph 4. Table 1 and §3.4</w:t>
            </w:r>
          </w:p>
        </w:tc>
        <w:tc>
          <w:tcPr>
            <w:tcW w:w="2736" w:type="dxa"/>
            <w:tcBorders>
              <w:top w:val="nil"/>
              <w:left w:val="nil"/>
              <w:bottom w:val="nil"/>
              <w:right w:val="nil"/>
            </w:tcBorders>
            <w:tcMar>
              <w:top w:w="65" w:type="dxa"/>
              <w:left w:w="65" w:type="dxa"/>
              <w:bottom w:w="65" w:type="dxa"/>
              <w:right w:w="65" w:type="dxa"/>
            </w:tcMar>
            <w:vAlign w:val="center"/>
          </w:tcPr>
          <w:p w14:paraId="596D611F">
            <w:pPr>
              <w:spacing w:before="20" w:after="40" w:line="252" w:lineRule="auto"/>
            </w:pPr>
            <w:r>
              <w:rPr>
                <w:rFonts w:ascii="Times New Roman" w:hAnsi="Times New Roman"/>
                <w:color w:val="000000"/>
                <w:sz w:val="18"/>
              </w:rPr>
              <w:t>Comparator entities include comparator type, such as waitlist, treatment as usual, active psychological comparator, attention/placebo control, self-help comparator, non-psychological active comparator, or other comparison condition, as well as a brief description of comparator content.</w:t>
            </w:r>
          </w:p>
        </w:tc>
        <w:tc>
          <w:tcPr>
            <w:tcW w:w="2635" w:type="dxa"/>
            <w:tcBorders>
              <w:top w:val="nil"/>
              <w:left w:val="nil"/>
              <w:bottom w:val="nil"/>
              <w:right w:val="nil"/>
            </w:tcBorders>
            <w:tcMar>
              <w:top w:w="65" w:type="dxa"/>
              <w:left w:w="65" w:type="dxa"/>
              <w:bottom w:w="65" w:type="dxa"/>
              <w:right w:w="65" w:type="dxa"/>
            </w:tcMar>
            <w:vAlign w:val="center"/>
          </w:tcPr>
          <w:p w14:paraId="77ABDB21">
            <w:pPr>
              <w:spacing w:before="20" w:after="40" w:line="252" w:lineRule="auto"/>
            </w:pPr>
            <w:r>
              <w:rPr>
                <w:rFonts w:ascii="Times New Roman" w:hAnsi="Times New Roman"/>
                <w:color w:val="000000"/>
                <w:sz w:val="18"/>
              </w:rPr>
              <w:t>Table 1: “Waitlist”; “TAU/usual care”; “Active comparator/control”.</w:t>
            </w:r>
            <w:r>
              <w:rPr>
                <w:rFonts w:ascii="Times New Roman" w:hAnsi="Times New Roman"/>
                <w:color w:val="000000"/>
                <w:sz w:val="18"/>
              </w:rPr>
              <w:br w:type="textWrapping"/>
            </w:r>
            <w:r>
              <w:rPr>
                <w:rFonts w:ascii="Times New Roman" w:hAnsi="Times New Roman"/>
                <w:color w:val="000000"/>
                <w:sz w:val="18"/>
              </w:rPr>
              <w:t>§3.4: “This pathway represents a conventional head-to-head design in which therapist-delivered CBT or CBT-E is compared with another active psychotherapy.”</w:t>
            </w:r>
          </w:p>
        </w:tc>
        <w:tc>
          <w:tcPr>
            <w:tcW w:w="2506" w:type="dxa"/>
            <w:tcBorders>
              <w:top w:val="nil"/>
              <w:left w:val="nil"/>
              <w:bottom w:val="nil"/>
              <w:right w:val="nil"/>
            </w:tcBorders>
            <w:tcMar>
              <w:top w:w="65" w:type="dxa"/>
              <w:left w:w="65" w:type="dxa"/>
              <w:bottom w:w="65" w:type="dxa"/>
              <w:right w:w="65" w:type="dxa"/>
            </w:tcMar>
            <w:vAlign w:val="center"/>
          </w:tcPr>
          <w:p w14:paraId="0FAF0834">
            <w:pPr>
              <w:spacing w:before="20" w:after="40" w:line="252" w:lineRule="auto"/>
            </w:pPr>
            <w:r>
              <w:rPr>
                <w:rFonts w:ascii="Times New Roman" w:hAnsi="Times New Roman"/>
                <w:color w:val="000000"/>
                <w:sz w:val="18"/>
              </w:rPr>
              <w:t>§2.6, §3.4, §5 and the dated amendment describe aggregation during synthesis and second-person checking. Detailed comparator types and final groups are linked in Additional file 4. Active control is no longer equated with psychotherapy alone.</w:t>
            </w:r>
          </w:p>
        </w:tc>
      </w:tr>
      <w:tr w14:paraId="2CE69020">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486FA6EA">
            <w:pPr>
              <w:spacing w:before="20" w:after="40" w:line="252" w:lineRule="auto"/>
            </w:pPr>
            <w:r>
              <w:rPr>
                <w:rFonts w:ascii="Times New Roman" w:hAnsi="Times New Roman"/>
                <w:color w:val="000000"/>
                <w:sz w:val="18"/>
              </w:rPr>
              <w:t>5 Outcomes and display</w:t>
            </w:r>
            <w:r>
              <w:rPr>
                <w:rFonts w:ascii="Times New Roman" w:hAnsi="Times New Roman"/>
                <w:color w:val="000000"/>
                <w:sz w:val="18"/>
              </w:rPr>
              <w:br w:type="textWrapping"/>
            </w:r>
            <w:r>
              <w:rPr>
                <w:rFonts w:ascii="Times New Roman" w:hAnsi="Times New Roman"/>
                <w:color w:val="000000"/>
                <w:sz w:val="18"/>
              </w:rPr>
              <w:t>Entities to extract, paragraph 5. Planned data transformations, paragraph 3. §2.6</w:t>
            </w:r>
          </w:p>
        </w:tc>
        <w:tc>
          <w:tcPr>
            <w:tcW w:w="2736" w:type="dxa"/>
            <w:tcBorders>
              <w:top w:val="nil"/>
              <w:left w:val="nil"/>
              <w:bottom w:val="nil"/>
              <w:right w:val="nil"/>
            </w:tcBorders>
            <w:tcMar>
              <w:top w:w="65" w:type="dxa"/>
              <w:left w:w="65" w:type="dxa"/>
              <w:bottom w:w="65" w:type="dxa"/>
              <w:right w:w="65" w:type="dxa"/>
            </w:tcMar>
            <w:vAlign w:val="center"/>
          </w:tcPr>
          <w:p w14:paraId="52F3516F">
            <w:pPr>
              <w:spacing w:before="20" w:after="40" w:line="252" w:lineRule="auto"/>
            </w:pPr>
            <w:r>
              <w:rPr>
                <w:rFonts w:ascii="Times New Roman" w:hAnsi="Times New Roman"/>
                <w:color w:val="000000"/>
                <w:sz w:val="18"/>
              </w:rPr>
              <w:t>“directionality of reported findings where appropriate”</w:t>
            </w:r>
            <w:r>
              <w:rPr>
                <w:rFonts w:ascii="Times New Roman" w:hAnsi="Times New Roman"/>
                <w:color w:val="000000"/>
                <w:sz w:val="18"/>
              </w:rPr>
              <w:br w:type="textWrapping"/>
            </w:r>
            <w:r>
              <w:rPr>
                <w:rFonts w:ascii="Times New Roman" w:hAnsi="Times New Roman"/>
                <w:color w:val="000000"/>
                <w:sz w:val="18"/>
              </w:rPr>
              <w:t>“For studies reporting multiple outcomes or multiple time points, outcome-level records will be retained separately and may be aggregated descriptively by outcome domain, time point category, or follow-up duration.”</w:t>
            </w:r>
          </w:p>
        </w:tc>
        <w:tc>
          <w:tcPr>
            <w:tcW w:w="2635" w:type="dxa"/>
            <w:tcBorders>
              <w:top w:val="nil"/>
              <w:left w:val="nil"/>
              <w:bottom w:val="nil"/>
              <w:right w:val="nil"/>
            </w:tcBorders>
            <w:tcMar>
              <w:top w:w="65" w:type="dxa"/>
              <w:left w:w="65" w:type="dxa"/>
              <w:bottom w:w="65" w:type="dxa"/>
              <w:right w:w="65" w:type="dxa"/>
            </w:tcMar>
            <w:vAlign w:val="center"/>
          </w:tcPr>
          <w:p w14:paraId="35F25CE1">
            <w:pPr>
              <w:spacing w:before="20" w:after="40" w:line="252" w:lineRule="auto"/>
            </w:pPr>
            <w:r>
              <w:rPr>
                <w:rFonts w:ascii="Times New Roman" w:hAnsi="Times New Roman"/>
                <w:color w:val="000000"/>
                <w:sz w:val="18"/>
              </w:rPr>
              <w:t>“The direction of reported post-treatment between-group results was coded descriptively as favoring the experimental intervention, showing no clear between-group difference, favoring the comparator, or mixed or unclear.”</w:t>
            </w:r>
          </w:p>
        </w:tc>
        <w:tc>
          <w:tcPr>
            <w:tcW w:w="2506" w:type="dxa"/>
            <w:tcBorders>
              <w:top w:val="nil"/>
              <w:left w:val="nil"/>
              <w:bottom w:val="nil"/>
              <w:right w:val="nil"/>
            </w:tcBorders>
            <w:tcMar>
              <w:top w:w="65" w:type="dxa"/>
              <w:left w:w="65" w:type="dxa"/>
              <w:bottom w:w="65" w:type="dxa"/>
              <w:right w:w="65" w:type="dxa"/>
            </w:tcMar>
            <w:vAlign w:val="center"/>
          </w:tcPr>
          <w:p w14:paraId="3670CB5D">
            <w:pPr>
              <w:spacing w:before="20" w:after="40" w:line="252" w:lineRule="auto"/>
            </w:pPr>
            <w:r>
              <w:rPr>
                <w:rFonts w:ascii="Times New Roman" w:hAnsi="Times New Roman"/>
                <w:color w:val="000000"/>
                <w:sz w:val="18"/>
              </w:rPr>
              <w:t>§2.5–2.6 define item-level directions. Domain-level direction aggregation is removed. A targeted outcome-domain check supports the coverage heatmap, counting each RCT once per domain/diagnosis. Additional file 4, figures, results and discussion are updated. The dated amendment records the review and counting rule.</w:t>
            </w:r>
          </w:p>
        </w:tc>
      </w:tr>
      <w:tr w14:paraId="352E67CE">
        <w:trPr>
          <w:cantSplit/>
          <w:jc w:val="center"/>
        </w:trPr>
        <w:tc>
          <w:tcPr>
            <w:tcW w:w="1728" w:type="dxa"/>
            <w:tcBorders>
              <w:top w:val="nil"/>
              <w:left w:val="nil"/>
              <w:bottom w:val="nil"/>
              <w:right w:val="nil"/>
            </w:tcBorders>
            <w:tcMar>
              <w:top w:w="65" w:type="dxa"/>
              <w:left w:w="65" w:type="dxa"/>
              <w:bottom w:w="65" w:type="dxa"/>
              <w:right w:w="65" w:type="dxa"/>
            </w:tcMar>
            <w:vAlign w:val="center"/>
          </w:tcPr>
          <w:p w14:paraId="43163F79">
            <w:pPr>
              <w:spacing w:before="20" w:after="40" w:line="252" w:lineRule="auto"/>
            </w:pPr>
            <w:r>
              <w:rPr>
                <w:rFonts w:ascii="Times New Roman" w:hAnsi="Times New Roman"/>
                <w:color w:val="000000"/>
                <w:sz w:val="18"/>
              </w:rPr>
              <w:t>6 Search documentation</w:t>
            </w:r>
            <w:r>
              <w:rPr>
                <w:rFonts w:ascii="Times New Roman" w:hAnsi="Times New Roman"/>
                <w:color w:val="000000"/>
                <w:sz w:val="18"/>
              </w:rPr>
              <w:br w:type="textWrapping"/>
            </w:r>
            <w:r>
              <w:rPr>
                <w:rFonts w:ascii="Times New Roman" w:hAnsi="Times New Roman"/>
                <w:color w:val="000000"/>
                <w:sz w:val="18"/>
              </w:rPr>
              <w:t>Archived search attachment. Interfaces. §2.3 and Additional file 2</w:t>
            </w:r>
          </w:p>
        </w:tc>
        <w:tc>
          <w:tcPr>
            <w:tcW w:w="2736" w:type="dxa"/>
            <w:tcBorders>
              <w:top w:val="nil"/>
              <w:left w:val="nil"/>
              <w:bottom w:val="nil"/>
              <w:right w:val="nil"/>
            </w:tcBorders>
            <w:tcMar>
              <w:top w:w="65" w:type="dxa"/>
              <w:left w:w="65" w:type="dxa"/>
              <w:bottom w:w="65" w:type="dxa"/>
              <w:right w:w="65" w:type="dxa"/>
            </w:tcMar>
            <w:vAlign w:val="center"/>
          </w:tcPr>
          <w:p w14:paraId="669C0BD2">
            <w:pPr>
              <w:spacing w:before="20" w:after="40" w:line="252" w:lineRule="auto"/>
            </w:pPr>
            <w:r>
              <w:rPr>
                <w:rFonts w:ascii="Times New Roman" w:hAnsi="Times New Roman"/>
                <w:color w:val="000000"/>
                <w:sz w:val="18"/>
              </w:rPr>
              <w:t>Archived attachment: “Filters: English language; publication date from 2013-01-01 onward.” (PubMed); “Limiters: English language; publication date from 2013-01-01.” (PsycINFO); “Ovid/Embase”.</w:t>
            </w:r>
          </w:p>
        </w:tc>
        <w:tc>
          <w:tcPr>
            <w:tcW w:w="2635" w:type="dxa"/>
            <w:tcBorders>
              <w:top w:val="nil"/>
              <w:left w:val="nil"/>
              <w:bottom w:val="nil"/>
              <w:right w:val="nil"/>
            </w:tcBorders>
            <w:tcMar>
              <w:top w:w="65" w:type="dxa"/>
              <w:left w:w="65" w:type="dxa"/>
              <w:bottom w:w="65" w:type="dxa"/>
              <w:right w:w="65" w:type="dxa"/>
            </w:tcMar>
            <w:vAlign w:val="center"/>
          </w:tcPr>
          <w:p w14:paraId="66FDD9CD">
            <w:pPr>
              <w:spacing w:before="20" w:after="40" w:line="252" w:lineRule="auto"/>
            </w:pPr>
            <w:r>
              <w:rPr>
                <w:rFonts w:ascii="Times New Roman" w:hAnsi="Times New Roman"/>
                <w:color w:val="000000"/>
                <w:sz w:val="18"/>
              </w:rPr>
              <w:t>§2.3: “An English-language limit was applied in Embase, whereas language eligibility was assessed during screening for PubMed, PsycINFO, and CENTRAL.”</w:t>
            </w:r>
            <w:r>
              <w:rPr>
                <w:rFonts w:ascii="Times New Roman" w:hAnsi="Times New Roman"/>
                <w:color w:val="000000"/>
                <w:sz w:val="18"/>
              </w:rPr>
              <w:br w:type="textWrapping"/>
            </w:r>
            <w:r>
              <w:rPr>
                <w:rFonts w:ascii="Times New Roman" w:hAnsi="Times New Roman"/>
                <w:color w:val="000000"/>
                <w:sz w:val="18"/>
              </w:rPr>
              <w:t>Additional file 2: “Interface: Embase.com”.</w:t>
            </w:r>
          </w:p>
        </w:tc>
        <w:tc>
          <w:tcPr>
            <w:tcW w:w="2506" w:type="dxa"/>
            <w:tcBorders>
              <w:top w:val="nil"/>
              <w:left w:val="nil"/>
              <w:bottom w:val="nil"/>
              <w:right w:val="nil"/>
            </w:tcBorders>
            <w:tcMar>
              <w:top w:w="65" w:type="dxa"/>
              <w:left w:w="65" w:type="dxa"/>
              <w:bottom w:w="65" w:type="dxa"/>
              <w:right w:w="65" w:type="dxa"/>
            </w:tcMar>
            <w:vAlign w:val="center"/>
          </w:tcPr>
          <w:p w14:paraId="352BC8CD">
            <w:pPr>
              <w:spacing w:before="20" w:after="40" w:line="252" w:lineRule="auto"/>
            </w:pPr>
            <w:r>
              <w:rPr>
                <w:rFonts w:ascii="Times New Roman" w:hAnsi="Times New Roman"/>
                <w:color w:val="000000"/>
                <w:sz w:val="18"/>
              </w:rPr>
              <w:t>The dated OSF correction and revised search attachment specify the executed limits and Embase.com platform. The original archive is retained. §2.3 and Additional file 3 retain the search-history-supported description.</w:t>
            </w:r>
          </w:p>
        </w:tc>
      </w:tr>
      <w:tr w14:paraId="3C34EA72">
        <w:trPr>
          <w:cantSplit/>
          <w:jc w:val="center"/>
        </w:trPr>
        <w:tc>
          <w:tcPr>
            <w:tcW w:w="1728" w:type="dxa"/>
            <w:tcBorders>
              <w:top w:val="nil"/>
              <w:left w:val="nil"/>
              <w:bottom w:val="single" w:color="000000" w:sz="6" w:space="0"/>
              <w:right w:val="nil"/>
            </w:tcBorders>
            <w:tcMar>
              <w:top w:w="65" w:type="dxa"/>
              <w:left w:w="65" w:type="dxa"/>
              <w:bottom w:w="65" w:type="dxa"/>
              <w:right w:w="65" w:type="dxa"/>
            </w:tcMar>
            <w:vAlign w:val="center"/>
          </w:tcPr>
          <w:p w14:paraId="28FB8FB3">
            <w:pPr>
              <w:spacing w:before="20" w:after="40" w:line="252" w:lineRule="auto"/>
            </w:pPr>
            <w:r>
              <w:rPr>
                <w:rFonts w:ascii="Times New Roman" w:hAnsi="Times New Roman"/>
                <w:color w:val="000000"/>
                <w:sz w:val="18"/>
              </w:rPr>
              <w:t>7 Supplementary searches</w:t>
            </w:r>
            <w:r>
              <w:rPr>
                <w:rFonts w:ascii="Times New Roman" w:hAnsi="Times New Roman"/>
                <w:color w:val="000000"/>
                <w:sz w:val="18"/>
              </w:rPr>
              <w:br w:type="textWrapping"/>
            </w:r>
            <w:r>
              <w:rPr>
                <w:rFonts w:ascii="Times New Roman" w:hAnsi="Times New Roman"/>
                <w:color w:val="000000"/>
                <w:sz w:val="18"/>
              </w:rPr>
              <w:t>Other search strategies, paragraph 2. §2.3 and Additional file 2</w:t>
            </w:r>
          </w:p>
        </w:tc>
        <w:tc>
          <w:tcPr>
            <w:tcW w:w="2736" w:type="dxa"/>
            <w:tcBorders>
              <w:top w:val="nil"/>
              <w:left w:val="nil"/>
              <w:bottom w:val="single" w:color="000000" w:sz="6" w:space="0"/>
              <w:right w:val="nil"/>
            </w:tcBorders>
            <w:tcMar>
              <w:top w:w="65" w:type="dxa"/>
              <w:left w:w="65" w:type="dxa"/>
              <w:bottom w:w="65" w:type="dxa"/>
              <w:right w:w="65" w:type="dxa"/>
            </w:tcMar>
            <w:vAlign w:val="center"/>
          </w:tcPr>
          <w:p w14:paraId="05CB11F7">
            <w:pPr>
              <w:spacing w:before="20" w:after="40" w:line="252" w:lineRule="auto"/>
            </w:pPr>
            <w:r>
              <w:rPr>
                <w:rFonts w:ascii="Times New Roman" w:hAnsi="Times New Roman"/>
                <w:color w:val="000000"/>
                <w:sz w:val="18"/>
              </w:rPr>
              <w:t>Backward citation searching will be used to check the reference lists of included studies and relevant systematic reviews or meta-analyses identified during the database searches. Forward citation searching may be used for key included studies or high-yield review articles, using citation-tracking tools such as Google Scholar or other available citation indexes.</w:t>
            </w:r>
          </w:p>
        </w:tc>
        <w:tc>
          <w:tcPr>
            <w:tcW w:w="2635" w:type="dxa"/>
            <w:tcBorders>
              <w:top w:val="nil"/>
              <w:left w:val="nil"/>
              <w:bottom w:val="single" w:color="000000" w:sz="6" w:space="0"/>
              <w:right w:val="nil"/>
            </w:tcBorders>
            <w:tcMar>
              <w:top w:w="65" w:type="dxa"/>
              <w:left w:w="65" w:type="dxa"/>
              <w:bottom w:w="65" w:type="dxa"/>
              <w:right w:w="65" w:type="dxa"/>
            </w:tcMar>
            <w:vAlign w:val="center"/>
          </w:tcPr>
          <w:p w14:paraId="70226258">
            <w:pPr>
              <w:spacing w:before="20" w:after="40" w:line="252" w:lineRule="auto"/>
            </w:pPr>
            <w:r>
              <w:rPr>
                <w:rFonts w:ascii="Times New Roman" w:hAnsi="Times New Roman"/>
                <w:color w:val="000000"/>
                <w:sz w:val="18"/>
              </w:rPr>
              <w:t>Not specified in the submitted manuscript. In practice, backward/forward citation searching and other supplementary searches were not conducted.</w:t>
            </w:r>
          </w:p>
        </w:tc>
        <w:tc>
          <w:tcPr>
            <w:tcW w:w="2506" w:type="dxa"/>
            <w:tcBorders>
              <w:top w:val="nil"/>
              <w:left w:val="nil"/>
              <w:bottom w:val="single" w:color="000000" w:sz="6" w:space="0"/>
              <w:right w:val="nil"/>
            </w:tcBorders>
            <w:tcMar>
              <w:top w:w="65" w:type="dxa"/>
              <w:left w:w="65" w:type="dxa"/>
              <w:bottom w:w="65" w:type="dxa"/>
              <w:right w:w="65" w:type="dxa"/>
            </w:tcMar>
            <w:vAlign w:val="center"/>
          </w:tcPr>
          <w:p w14:paraId="6FED0106">
            <w:pPr>
              <w:spacing w:before="20" w:after="40" w:line="252" w:lineRule="auto"/>
            </w:pPr>
            <w:r>
              <w:rPr>
                <w:rFonts w:ascii="Times New Roman" w:hAnsi="Times New Roman"/>
                <w:color w:val="000000"/>
                <w:sz w:val="18"/>
              </w:rPr>
              <w:t>§5, Additional file 3 and the dated amendment now report nonimplementation and the possibility of missed eligible trials.</w:t>
            </w:r>
          </w:p>
        </w:tc>
      </w:tr>
    </w:tbl>
    <w:p w14:paraId="222E3F7A">
      <w:pPr>
        <w:keepNext w:val="0"/>
        <w:spacing w:line="240" w:lineRule="auto"/>
      </w:pPr>
      <w:r>
        <w:rPr>
          <w:rFonts w:hint="eastAsia"/>
          <w:color w:val="000000"/>
          <w:lang w:val="en-US" w:eastAsia="zh-CN"/>
        </w:rPr>
        <w:t xml:space="preserve">Note. </w:t>
      </w:r>
      <w:r>
        <w:rPr>
          <w:color w:val="000000"/>
        </w:rPr>
        <w:t>Quoted text reproduces the original registration or submitted manuscript. Seven topics are shown, with screening and charting separated as 2a and 2b. Corrections, implementation details and synthesis refinements are distinguished. The original registration and attachments are retained. The amendment dated 28 September 2026 was added in response to peer review. Attachment numbers in quotations refer to the submitted version. Former Additional files 1, 2 and 3 are now Additional files 2, 3 and 4, respectively.</w:t>
      </w:r>
      <w:r>
        <w:rPr>
          <w:rFonts w:hint="eastAsia"/>
          <w:color w:val="000000"/>
          <w:lang w:val="en-US" w:eastAsia="zh-CN"/>
        </w:rPr>
        <w:t xml:space="preserve"> </w:t>
      </w:r>
      <w:r>
        <w:rPr>
          <w:color w:val="000000"/>
        </w:rPr>
        <w:t>Registration: Zheng L. Evidence Map of Psychological Treatment Randomized Controlled Trials for Eating Disorders: A Scoping Review. OSF Registries. 2026. doi:10.17605/OSF.IO/APSD7. Paragraph numbers refer to the original form responses. The search-document row refers to the archived search attachment.</w:t>
      </w:r>
    </w:p>
    <w:p w14:paraId="2E05AE96">
      <w:r>
        <w:br w:type="page"/>
      </w:r>
    </w:p>
    <w:p w14:paraId="687A8C17">
      <w:pPr>
        <w:pStyle w:val="4"/>
        <w:keepNext/>
      </w:pPr>
      <w:r>
        <w:rPr>
          <w:color w:val="000000"/>
        </w:rPr>
        <w:t>Table 2 Intervention families</w:t>
      </w:r>
    </w:p>
    <w:tbl>
      <w:tblPr>
        <w:tblStyle w:val="32"/>
        <w:tblW w:w="0" w:type="auto"/>
        <w:jc w:val="center"/>
        <w:tblLayout w:type="fixed"/>
        <w:tblCellMar>
          <w:top w:w="0" w:type="dxa"/>
          <w:left w:w="108" w:type="dxa"/>
          <w:bottom w:w="0" w:type="dxa"/>
          <w:right w:w="108" w:type="dxa"/>
        </w:tblCellMar>
      </w:tblPr>
      <w:tblGrid>
        <w:gridCol w:w="2232"/>
        <w:gridCol w:w="4680"/>
        <w:gridCol w:w="2693"/>
      </w:tblGrid>
      <w:tr w14:paraId="333547C4">
        <w:trPr>
          <w:cantSplit/>
          <w:tblHeader/>
          <w:jc w:val="center"/>
        </w:trPr>
        <w:tc>
          <w:tcPr>
            <w:tcW w:w="2232"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07D407C7">
            <w:pPr>
              <w:spacing w:before="20" w:after="40" w:line="252" w:lineRule="auto"/>
            </w:pPr>
            <w:r>
              <w:rPr>
                <w:rFonts w:ascii="Times New Roman" w:hAnsi="Times New Roman"/>
                <w:b/>
                <w:color w:val="000000"/>
                <w:sz w:val="19"/>
              </w:rPr>
              <w:t>Category</w:t>
            </w:r>
          </w:p>
        </w:tc>
        <w:tc>
          <w:tcPr>
            <w:tcW w:w="4680"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5ED3BDFC">
            <w:pPr>
              <w:spacing w:before="20" w:after="40" w:line="252" w:lineRule="auto"/>
            </w:pPr>
            <w:r>
              <w:rPr>
                <w:rFonts w:ascii="Times New Roman" w:hAnsi="Times New Roman"/>
                <w:b/>
                <w:color w:val="000000"/>
                <w:sz w:val="19"/>
              </w:rPr>
              <w:t>Included treatment types or source-label examples</w:t>
            </w:r>
          </w:p>
        </w:tc>
        <w:tc>
          <w:tcPr>
            <w:tcW w:w="2693"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0693203F">
            <w:pPr>
              <w:spacing w:before="20" w:after="40" w:line="252" w:lineRule="auto"/>
            </w:pPr>
            <w:r>
              <w:rPr>
                <w:rFonts w:ascii="Times New Roman" w:hAnsi="Times New Roman"/>
                <w:b/>
                <w:color w:val="000000"/>
                <w:sz w:val="19"/>
              </w:rPr>
              <w:t>Brief definition</w:t>
            </w:r>
          </w:p>
        </w:tc>
      </w:tr>
      <w:tr w14:paraId="1A90CB2A">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0F0314BB">
            <w:pPr>
              <w:spacing w:before="20" w:after="40" w:line="252" w:lineRule="auto"/>
            </w:pPr>
            <w:r>
              <w:rPr>
                <w:rFonts w:ascii="Times New Roman" w:hAnsi="Times New Roman"/>
                <w:color w:val="000000"/>
                <w:sz w:val="19"/>
              </w:rPr>
              <w:t>Cognitive-behavioral and behavioral approaches</w:t>
            </w:r>
          </w:p>
        </w:tc>
        <w:tc>
          <w:tcPr>
            <w:tcW w:w="4680" w:type="dxa"/>
            <w:tcBorders>
              <w:top w:val="nil"/>
              <w:left w:val="nil"/>
              <w:bottom w:val="nil"/>
              <w:right w:val="nil"/>
            </w:tcBorders>
            <w:tcMar>
              <w:top w:w="65" w:type="dxa"/>
              <w:left w:w="65" w:type="dxa"/>
              <w:bottom w:w="65" w:type="dxa"/>
              <w:right w:w="65" w:type="dxa"/>
            </w:tcMar>
            <w:vAlign w:val="center"/>
          </w:tcPr>
          <w:p w14:paraId="6A4552C7">
            <w:pPr>
              <w:spacing w:before="20" w:after="40" w:line="252" w:lineRule="auto"/>
            </w:pPr>
            <w:r>
              <w:rPr>
                <w:rFonts w:ascii="Times New Roman" w:hAnsi="Times New Roman"/>
                <w:color w:val="000000"/>
                <w:sz w:val="19"/>
              </w:rPr>
              <w:t>CBT/CBT-E and self-help or digital variants (CBT-T, CBTm, CBT-RR, LEAP, IMPULS). Behavioral activation and REaCH. HAPIFED, ROC+BWL and PED-t. Body Project, PBI and self-esteem interventions. Featback, TCApp, Noom Monitor and Recovery Record.</w:t>
            </w:r>
          </w:p>
        </w:tc>
        <w:tc>
          <w:tcPr>
            <w:tcW w:w="2693" w:type="dxa"/>
            <w:tcBorders>
              <w:top w:val="nil"/>
              <w:left w:val="nil"/>
              <w:bottom w:val="nil"/>
              <w:right w:val="nil"/>
            </w:tcBorders>
            <w:tcMar>
              <w:top w:w="65" w:type="dxa"/>
              <w:left w:w="65" w:type="dxa"/>
              <w:bottom w:w="65" w:type="dxa"/>
              <w:right w:w="65" w:type="dxa"/>
            </w:tcMar>
            <w:vAlign w:val="center"/>
          </w:tcPr>
          <w:p w14:paraId="52F71B87">
            <w:pPr>
              <w:spacing w:before="20" w:after="40" w:line="252" w:lineRule="auto"/>
            </w:pPr>
            <w:r>
              <w:rPr>
                <w:rFonts w:ascii="Times New Roman" w:hAnsi="Times New Roman"/>
                <w:color w:val="000000"/>
                <w:sz w:val="19"/>
              </w:rPr>
              <w:t>Approaches primarily targeting maladaptive cognitions and behaviors.</w:t>
            </w:r>
          </w:p>
        </w:tc>
      </w:tr>
      <w:tr w14:paraId="0128416E">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762B65DD">
            <w:pPr>
              <w:spacing w:before="20" w:after="40" w:line="252" w:lineRule="auto"/>
            </w:pPr>
            <w:r>
              <w:rPr>
                <w:rFonts w:ascii="Times New Roman" w:hAnsi="Times New Roman"/>
                <w:color w:val="000000"/>
                <w:sz w:val="19"/>
              </w:rPr>
              <w:t>Contextual, mindfulness and emotion-regulation approaches</w:t>
            </w:r>
          </w:p>
        </w:tc>
        <w:tc>
          <w:tcPr>
            <w:tcW w:w="4680" w:type="dxa"/>
            <w:tcBorders>
              <w:top w:val="nil"/>
              <w:left w:val="nil"/>
              <w:bottom w:val="nil"/>
              <w:right w:val="nil"/>
            </w:tcBorders>
            <w:tcMar>
              <w:top w:w="65" w:type="dxa"/>
              <w:left w:w="65" w:type="dxa"/>
              <w:bottom w:w="65" w:type="dxa"/>
              <w:right w:w="65" w:type="dxa"/>
            </w:tcMar>
            <w:vAlign w:val="center"/>
          </w:tcPr>
          <w:p w14:paraId="52EDF069">
            <w:pPr>
              <w:spacing w:before="20" w:after="40" w:line="252" w:lineRule="auto"/>
            </w:pPr>
            <w:r>
              <w:rPr>
                <w:rFonts w:ascii="Times New Roman" w:hAnsi="Times New Roman"/>
                <w:color w:val="000000"/>
                <w:sz w:val="19"/>
              </w:rPr>
              <w:t>ACT. DBT and self-help variants, including Wise Eating. MABT. CFT-E, CARE, self-compassion and letter-writing interventions. Emotion-focused therapy.</w:t>
            </w:r>
          </w:p>
        </w:tc>
        <w:tc>
          <w:tcPr>
            <w:tcW w:w="2693" w:type="dxa"/>
            <w:tcBorders>
              <w:top w:val="nil"/>
              <w:left w:val="nil"/>
              <w:bottom w:val="nil"/>
              <w:right w:val="nil"/>
            </w:tcBorders>
            <w:tcMar>
              <w:top w:w="65" w:type="dxa"/>
              <w:left w:w="65" w:type="dxa"/>
              <w:bottom w:w="65" w:type="dxa"/>
              <w:right w:w="65" w:type="dxa"/>
            </w:tcMar>
            <w:vAlign w:val="center"/>
          </w:tcPr>
          <w:p w14:paraId="3E350237">
            <w:pPr>
              <w:spacing w:before="20" w:after="40" w:line="252" w:lineRule="auto"/>
            </w:pPr>
            <w:r>
              <w:rPr>
                <w:rFonts w:ascii="Times New Roman" w:hAnsi="Times New Roman"/>
                <w:color w:val="000000"/>
                <w:sz w:val="19"/>
              </w:rPr>
              <w:t>Approaches emphasizing acceptance, mindfulness, self-compassion or emotional processing.</w:t>
            </w:r>
          </w:p>
        </w:tc>
      </w:tr>
      <w:tr w14:paraId="42E9407B">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6EAAA64B">
            <w:pPr>
              <w:spacing w:before="20" w:after="40" w:line="252" w:lineRule="auto"/>
            </w:pPr>
            <w:r>
              <w:rPr>
                <w:rFonts w:ascii="Times New Roman" w:hAnsi="Times New Roman"/>
                <w:color w:val="000000"/>
                <w:sz w:val="19"/>
              </w:rPr>
              <w:t>Family- and carer-oriented approaches</w:t>
            </w:r>
          </w:p>
        </w:tc>
        <w:tc>
          <w:tcPr>
            <w:tcW w:w="4680" w:type="dxa"/>
            <w:tcBorders>
              <w:top w:val="nil"/>
              <w:left w:val="nil"/>
              <w:bottom w:val="nil"/>
              <w:right w:val="nil"/>
            </w:tcBorders>
            <w:tcMar>
              <w:top w:w="65" w:type="dxa"/>
              <w:left w:w="65" w:type="dxa"/>
              <w:bottom w:w="65" w:type="dxa"/>
              <w:right w:w="65" w:type="dxa"/>
            </w:tcMar>
            <w:vAlign w:val="center"/>
          </w:tcPr>
          <w:p w14:paraId="0128914D">
            <w:pPr>
              <w:spacing w:before="20" w:after="40" w:line="252" w:lineRule="auto"/>
            </w:pPr>
            <w:r>
              <w:rPr>
                <w:rFonts w:ascii="Times New Roman" w:hAnsi="Times New Roman"/>
                <w:color w:val="000000"/>
                <w:sz w:val="19"/>
              </w:rPr>
              <w:t>FBT/Maudsley, guided self-help FBT and FBT via videoconferencing. FBT with intensive parental coaching. Patient/carer ECHOMANTRA and TRIANGLE.</w:t>
            </w:r>
          </w:p>
        </w:tc>
        <w:tc>
          <w:tcPr>
            <w:tcW w:w="2693" w:type="dxa"/>
            <w:tcBorders>
              <w:top w:val="nil"/>
              <w:left w:val="nil"/>
              <w:bottom w:val="nil"/>
              <w:right w:val="nil"/>
            </w:tcBorders>
            <w:tcMar>
              <w:top w:w="65" w:type="dxa"/>
              <w:left w:w="65" w:type="dxa"/>
              <w:bottom w:w="65" w:type="dxa"/>
              <w:right w:w="65" w:type="dxa"/>
            </w:tcMar>
            <w:vAlign w:val="center"/>
          </w:tcPr>
          <w:p w14:paraId="70FDA6ED">
            <w:pPr>
              <w:spacing w:before="20" w:after="40" w:line="252" w:lineRule="auto"/>
            </w:pPr>
            <w:r>
              <w:rPr>
                <w:rFonts w:ascii="Times New Roman" w:hAnsi="Times New Roman"/>
                <w:color w:val="000000"/>
                <w:sz w:val="19"/>
              </w:rPr>
              <w:t>Approaches centering family or carer involvement in recovery.</w:t>
            </w:r>
          </w:p>
        </w:tc>
      </w:tr>
      <w:tr w14:paraId="32D68ACF">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1EC5AC8C">
            <w:pPr>
              <w:spacing w:before="20" w:after="40" w:line="252" w:lineRule="auto"/>
            </w:pPr>
            <w:r>
              <w:rPr>
                <w:rFonts w:ascii="Times New Roman" w:hAnsi="Times New Roman"/>
                <w:color w:val="000000"/>
                <w:sz w:val="19"/>
              </w:rPr>
              <w:t>Interpersonal, psychodynamic and mentalization-based approaches</w:t>
            </w:r>
          </w:p>
        </w:tc>
        <w:tc>
          <w:tcPr>
            <w:tcW w:w="4680" w:type="dxa"/>
            <w:tcBorders>
              <w:top w:val="nil"/>
              <w:left w:val="nil"/>
              <w:bottom w:val="nil"/>
              <w:right w:val="nil"/>
            </w:tcBorders>
            <w:tcMar>
              <w:top w:w="65" w:type="dxa"/>
              <w:left w:w="65" w:type="dxa"/>
              <w:bottom w:w="65" w:type="dxa"/>
              <w:right w:w="65" w:type="dxa"/>
            </w:tcMar>
            <w:vAlign w:val="center"/>
          </w:tcPr>
          <w:p w14:paraId="0DAD0634">
            <w:pPr>
              <w:spacing w:before="20" w:after="40" w:line="252" w:lineRule="auto"/>
            </w:pPr>
            <w:r>
              <w:rPr>
                <w:rFonts w:ascii="Times New Roman" w:hAnsi="Times New Roman"/>
                <w:color w:val="000000"/>
                <w:sz w:val="19"/>
              </w:rPr>
              <w:t>GPIP, MIT-ED, MBT and MBT with ECOSA. Comparator arms also include IPT and the psychodynamic day-patient program (DPP).</w:t>
            </w:r>
          </w:p>
        </w:tc>
        <w:tc>
          <w:tcPr>
            <w:tcW w:w="2693" w:type="dxa"/>
            <w:tcBorders>
              <w:top w:val="nil"/>
              <w:left w:val="nil"/>
              <w:bottom w:val="nil"/>
              <w:right w:val="nil"/>
            </w:tcBorders>
            <w:tcMar>
              <w:top w:w="65" w:type="dxa"/>
              <w:left w:w="65" w:type="dxa"/>
              <w:bottom w:w="65" w:type="dxa"/>
              <w:right w:w="65" w:type="dxa"/>
            </w:tcMar>
            <w:vAlign w:val="center"/>
          </w:tcPr>
          <w:p w14:paraId="5DB6DBD8">
            <w:pPr>
              <w:spacing w:before="20" w:after="40" w:line="252" w:lineRule="auto"/>
            </w:pPr>
            <w:r>
              <w:rPr>
                <w:rFonts w:ascii="Times New Roman" w:hAnsi="Times New Roman"/>
                <w:color w:val="000000"/>
                <w:sz w:val="19"/>
              </w:rPr>
              <w:t>Approaches targeting interpersonal patterns, psychodynamic processes or mentalizing.</w:t>
            </w:r>
          </w:p>
        </w:tc>
      </w:tr>
      <w:tr w14:paraId="3EB0D6F7">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16C6F6D9">
            <w:pPr>
              <w:spacing w:before="20" w:after="40" w:line="252" w:lineRule="auto"/>
            </w:pPr>
            <w:r>
              <w:rPr>
                <w:rFonts w:ascii="Times New Roman" w:hAnsi="Times New Roman"/>
                <w:color w:val="000000"/>
                <w:sz w:val="19"/>
              </w:rPr>
              <w:t>Neurocognitive training and bias-modification approaches</w:t>
            </w:r>
          </w:p>
        </w:tc>
        <w:tc>
          <w:tcPr>
            <w:tcW w:w="4680" w:type="dxa"/>
            <w:tcBorders>
              <w:top w:val="nil"/>
              <w:left w:val="nil"/>
              <w:bottom w:val="nil"/>
              <w:right w:val="nil"/>
            </w:tcBorders>
            <w:tcMar>
              <w:top w:w="65" w:type="dxa"/>
              <w:left w:w="65" w:type="dxa"/>
              <w:bottom w:w="65" w:type="dxa"/>
              <w:right w:w="65" w:type="dxa"/>
            </w:tcMar>
            <w:vAlign w:val="center"/>
          </w:tcPr>
          <w:p w14:paraId="519343AD">
            <w:pPr>
              <w:spacing w:before="20" w:after="40" w:line="252" w:lineRule="auto"/>
            </w:pPr>
            <w:r>
              <w:rPr>
                <w:rFonts w:ascii="Times New Roman" w:hAnsi="Times New Roman"/>
                <w:color w:val="000000"/>
                <w:sz w:val="19"/>
              </w:rPr>
              <w:t>CRT, CRT-Brief and TCRT. MCT-ED. ABM/ABMT. Antisaccade and inhibition training.</w:t>
            </w:r>
          </w:p>
        </w:tc>
        <w:tc>
          <w:tcPr>
            <w:tcW w:w="2693" w:type="dxa"/>
            <w:tcBorders>
              <w:top w:val="nil"/>
              <w:left w:val="nil"/>
              <w:bottom w:val="nil"/>
              <w:right w:val="nil"/>
            </w:tcBorders>
            <w:tcMar>
              <w:top w:w="65" w:type="dxa"/>
              <w:left w:w="65" w:type="dxa"/>
              <w:bottom w:w="65" w:type="dxa"/>
              <w:right w:w="65" w:type="dxa"/>
            </w:tcMar>
            <w:vAlign w:val="center"/>
          </w:tcPr>
          <w:p w14:paraId="39DC5487">
            <w:pPr>
              <w:spacing w:before="20" w:after="40" w:line="252" w:lineRule="auto"/>
            </w:pPr>
            <w:r>
              <w:rPr>
                <w:rFonts w:ascii="Times New Roman" w:hAnsi="Times New Roman"/>
                <w:color w:val="000000"/>
                <w:sz w:val="19"/>
              </w:rPr>
              <w:t>Training directed at cognitive processes and biases.</w:t>
            </w:r>
          </w:p>
        </w:tc>
      </w:tr>
      <w:tr w14:paraId="64E9ED62">
        <w:trPr>
          <w:cantSplit/>
          <w:jc w:val="center"/>
        </w:trPr>
        <w:tc>
          <w:tcPr>
            <w:tcW w:w="2232" w:type="dxa"/>
            <w:tcBorders>
              <w:top w:val="nil"/>
              <w:left w:val="nil"/>
              <w:bottom w:val="single" w:color="000000" w:sz="6" w:space="0"/>
              <w:right w:val="nil"/>
            </w:tcBorders>
            <w:tcMar>
              <w:top w:w="65" w:type="dxa"/>
              <w:left w:w="65" w:type="dxa"/>
              <w:bottom w:w="65" w:type="dxa"/>
              <w:right w:w="65" w:type="dxa"/>
            </w:tcMar>
            <w:vAlign w:val="center"/>
          </w:tcPr>
          <w:p w14:paraId="2CE64B09">
            <w:pPr>
              <w:spacing w:before="20" w:after="40" w:line="252" w:lineRule="auto"/>
            </w:pPr>
            <w:r>
              <w:rPr>
                <w:rFonts w:ascii="Times New Roman" w:hAnsi="Times New Roman"/>
                <w:color w:val="000000"/>
                <w:sz w:val="19"/>
              </w:rPr>
              <w:t>Disease-specific, integrative or adjunctive approaches</w:t>
            </w:r>
          </w:p>
        </w:tc>
        <w:tc>
          <w:tcPr>
            <w:tcW w:w="4680" w:type="dxa"/>
            <w:tcBorders>
              <w:top w:val="nil"/>
              <w:left w:val="nil"/>
              <w:bottom w:val="single" w:color="000000" w:sz="6" w:space="0"/>
              <w:right w:val="nil"/>
            </w:tcBorders>
            <w:tcMar>
              <w:top w:w="65" w:type="dxa"/>
              <w:left w:w="65" w:type="dxa"/>
              <w:bottom w:w="65" w:type="dxa"/>
              <w:right w:w="65" w:type="dxa"/>
            </w:tcMar>
            <w:vAlign w:val="center"/>
          </w:tcPr>
          <w:p w14:paraId="21EC31C7">
            <w:pPr>
              <w:spacing w:before="20" w:after="40" w:line="252" w:lineRule="auto"/>
            </w:pPr>
            <w:r>
              <w:rPr>
                <w:rFonts w:ascii="Times New Roman" w:hAnsi="Times New Roman"/>
                <w:color w:val="000000"/>
                <w:sz w:val="19"/>
              </w:rPr>
              <w:t>MANTRA and RecoveryMANTRA. ICAT-BN (S0473 Wonderlich 2014) and ICAT-BED (S0441 Peterson 2020). BFT. EMDR. MANNA/motivational interviewing. Psychomotor treatment. Playmancer. Comparator arms also include SSCM, supportive psychotherapy and art therapy.</w:t>
            </w:r>
          </w:p>
        </w:tc>
        <w:tc>
          <w:tcPr>
            <w:tcW w:w="2693" w:type="dxa"/>
            <w:tcBorders>
              <w:top w:val="nil"/>
              <w:left w:val="nil"/>
              <w:bottom w:val="single" w:color="000000" w:sz="6" w:space="0"/>
              <w:right w:val="nil"/>
            </w:tcBorders>
            <w:tcMar>
              <w:top w:w="65" w:type="dxa"/>
              <w:left w:w="65" w:type="dxa"/>
              <w:bottom w:w="65" w:type="dxa"/>
              <w:right w:w="65" w:type="dxa"/>
            </w:tcMar>
            <w:vAlign w:val="center"/>
          </w:tcPr>
          <w:p w14:paraId="02FE0C4D">
            <w:pPr>
              <w:spacing w:before="20" w:after="40" w:line="252" w:lineRule="auto"/>
            </w:pPr>
            <w:r>
              <w:rPr>
                <w:rFonts w:ascii="Times New Roman" w:hAnsi="Times New Roman"/>
                <w:color w:val="000000"/>
                <w:sz w:val="19"/>
              </w:rPr>
              <w:t>Disease-specific, integrative or other adjunctive approaches not assigned to the preceding five families.</w:t>
            </w:r>
          </w:p>
        </w:tc>
      </w:tr>
    </w:tbl>
    <w:p w14:paraId="5D6DD2EE">
      <w:pPr>
        <w:keepNext w:val="0"/>
        <w:spacing w:line="240" w:lineRule="auto"/>
      </w:pPr>
      <w:r>
        <w:rPr>
          <w:color w:val="000000"/>
        </w:rPr>
        <w:t>Note. Classification uses the stated theoretical orientation and principal therapeutic target. Actual arm-level families are distinguished from each study’s single primary display family in Additional file 4. Familiar program names are retained to allow lookup of the original arm labels. ICAT combines behavioral, emotional and cognitive components. CBT, cognitive behavioral therapy. CBT-E, enhanced CBT. ACT, acceptance and commitment therapy. DBT, dialectical behavior therapy. FBT, family-based treatment. IPT, interpersonal psychotherapy. MBT, mentalization-based treatment. CRT, cognitive remediation therapy. ABM, approach bias modification. ICAT, integrative cognitive-affective therapy. MANTRA, Maudsley Model of Anorexia Nervosa Treatment for Adults. SSCM, specialist supportive clinical management. EMDR, eye movement desensitization and reprocessing. TAU, treatment as usual.</w:t>
      </w:r>
    </w:p>
    <w:p w14:paraId="643DFD90">
      <w:r>
        <w:br w:type="page"/>
      </w:r>
    </w:p>
    <w:p w14:paraId="3C0B84C2">
      <w:pPr>
        <w:pStyle w:val="4"/>
        <w:keepNext/>
      </w:pPr>
      <w:r>
        <w:rPr>
          <w:color w:val="000000"/>
        </w:rPr>
        <w:t>Table 3 Comparator groups</w:t>
      </w:r>
    </w:p>
    <w:tbl>
      <w:tblPr>
        <w:tblStyle w:val="32"/>
        <w:tblW w:w="0" w:type="auto"/>
        <w:jc w:val="center"/>
        <w:tblLayout w:type="fixed"/>
        <w:tblCellMar>
          <w:top w:w="0" w:type="dxa"/>
          <w:left w:w="108" w:type="dxa"/>
          <w:bottom w:w="0" w:type="dxa"/>
          <w:right w:w="108" w:type="dxa"/>
        </w:tblCellMar>
      </w:tblPr>
      <w:tblGrid>
        <w:gridCol w:w="2160"/>
        <w:gridCol w:w="4536"/>
        <w:gridCol w:w="2909"/>
      </w:tblGrid>
      <w:tr w14:paraId="457A83BF">
        <w:trPr>
          <w:cantSplit/>
          <w:tblHeader/>
          <w:jc w:val="center"/>
        </w:trPr>
        <w:tc>
          <w:tcPr>
            <w:tcW w:w="2160"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2B036434">
            <w:pPr>
              <w:spacing w:before="20" w:after="40" w:line="252" w:lineRule="auto"/>
            </w:pPr>
            <w:r>
              <w:rPr>
                <w:rFonts w:ascii="Times New Roman" w:hAnsi="Times New Roman"/>
                <w:b/>
                <w:color w:val="000000"/>
                <w:sz w:val="19"/>
              </w:rPr>
              <w:t>Category</w:t>
            </w:r>
          </w:p>
        </w:tc>
        <w:tc>
          <w:tcPr>
            <w:tcW w:w="4536"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5CA5B5BF">
            <w:pPr>
              <w:spacing w:before="20" w:after="40" w:line="252" w:lineRule="auto"/>
            </w:pPr>
            <w:r>
              <w:rPr>
                <w:rFonts w:ascii="Times New Roman" w:hAnsi="Times New Roman"/>
                <w:b/>
                <w:color w:val="000000"/>
                <w:sz w:val="19"/>
              </w:rPr>
              <w:t>Included treatment types or source-label examples</w:t>
            </w:r>
          </w:p>
        </w:tc>
        <w:tc>
          <w:tcPr>
            <w:tcW w:w="2909"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5B3A16CB">
            <w:pPr>
              <w:spacing w:before="20" w:after="40" w:line="252" w:lineRule="auto"/>
            </w:pPr>
            <w:r>
              <w:rPr>
                <w:rFonts w:ascii="Times New Roman" w:hAnsi="Times New Roman"/>
                <w:b/>
                <w:color w:val="000000"/>
                <w:sz w:val="19"/>
              </w:rPr>
              <w:t>Brief definition</w:t>
            </w:r>
          </w:p>
        </w:tc>
      </w:tr>
      <w:tr w14:paraId="7383B0AE">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1402024C">
            <w:pPr>
              <w:spacing w:before="20" w:after="40" w:line="252" w:lineRule="auto"/>
            </w:pPr>
            <w:r>
              <w:rPr>
                <w:rFonts w:ascii="Times New Roman" w:hAnsi="Times New Roman"/>
                <w:color w:val="000000"/>
                <w:sz w:val="19"/>
              </w:rPr>
              <w:t>Waitlist/no study treatment</w:t>
            </w:r>
          </w:p>
        </w:tc>
        <w:tc>
          <w:tcPr>
            <w:tcW w:w="4536" w:type="dxa"/>
            <w:tcBorders>
              <w:top w:val="nil"/>
              <w:left w:val="nil"/>
              <w:bottom w:val="nil"/>
              <w:right w:val="nil"/>
            </w:tcBorders>
            <w:tcMar>
              <w:top w:w="65" w:type="dxa"/>
              <w:left w:w="65" w:type="dxa"/>
              <w:bottom w:w="65" w:type="dxa"/>
              <w:right w:w="65" w:type="dxa"/>
            </w:tcMar>
            <w:vAlign w:val="center"/>
          </w:tcPr>
          <w:p w14:paraId="55F85E5B">
            <w:pPr>
              <w:spacing w:before="20" w:after="40" w:line="252" w:lineRule="auto"/>
            </w:pPr>
            <w:r>
              <w:rPr>
                <w:rFonts w:ascii="Times New Roman" w:hAnsi="Times New Roman"/>
                <w:color w:val="000000"/>
                <w:sz w:val="19"/>
              </w:rPr>
              <w:t>Wait-list, waitlist control, delayed treatment. No-treatment control. No psychoeducation control. Control platform providing diaries/measures without therapist feedback.</w:t>
            </w:r>
          </w:p>
        </w:tc>
        <w:tc>
          <w:tcPr>
            <w:tcW w:w="2909" w:type="dxa"/>
            <w:tcBorders>
              <w:top w:val="nil"/>
              <w:left w:val="nil"/>
              <w:bottom w:val="nil"/>
              <w:right w:val="nil"/>
            </w:tcBorders>
            <w:tcMar>
              <w:top w:w="65" w:type="dxa"/>
              <w:left w:w="65" w:type="dxa"/>
              <w:bottom w:w="65" w:type="dxa"/>
              <w:right w:w="65" w:type="dxa"/>
            </w:tcMar>
            <w:vAlign w:val="center"/>
          </w:tcPr>
          <w:p w14:paraId="68B07B7E">
            <w:pPr>
              <w:spacing w:before="20" w:after="40" w:line="252" w:lineRule="auto"/>
            </w:pPr>
            <w:r>
              <w:rPr>
                <w:rFonts w:ascii="Times New Roman" w:hAnsi="Times New Roman"/>
                <w:color w:val="000000"/>
                <w:sz w:val="19"/>
              </w:rPr>
              <w:t>No assigned study treatment, with assessment, monitoring or unassigned access to care permitted.</w:t>
            </w:r>
          </w:p>
        </w:tc>
      </w:tr>
      <w:tr w14:paraId="37ADC179">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18FC5F71">
            <w:pPr>
              <w:spacing w:before="20" w:after="40" w:line="252" w:lineRule="auto"/>
            </w:pPr>
            <w:r>
              <w:rPr>
                <w:rFonts w:ascii="Times New Roman" w:hAnsi="Times New Roman"/>
                <w:color w:val="000000"/>
                <w:sz w:val="19"/>
              </w:rPr>
              <w:t>TAU/usual care</w:t>
            </w:r>
          </w:p>
        </w:tc>
        <w:tc>
          <w:tcPr>
            <w:tcW w:w="4536" w:type="dxa"/>
            <w:tcBorders>
              <w:top w:val="nil"/>
              <w:left w:val="nil"/>
              <w:bottom w:val="nil"/>
              <w:right w:val="nil"/>
            </w:tcBorders>
            <w:tcMar>
              <w:top w:w="65" w:type="dxa"/>
              <w:left w:w="65" w:type="dxa"/>
              <w:bottom w:w="65" w:type="dxa"/>
              <w:right w:w="65" w:type="dxa"/>
            </w:tcMar>
            <w:vAlign w:val="center"/>
          </w:tcPr>
          <w:p w14:paraId="08A532FA">
            <w:pPr>
              <w:spacing w:before="20" w:after="40" w:line="252" w:lineRule="auto"/>
            </w:pPr>
            <w:r>
              <w:rPr>
                <w:rFonts w:ascii="Times New Roman" w:hAnsi="Times New Roman"/>
                <w:color w:val="000000"/>
                <w:sz w:val="19"/>
              </w:rPr>
              <w:t>TAU, usual care/referral. No training plus TAU. Delayed CRT plus TAU. MOVE!, standard face-to-face CBT or supportive contact only when the report identifies these as routine services.</w:t>
            </w:r>
          </w:p>
        </w:tc>
        <w:tc>
          <w:tcPr>
            <w:tcW w:w="2909" w:type="dxa"/>
            <w:tcBorders>
              <w:top w:val="nil"/>
              <w:left w:val="nil"/>
              <w:bottom w:val="nil"/>
              <w:right w:val="nil"/>
            </w:tcBorders>
            <w:tcMar>
              <w:top w:w="65" w:type="dxa"/>
              <w:left w:w="65" w:type="dxa"/>
              <w:bottom w:w="65" w:type="dxa"/>
              <w:right w:w="65" w:type="dxa"/>
            </w:tcMar>
            <w:vAlign w:val="center"/>
          </w:tcPr>
          <w:p w14:paraId="635E7A00">
            <w:pPr>
              <w:spacing w:before="20" w:after="40" w:line="252" w:lineRule="auto"/>
            </w:pPr>
            <w:r>
              <w:rPr>
                <w:rFonts w:ascii="Times New Roman" w:hAnsi="Times New Roman"/>
                <w:color w:val="000000"/>
                <w:sz w:val="19"/>
              </w:rPr>
              <w:t>Routine clinical care or referral without an additional specified comparator intervention.</w:t>
            </w:r>
          </w:p>
        </w:tc>
      </w:tr>
      <w:tr w14:paraId="19C24554">
        <w:trPr>
          <w:cantSplit/>
          <w:jc w:val="center"/>
        </w:trPr>
        <w:tc>
          <w:tcPr>
            <w:tcW w:w="2160" w:type="dxa"/>
            <w:tcBorders>
              <w:top w:val="nil"/>
              <w:left w:val="nil"/>
              <w:bottom w:val="single" w:color="000000" w:sz="6" w:space="0"/>
              <w:right w:val="nil"/>
            </w:tcBorders>
            <w:tcMar>
              <w:top w:w="65" w:type="dxa"/>
              <w:left w:w="65" w:type="dxa"/>
              <w:bottom w:w="65" w:type="dxa"/>
              <w:right w:w="65" w:type="dxa"/>
            </w:tcMar>
            <w:vAlign w:val="center"/>
          </w:tcPr>
          <w:p w14:paraId="4A279DE4">
            <w:pPr>
              <w:spacing w:before="20" w:after="40" w:line="252" w:lineRule="auto"/>
            </w:pPr>
            <w:r>
              <w:rPr>
                <w:rFonts w:ascii="Times New Roman" w:hAnsi="Times New Roman"/>
                <w:color w:val="000000"/>
                <w:sz w:val="19"/>
              </w:rPr>
              <w:t>Active comparator/control</w:t>
            </w:r>
          </w:p>
        </w:tc>
        <w:tc>
          <w:tcPr>
            <w:tcW w:w="4536" w:type="dxa"/>
            <w:tcBorders>
              <w:top w:val="nil"/>
              <w:left w:val="nil"/>
              <w:bottom w:val="single" w:color="000000" w:sz="6" w:space="0"/>
              <w:right w:val="nil"/>
            </w:tcBorders>
            <w:tcMar>
              <w:top w:w="65" w:type="dxa"/>
              <w:left w:w="65" w:type="dxa"/>
              <w:bottom w:w="65" w:type="dxa"/>
              <w:right w:w="65" w:type="dxa"/>
            </w:tcMar>
            <w:vAlign w:val="center"/>
          </w:tcPr>
          <w:p w14:paraId="17C3B9CC">
            <w:pPr>
              <w:spacing w:before="20" w:after="40" w:line="252" w:lineRule="auto"/>
            </w:pPr>
            <w:r>
              <w:rPr>
                <w:rFonts w:ascii="Times New Roman" w:hAnsi="Times New Roman"/>
                <w:color w:val="000000"/>
                <w:sz w:val="19"/>
              </w:rPr>
              <w:t>Specified psychotherapy or self-help (e.g., CBT-E, SSCM, motivational interviewing). Paper food records/self-observation. Brief contact, supportive emails, positive-expectation induction or psychoeducation. Sham/control computer tasks. Methylphenidate, sibutramine or medication placebo.</w:t>
            </w:r>
          </w:p>
        </w:tc>
        <w:tc>
          <w:tcPr>
            <w:tcW w:w="2909" w:type="dxa"/>
            <w:tcBorders>
              <w:top w:val="nil"/>
              <w:left w:val="nil"/>
              <w:bottom w:val="single" w:color="000000" w:sz="6" w:space="0"/>
              <w:right w:val="nil"/>
            </w:tcBorders>
            <w:tcMar>
              <w:top w:w="65" w:type="dxa"/>
              <w:left w:w="65" w:type="dxa"/>
              <w:bottom w:w="65" w:type="dxa"/>
              <w:right w:w="65" w:type="dxa"/>
            </w:tcMar>
            <w:vAlign w:val="center"/>
          </w:tcPr>
          <w:p w14:paraId="45A4164B">
            <w:pPr>
              <w:spacing w:before="20" w:after="40" w:line="252" w:lineRule="auto"/>
            </w:pPr>
            <w:r>
              <w:rPr>
                <w:rFonts w:ascii="Times New Roman" w:hAnsi="Times New Roman"/>
                <w:color w:val="000000"/>
                <w:sz w:val="19"/>
              </w:rPr>
              <w:t>Specified psychological, behavioral, informational, sham, or medication/placebo comparison conditions.</w:t>
            </w:r>
          </w:p>
        </w:tc>
      </w:tr>
    </w:tbl>
    <w:p w14:paraId="206D690D">
      <w:pPr>
        <w:keepNext w:val="0"/>
        <w:spacing w:line="240" w:lineRule="auto"/>
      </w:pPr>
      <w:r>
        <w:rPr>
          <w:color w:val="000000"/>
        </w:rPr>
        <w:t>Note. Comparator content determines the category. Words such as “waitlist” or “CBT” alone do not. A waitlist with a specified active component can enter the active-control group, while a named therapy can constitute usual care when delivered as routine service. Detailed conditions remain in Additional file 4.</w:t>
      </w:r>
    </w:p>
    <w:p w14:paraId="4B405459">
      <w:r>
        <w:br w:type="page"/>
      </w:r>
    </w:p>
    <w:p w14:paraId="4CB4599A">
      <w:pPr>
        <w:pStyle w:val="4"/>
        <w:keepNext/>
      </w:pPr>
      <w:r>
        <w:rPr>
          <w:color w:val="000000"/>
        </w:rPr>
        <w:t>Table 4 Delivery formats</w:t>
      </w:r>
    </w:p>
    <w:tbl>
      <w:tblPr>
        <w:tblStyle w:val="32"/>
        <w:tblW w:w="0" w:type="auto"/>
        <w:jc w:val="center"/>
        <w:tblLayout w:type="fixed"/>
        <w:tblCellMar>
          <w:top w:w="0" w:type="dxa"/>
          <w:left w:w="108" w:type="dxa"/>
          <w:bottom w:w="0" w:type="dxa"/>
          <w:right w:w="108" w:type="dxa"/>
        </w:tblCellMar>
      </w:tblPr>
      <w:tblGrid>
        <w:gridCol w:w="2160"/>
        <w:gridCol w:w="4464"/>
        <w:gridCol w:w="2981"/>
      </w:tblGrid>
      <w:tr w14:paraId="0A6D8856">
        <w:trPr>
          <w:cantSplit/>
          <w:tblHeader/>
          <w:jc w:val="center"/>
        </w:trPr>
        <w:tc>
          <w:tcPr>
            <w:tcW w:w="2160"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6972E93E">
            <w:pPr>
              <w:spacing w:before="20" w:after="40" w:line="252" w:lineRule="auto"/>
            </w:pPr>
            <w:r>
              <w:rPr>
                <w:rFonts w:ascii="Times New Roman" w:hAnsi="Times New Roman"/>
                <w:b/>
                <w:color w:val="000000"/>
                <w:sz w:val="19"/>
              </w:rPr>
              <w:t>Category</w:t>
            </w:r>
          </w:p>
        </w:tc>
        <w:tc>
          <w:tcPr>
            <w:tcW w:w="4464"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7A981880">
            <w:pPr>
              <w:spacing w:before="20" w:after="40" w:line="252" w:lineRule="auto"/>
            </w:pPr>
            <w:r>
              <w:rPr>
                <w:rFonts w:ascii="Times New Roman" w:hAnsi="Times New Roman"/>
                <w:b/>
                <w:color w:val="000000"/>
                <w:sz w:val="19"/>
              </w:rPr>
              <w:t>Included treatment types or source-label examples</w:t>
            </w:r>
          </w:p>
        </w:tc>
        <w:tc>
          <w:tcPr>
            <w:tcW w:w="2981"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309EEE8D">
            <w:pPr>
              <w:spacing w:before="20" w:after="40" w:line="252" w:lineRule="auto"/>
            </w:pPr>
            <w:r>
              <w:rPr>
                <w:rFonts w:ascii="Times New Roman" w:hAnsi="Times New Roman"/>
                <w:b/>
                <w:color w:val="000000"/>
                <w:sz w:val="19"/>
              </w:rPr>
              <w:t>Brief definition</w:t>
            </w:r>
          </w:p>
        </w:tc>
      </w:tr>
      <w:tr w14:paraId="31197C0F">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56F107BD">
            <w:pPr>
              <w:spacing w:before="20" w:after="40" w:line="252" w:lineRule="auto"/>
            </w:pPr>
            <w:r>
              <w:rPr>
                <w:rFonts w:ascii="Times New Roman" w:hAnsi="Times New Roman"/>
                <w:color w:val="000000"/>
                <w:sz w:val="19"/>
              </w:rPr>
              <w:t>Face-to-face individual/family</w:t>
            </w:r>
          </w:p>
        </w:tc>
        <w:tc>
          <w:tcPr>
            <w:tcW w:w="4464" w:type="dxa"/>
            <w:tcBorders>
              <w:top w:val="nil"/>
              <w:left w:val="nil"/>
              <w:bottom w:val="nil"/>
              <w:right w:val="nil"/>
            </w:tcBorders>
            <w:tcMar>
              <w:top w:w="65" w:type="dxa"/>
              <w:left w:w="65" w:type="dxa"/>
              <w:bottom w:w="65" w:type="dxa"/>
              <w:right w:w="65" w:type="dxa"/>
            </w:tcMar>
            <w:vAlign w:val="center"/>
          </w:tcPr>
          <w:p w14:paraId="7A973F5D">
            <w:pPr>
              <w:spacing w:before="20" w:after="40" w:line="252" w:lineRule="auto"/>
            </w:pPr>
            <w:r>
              <w:rPr>
                <w:rFonts w:ascii="Times New Roman" w:hAnsi="Times New Roman"/>
                <w:color w:val="000000"/>
                <w:sz w:val="19"/>
              </w:rPr>
              <w:t>Individual psychotherapy, family sessions or in-person guidance for self-help. Face-to-face/in-person.</w:t>
            </w:r>
          </w:p>
        </w:tc>
        <w:tc>
          <w:tcPr>
            <w:tcW w:w="2981" w:type="dxa"/>
            <w:tcBorders>
              <w:top w:val="nil"/>
              <w:left w:val="nil"/>
              <w:bottom w:val="nil"/>
              <w:right w:val="nil"/>
            </w:tcBorders>
            <w:tcMar>
              <w:top w:w="65" w:type="dxa"/>
              <w:left w:w="65" w:type="dxa"/>
              <w:bottom w:w="65" w:type="dxa"/>
              <w:right w:w="65" w:type="dxa"/>
            </w:tcMar>
            <w:vAlign w:val="center"/>
          </w:tcPr>
          <w:p w14:paraId="2F785065">
            <w:pPr>
              <w:spacing w:before="20" w:after="40" w:line="252" w:lineRule="auto"/>
            </w:pPr>
            <w:r>
              <w:rPr>
                <w:rFonts w:ascii="Times New Roman" w:hAnsi="Times New Roman"/>
                <w:color w:val="000000"/>
                <w:sz w:val="19"/>
              </w:rPr>
              <w:t>In-person sessions delivered to an individual or family.</w:t>
            </w:r>
          </w:p>
        </w:tc>
      </w:tr>
      <w:tr w14:paraId="6A3EC48B">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1E93804B">
            <w:pPr>
              <w:spacing w:before="20" w:after="40" w:line="252" w:lineRule="auto"/>
            </w:pPr>
            <w:r>
              <w:rPr>
                <w:rFonts w:ascii="Times New Roman" w:hAnsi="Times New Roman"/>
                <w:color w:val="000000"/>
                <w:sz w:val="19"/>
              </w:rPr>
              <w:t>Face-to-face group</w:t>
            </w:r>
          </w:p>
        </w:tc>
        <w:tc>
          <w:tcPr>
            <w:tcW w:w="4464" w:type="dxa"/>
            <w:tcBorders>
              <w:top w:val="nil"/>
              <w:left w:val="nil"/>
              <w:bottom w:val="nil"/>
              <w:right w:val="nil"/>
            </w:tcBorders>
            <w:tcMar>
              <w:top w:w="65" w:type="dxa"/>
              <w:left w:w="65" w:type="dxa"/>
              <w:bottom w:w="65" w:type="dxa"/>
              <w:right w:w="65" w:type="dxa"/>
            </w:tcMar>
            <w:vAlign w:val="center"/>
          </w:tcPr>
          <w:p w14:paraId="4BAB4004">
            <w:pPr>
              <w:spacing w:before="20" w:after="40" w:line="252" w:lineRule="auto"/>
            </w:pPr>
            <w:r>
              <w:rPr>
                <w:rFonts w:ascii="Times New Roman" w:hAnsi="Times New Roman"/>
                <w:color w:val="000000"/>
                <w:sz w:val="19"/>
              </w:rPr>
              <w:t>Group treatment or group therapy delivered face to face. May include brief individual contact.</w:t>
            </w:r>
          </w:p>
        </w:tc>
        <w:tc>
          <w:tcPr>
            <w:tcW w:w="2981" w:type="dxa"/>
            <w:tcBorders>
              <w:top w:val="nil"/>
              <w:left w:val="nil"/>
              <w:bottom w:val="nil"/>
              <w:right w:val="nil"/>
            </w:tcBorders>
            <w:tcMar>
              <w:top w:w="65" w:type="dxa"/>
              <w:left w:w="65" w:type="dxa"/>
              <w:bottom w:w="65" w:type="dxa"/>
              <w:right w:w="65" w:type="dxa"/>
            </w:tcMar>
            <w:vAlign w:val="center"/>
          </w:tcPr>
          <w:p w14:paraId="64610CF1">
            <w:pPr>
              <w:spacing w:before="20" w:after="40" w:line="252" w:lineRule="auto"/>
            </w:pPr>
            <w:r>
              <w:rPr>
                <w:rFonts w:ascii="Times New Roman" w:hAnsi="Times New Roman"/>
                <w:color w:val="000000"/>
                <w:sz w:val="19"/>
              </w:rPr>
              <w:t>In-person sessions delivered primarily in groups.</w:t>
            </w:r>
          </w:p>
        </w:tc>
      </w:tr>
      <w:tr w14:paraId="0A768BD3">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77708681">
            <w:pPr>
              <w:spacing w:before="20" w:after="40" w:line="252" w:lineRule="auto"/>
            </w:pPr>
            <w:r>
              <w:rPr>
                <w:rFonts w:ascii="Times New Roman" w:hAnsi="Times New Roman"/>
                <w:color w:val="000000"/>
                <w:sz w:val="19"/>
              </w:rPr>
              <w:t>Web/app asynchronous</w:t>
            </w:r>
          </w:p>
        </w:tc>
        <w:tc>
          <w:tcPr>
            <w:tcW w:w="4464" w:type="dxa"/>
            <w:tcBorders>
              <w:top w:val="nil"/>
              <w:left w:val="nil"/>
              <w:bottom w:val="nil"/>
              <w:right w:val="nil"/>
            </w:tcBorders>
            <w:tcMar>
              <w:top w:w="65" w:type="dxa"/>
              <w:left w:w="65" w:type="dxa"/>
              <w:bottom w:w="65" w:type="dxa"/>
              <w:right w:w="65" w:type="dxa"/>
            </w:tcMar>
            <w:vAlign w:val="center"/>
          </w:tcPr>
          <w:p w14:paraId="3E6599DF">
            <w:pPr>
              <w:spacing w:before="20" w:after="40" w:line="252" w:lineRule="auto"/>
            </w:pPr>
            <w:r>
              <w:rPr>
                <w:rFonts w:ascii="Times New Roman" w:hAnsi="Times New Roman"/>
                <w:color w:val="000000"/>
                <w:sz w:val="19"/>
              </w:rPr>
              <w:t>Web/app modules, self-monitoring, automated feedback, secure messaging or asynchronous email guidance.</w:t>
            </w:r>
          </w:p>
        </w:tc>
        <w:tc>
          <w:tcPr>
            <w:tcW w:w="2981" w:type="dxa"/>
            <w:tcBorders>
              <w:top w:val="nil"/>
              <w:left w:val="nil"/>
              <w:bottom w:val="nil"/>
              <w:right w:val="nil"/>
            </w:tcBorders>
            <w:tcMar>
              <w:top w:w="65" w:type="dxa"/>
              <w:left w:w="65" w:type="dxa"/>
              <w:bottom w:w="65" w:type="dxa"/>
              <w:right w:w="65" w:type="dxa"/>
            </w:tcMar>
            <w:vAlign w:val="center"/>
          </w:tcPr>
          <w:p w14:paraId="3C1DE7E1">
            <w:pPr>
              <w:spacing w:before="20" w:after="40" w:line="252" w:lineRule="auto"/>
            </w:pPr>
            <w:r>
              <w:rPr>
                <w:rFonts w:ascii="Times New Roman" w:hAnsi="Times New Roman"/>
                <w:color w:val="000000"/>
                <w:sz w:val="19"/>
              </w:rPr>
              <w:t>Digital treatment content or feedback accessed without simultaneous therapist contact.</w:t>
            </w:r>
          </w:p>
        </w:tc>
      </w:tr>
      <w:tr w14:paraId="7CDEA44C">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1E3A4818">
            <w:pPr>
              <w:spacing w:before="20" w:after="40" w:line="252" w:lineRule="auto"/>
            </w:pPr>
            <w:r>
              <w:rPr>
                <w:rFonts w:ascii="Times New Roman" w:hAnsi="Times New Roman"/>
                <w:color w:val="000000"/>
                <w:sz w:val="19"/>
              </w:rPr>
              <w:t>Remote synchronous</w:t>
            </w:r>
          </w:p>
        </w:tc>
        <w:tc>
          <w:tcPr>
            <w:tcW w:w="4464" w:type="dxa"/>
            <w:tcBorders>
              <w:top w:val="nil"/>
              <w:left w:val="nil"/>
              <w:bottom w:val="nil"/>
              <w:right w:val="nil"/>
            </w:tcBorders>
            <w:tcMar>
              <w:top w:w="65" w:type="dxa"/>
              <w:left w:w="65" w:type="dxa"/>
              <w:bottom w:w="65" w:type="dxa"/>
              <w:right w:w="65" w:type="dxa"/>
            </w:tcMar>
            <w:vAlign w:val="center"/>
          </w:tcPr>
          <w:p w14:paraId="40AA4D41">
            <w:pPr>
              <w:spacing w:before="20" w:after="40" w:line="252" w:lineRule="auto"/>
            </w:pPr>
            <w:r>
              <w:rPr>
                <w:rFonts w:ascii="Times New Roman" w:hAnsi="Times New Roman"/>
                <w:color w:val="000000"/>
                <w:sz w:val="19"/>
              </w:rPr>
              <w:t>Live videoconferencing, telephone guidance or therapeutic chat, delivered individually or to families/groups.</w:t>
            </w:r>
          </w:p>
        </w:tc>
        <w:tc>
          <w:tcPr>
            <w:tcW w:w="2981" w:type="dxa"/>
            <w:tcBorders>
              <w:top w:val="nil"/>
              <w:left w:val="nil"/>
              <w:bottom w:val="nil"/>
              <w:right w:val="nil"/>
            </w:tcBorders>
            <w:tcMar>
              <w:top w:w="65" w:type="dxa"/>
              <w:left w:w="65" w:type="dxa"/>
              <w:bottom w:w="65" w:type="dxa"/>
              <w:right w:w="65" w:type="dxa"/>
            </w:tcMar>
            <w:vAlign w:val="center"/>
          </w:tcPr>
          <w:p w14:paraId="23667623">
            <w:pPr>
              <w:spacing w:before="20" w:after="40" w:line="252" w:lineRule="auto"/>
            </w:pPr>
            <w:r>
              <w:rPr>
                <w:rFonts w:ascii="Times New Roman" w:hAnsi="Times New Roman"/>
                <w:color w:val="000000"/>
                <w:sz w:val="19"/>
              </w:rPr>
              <w:t>Live therapeutic sessions or guidance delivered remotely.</w:t>
            </w:r>
          </w:p>
        </w:tc>
      </w:tr>
      <w:tr w14:paraId="7FC26592">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4F6E5D95">
            <w:pPr>
              <w:spacing w:before="20" w:after="40" w:line="252" w:lineRule="auto"/>
            </w:pPr>
            <w:r>
              <w:rPr>
                <w:rFonts w:ascii="Times New Roman" w:hAnsi="Times New Roman"/>
                <w:color w:val="000000"/>
                <w:sz w:val="19"/>
              </w:rPr>
              <w:t>Blended/multimodal</w:t>
            </w:r>
          </w:p>
        </w:tc>
        <w:tc>
          <w:tcPr>
            <w:tcW w:w="4464" w:type="dxa"/>
            <w:tcBorders>
              <w:top w:val="nil"/>
              <w:left w:val="nil"/>
              <w:bottom w:val="nil"/>
              <w:right w:val="nil"/>
            </w:tcBorders>
            <w:tcMar>
              <w:top w:w="65" w:type="dxa"/>
              <w:left w:w="65" w:type="dxa"/>
              <w:bottom w:w="65" w:type="dxa"/>
              <w:right w:w="65" w:type="dxa"/>
            </w:tcMar>
            <w:vAlign w:val="center"/>
          </w:tcPr>
          <w:p w14:paraId="497E00D4">
            <w:pPr>
              <w:spacing w:before="20" w:after="40" w:line="252" w:lineRule="auto"/>
            </w:pPr>
            <w:r>
              <w:rPr>
                <w:rFonts w:ascii="Times New Roman" w:hAnsi="Times New Roman"/>
                <w:color w:val="000000"/>
                <w:sz w:val="19"/>
              </w:rPr>
              <w:t>Face-to-face sessions plus a treatment app. Online modules plus live therapeutic guidance. Documented mixed in-person/remote delivery.</w:t>
            </w:r>
          </w:p>
        </w:tc>
        <w:tc>
          <w:tcPr>
            <w:tcW w:w="2981" w:type="dxa"/>
            <w:tcBorders>
              <w:top w:val="nil"/>
              <w:left w:val="nil"/>
              <w:bottom w:val="nil"/>
              <w:right w:val="nil"/>
            </w:tcBorders>
            <w:tcMar>
              <w:top w:w="65" w:type="dxa"/>
              <w:left w:w="65" w:type="dxa"/>
              <w:bottom w:w="65" w:type="dxa"/>
              <w:right w:w="65" w:type="dxa"/>
            </w:tcMar>
            <w:vAlign w:val="center"/>
          </w:tcPr>
          <w:p w14:paraId="2D1E9BC8">
            <w:pPr>
              <w:spacing w:before="20" w:after="40" w:line="252" w:lineRule="auto"/>
            </w:pPr>
            <w:r>
              <w:rPr>
                <w:rFonts w:ascii="Times New Roman" w:hAnsi="Times New Roman"/>
                <w:color w:val="000000"/>
                <w:sz w:val="19"/>
              </w:rPr>
              <w:t>Treatment combining, or explicitly using a mix of, delivery formats or channels.</w:t>
            </w:r>
          </w:p>
        </w:tc>
      </w:tr>
      <w:tr w14:paraId="2419D41F">
        <w:trPr>
          <w:cantSplit/>
          <w:jc w:val="center"/>
        </w:trPr>
        <w:tc>
          <w:tcPr>
            <w:tcW w:w="2160" w:type="dxa"/>
            <w:tcBorders>
              <w:top w:val="nil"/>
              <w:left w:val="nil"/>
              <w:bottom w:val="single" w:color="000000" w:sz="6" w:space="0"/>
              <w:right w:val="nil"/>
            </w:tcBorders>
            <w:tcMar>
              <w:top w:w="65" w:type="dxa"/>
              <w:left w:w="65" w:type="dxa"/>
              <w:bottom w:w="65" w:type="dxa"/>
              <w:right w:w="65" w:type="dxa"/>
            </w:tcMar>
            <w:vAlign w:val="center"/>
          </w:tcPr>
          <w:p w14:paraId="0B26E296">
            <w:pPr>
              <w:spacing w:before="20" w:after="40" w:line="252" w:lineRule="auto"/>
            </w:pPr>
            <w:r>
              <w:rPr>
                <w:rFonts w:ascii="Times New Roman" w:hAnsi="Times New Roman"/>
                <w:color w:val="000000"/>
                <w:sz w:val="19"/>
              </w:rPr>
              <w:t>Other/unclear</w:t>
            </w:r>
          </w:p>
        </w:tc>
        <w:tc>
          <w:tcPr>
            <w:tcW w:w="4464" w:type="dxa"/>
            <w:tcBorders>
              <w:top w:val="nil"/>
              <w:left w:val="nil"/>
              <w:bottom w:val="single" w:color="000000" w:sz="6" w:space="0"/>
              <w:right w:val="nil"/>
            </w:tcBorders>
            <w:tcMar>
              <w:top w:w="65" w:type="dxa"/>
              <w:left w:w="65" w:type="dxa"/>
              <w:bottom w:w="65" w:type="dxa"/>
              <w:right w:w="65" w:type="dxa"/>
            </w:tcMar>
            <w:vAlign w:val="center"/>
          </w:tcPr>
          <w:p w14:paraId="2DE0241A">
            <w:pPr>
              <w:spacing w:before="20" w:after="40" w:line="252" w:lineRule="auto"/>
            </w:pPr>
            <w:r>
              <w:rPr>
                <w:rFonts w:ascii="Times New Roman" w:hAnsi="Times New Roman"/>
                <w:color w:val="000000"/>
                <w:sz w:val="19"/>
              </w:rPr>
              <w:t>Printed workbooks, offline audio/self-help materials, local computer tasks, or insufficiently described delivery.</w:t>
            </w:r>
          </w:p>
        </w:tc>
        <w:tc>
          <w:tcPr>
            <w:tcW w:w="2981" w:type="dxa"/>
            <w:tcBorders>
              <w:top w:val="nil"/>
              <w:left w:val="nil"/>
              <w:bottom w:val="single" w:color="000000" w:sz="6" w:space="0"/>
              <w:right w:val="nil"/>
            </w:tcBorders>
            <w:tcMar>
              <w:top w:w="65" w:type="dxa"/>
              <w:left w:w="65" w:type="dxa"/>
              <w:bottom w:w="65" w:type="dxa"/>
              <w:right w:w="65" w:type="dxa"/>
            </w:tcMar>
            <w:vAlign w:val="center"/>
          </w:tcPr>
          <w:p w14:paraId="0A61A191">
            <w:pPr>
              <w:spacing w:before="20" w:after="40" w:line="252" w:lineRule="auto"/>
            </w:pPr>
            <w:r>
              <w:rPr>
                <w:rFonts w:ascii="Times New Roman" w:hAnsi="Times New Roman"/>
                <w:color w:val="000000"/>
                <w:sz w:val="19"/>
              </w:rPr>
              <w:t>Formats outside the preceding categories or insufficiently described.</w:t>
            </w:r>
          </w:p>
        </w:tc>
      </w:tr>
    </w:tbl>
    <w:p w14:paraId="791C4D81">
      <w:pPr>
        <w:keepNext w:val="0"/>
        <w:spacing w:line="240" w:lineRule="auto"/>
      </w:pPr>
      <w:r>
        <w:rPr>
          <w:color w:val="000000"/>
        </w:rPr>
        <w:t>Note. The category describes the intervention component being evaluated. Self-help is a guidance level, not a delivery channel. Remote recruitment or assessment, ordinary homework and shared background care do not alone determine delivery. Substantial combinations or explicitly mixed channels are coded blended/multimodal.</w:t>
      </w:r>
    </w:p>
    <w:p w14:paraId="4A6BB283">
      <w:r>
        <w:br w:type="page"/>
      </w:r>
    </w:p>
    <w:p w14:paraId="6D5D7243">
      <w:pPr>
        <w:pStyle w:val="4"/>
        <w:keepNext/>
      </w:pPr>
      <w:r>
        <w:rPr>
          <w:color w:val="000000"/>
        </w:rPr>
        <w:t>Table 5 Outcome domains</w:t>
      </w:r>
    </w:p>
    <w:tbl>
      <w:tblPr>
        <w:tblStyle w:val="32"/>
        <w:tblW w:w="0" w:type="auto"/>
        <w:jc w:val="center"/>
        <w:tblLayout w:type="fixed"/>
        <w:tblCellMar>
          <w:top w:w="0" w:type="dxa"/>
          <w:left w:w="108" w:type="dxa"/>
          <w:bottom w:w="0" w:type="dxa"/>
          <w:right w:w="108" w:type="dxa"/>
        </w:tblCellMar>
      </w:tblPr>
      <w:tblGrid>
        <w:gridCol w:w="2232"/>
        <w:gridCol w:w="4320"/>
        <w:gridCol w:w="3053"/>
      </w:tblGrid>
      <w:tr w14:paraId="583F6F32">
        <w:trPr>
          <w:cantSplit/>
          <w:tblHeader/>
          <w:jc w:val="center"/>
        </w:trPr>
        <w:tc>
          <w:tcPr>
            <w:tcW w:w="2232"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496C9B1E">
            <w:pPr>
              <w:spacing w:before="20" w:after="40" w:line="252" w:lineRule="auto"/>
            </w:pPr>
            <w:r>
              <w:rPr>
                <w:rFonts w:ascii="Times New Roman" w:hAnsi="Times New Roman"/>
                <w:b/>
                <w:color w:val="000000"/>
                <w:sz w:val="19"/>
              </w:rPr>
              <w:t>Outcome domain</w:t>
            </w:r>
          </w:p>
        </w:tc>
        <w:tc>
          <w:tcPr>
            <w:tcW w:w="4320"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136A75DE">
            <w:pPr>
              <w:spacing w:before="20" w:after="40" w:line="252" w:lineRule="auto"/>
            </w:pPr>
            <w:r>
              <w:rPr>
                <w:rFonts w:ascii="Times New Roman" w:hAnsi="Times New Roman"/>
                <w:b/>
                <w:color w:val="000000"/>
                <w:sz w:val="19"/>
              </w:rPr>
              <w:t>Original labels or measure examples</w:t>
            </w:r>
          </w:p>
        </w:tc>
        <w:tc>
          <w:tcPr>
            <w:tcW w:w="3053"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0ABC590B">
            <w:pPr>
              <w:spacing w:before="20" w:after="40" w:line="252" w:lineRule="auto"/>
            </w:pPr>
            <w:r>
              <w:rPr>
                <w:rFonts w:ascii="Times New Roman" w:hAnsi="Times New Roman"/>
                <w:b/>
                <w:color w:val="000000"/>
                <w:sz w:val="19"/>
              </w:rPr>
              <w:t>Brief definition</w:t>
            </w:r>
          </w:p>
        </w:tc>
      </w:tr>
      <w:tr w14:paraId="5C210036">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79400518">
            <w:pPr>
              <w:spacing w:before="20" w:after="40" w:line="252" w:lineRule="auto"/>
            </w:pPr>
            <w:r>
              <w:rPr>
                <w:rFonts w:ascii="Times New Roman" w:hAnsi="Times New Roman"/>
                <w:color w:val="000000"/>
                <w:sz w:val="19"/>
              </w:rPr>
              <w:t>ED psychopathology</w:t>
            </w:r>
          </w:p>
        </w:tc>
        <w:tc>
          <w:tcPr>
            <w:tcW w:w="4320" w:type="dxa"/>
            <w:tcBorders>
              <w:top w:val="nil"/>
              <w:left w:val="nil"/>
              <w:bottom w:val="nil"/>
              <w:right w:val="nil"/>
            </w:tcBorders>
            <w:tcMar>
              <w:top w:w="65" w:type="dxa"/>
              <w:left w:w="65" w:type="dxa"/>
              <w:bottom w:w="65" w:type="dxa"/>
              <w:right w:w="65" w:type="dxa"/>
            </w:tcMar>
            <w:vAlign w:val="center"/>
          </w:tcPr>
          <w:p w14:paraId="0CADD075">
            <w:pPr>
              <w:spacing w:before="20" w:after="40" w:line="252" w:lineRule="auto"/>
            </w:pPr>
            <w:r>
              <w:rPr>
                <w:rFonts w:ascii="Times New Roman" w:hAnsi="Times New Roman"/>
                <w:color w:val="000000"/>
                <w:sz w:val="19"/>
              </w:rPr>
              <w:t>ED psychopathology. Overall ED symptoms. Eating disorder psychopathology. Body-image components. EDE/EDE-Q, BES, EBQ and shape/weight concerns.</w:t>
            </w:r>
          </w:p>
        </w:tc>
        <w:tc>
          <w:tcPr>
            <w:tcW w:w="3053" w:type="dxa"/>
            <w:tcBorders>
              <w:top w:val="nil"/>
              <w:left w:val="nil"/>
              <w:bottom w:val="nil"/>
              <w:right w:val="nil"/>
            </w:tcBorders>
            <w:tcMar>
              <w:top w:w="65" w:type="dxa"/>
              <w:left w:w="65" w:type="dxa"/>
              <w:bottom w:w="65" w:type="dxa"/>
              <w:right w:w="65" w:type="dxa"/>
            </w:tcMar>
            <w:vAlign w:val="center"/>
          </w:tcPr>
          <w:p w14:paraId="35B3AF11">
            <w:pPr>
              <w:spacing w:before="20" w:after="40" w:line="252" w:lineRule="auto"/>
            </w:pPr>
            <w:r>
              <w:rPr>
                <w:rFonts w:ascii="Times New Roman" w:hAnsi="Times New Roman"/>
                <w:color w:val="000000"/>
                <w:sz w:val="19"/>
              </w:rPr>
              <w:t>Overall eating-disorder severity and related eating, shape and weight beliefs.</w:t>
            </w:r>
          </w:p>
        </w:tc>
      </w:tr>
      <w:tr w14:paraId="6F8021E6">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448159B1">
            <w:pPr>
              <w:spacing w:before="20" w:after="40" w:line="252" w:lineRule="auto"/>
            </w:pPr>
            <w:r>
              <w:rPr>
                <w:rFonts w:ascii="Times New Roman" w:hAnsi="Times New Roman"/>
                <w:color w:val="000000"/>
                <w:sz w:val="19"/>
              </w:rPr>
              <w:t>Acceptability/adherence</w:t>
            </w:r>
          </w:p>
        </w:tc>
        <w:tc>
          <w:tcPr>
            <w:tcW w:w="4320" w:type="dxa"/>
            <w:tcBorders>
              <w:top w:val="nil"/>
              <w:left w:val="nil"/>
              <w:bottom w:val="nil"/>
              <w:right w:val="nil"/>
            </w:tcBorders>
            <w:tcMar>
              <w:top w:w="65" w:type="dxa"/>
              <w:left w:w="65" w:type="dxa"/>
              <w:bottom w:w="65" w:type="dxa"/>
              <w:right w:w="65" w:type="dxa"/>
            </w:tcMar>
            <w:vAlign w:val="center"/>
          </w:tcPr>
          <w:p w14:paraId="303EC951">
            <w:pPr>
              <w:spacing w:before="20" w:after="40" w:line="252" w:lineRule="auto"/>
            </w:pPr>
            <w:r>
              <w:rPr>
                <w:rFonts w:ascii="Times New Roman" w:hAnsi="Times New Roman"/>
                <w:color w:val="000000"/>
                <w:sz w:val="19"/>
              </w:rPr>
              <w:t>Feasibility/acceptability. Feasibility/process. Treatment maintenance. Adherence, dropout, engagement, treatment dose, satisfaction and alliance.</w:t>
            </w:r>
          </w:p>
        </w:tc>
        <w:tc>
          <w:tcPr>
            <w:tcW w:w="3053" w:type="dxa"/>
            <w:tcBorders>
              <w:top w:val="nil"/>
              <w:left w:val="nil"/>
              <w:bottom w:val="nil"/>
              <w:right w:val="nil"/>
            </w:tcBorders>
            <w:tcMar>
              <w:top w:w="65" w:type="dxa"/>
              <w:left w:w="65" w:type="dxa"/>
              <w:bottom w:w="65" w:type="dxa"/>
              <w:right w:w="65" w:type="dxa"/>
            </w:tcMar>
            <w:vAlign w:val="center"/>
          </w:tcPr>
          <w:p w14:paraId="3C6DE662">
            <w:pPr>
              <w:spacing w:before="20" w:after="40" w:line="252" w:lineRule="auto"/>
            </w:pPr>
            <w:r>
              <w:rPr>
                <w:rFonts w:ascii="Times New Roman" w:hAnsi="Times New Roman"/>
                <w:color w:val="000000"/>
                <w:sz w:val="19"/>
              </w:rPr>
              <w:t>Acceptance of, engagement with and continued participation in treatment.</w:t>
            </w:r>
          </w:p>
        </w:tc>
      </w:tr>
      <w:tr w14:paraId="4ED35FCF">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760FFA3B">
            <w:pPr>
              <w:spacing w:before="20" w:after="40" w:line="252" w:lineRule="auto"/>
            </w:pPr>
            <w:r>
              <w:rPr>
                <w:rFonts w:ascii="Times New Roman" w:hAnsi="Times New Roman"/>
                <w:color w:val="000000"/>
                <w:sz w:val="19"/>
              </w:rPr>
              <w:t>Diagnostic behaviors</w:t>
            </w:r>
          </w:p>
        </w:tc>
        <w:tc>
          <w:tcPr>
            <w:tcW w:w="4320" w:type="dxa"/>
            <w:tcBorders>
              <w:top w:val="nil"/>
              <w:left w:val="nil"/>
              <w:bottom w:val="nil"/>
              <w:right w:val="nil"/>
            </w:tcBorders>
            <w:tcMar>
              <w:top w:w="65" w:type="dxa"/>
              <w:left w:w="65" w:type="dxa"/>
              <w:bottom w:w="65" w:type="dxa"/>
              <w:right w:w="65" w:type="dxa"/>
            </w:tcMar>
            <w:vAlign w:val="center"/>
          </w:tcPr>
          <w:p w14:paraId="4B221828">
            <w:pPr>
              <w:spacing w:before="20" w:after="40" w:line="252" w:lineRule="auto"/>
            </w:pPr>
            <w:r>
              <w:rPr>
                <w:rFonts w:ascii="Times New Roman" w:hAnsi="Times New Roman"/>
                <w:color w:val="000000"/>
                <w:sz w:val="19"/>
              </w:rPr>
              <w:t>Binge eating. Binge/purge or binge/compensatory behaviors. Behavioral abstinence/remission. Objective binge episodes/days and exercise frequency.</w:t>
            </w:r>
          </w:p>
        </w:tc>
        <w:tc>
          <w:tcPr>
            <w:tcW w:w="3053" w:type="dxa"/>
            <w:tcBorders>
              <w:top w:val="nil"/>
              <w:left w:val="nil"/>
              <w:bottom w:val="nil"/>
              <w:right w:val="nil"/>
            </w:tcBorders>
            <w:tcMar>
              <w:top w:w="65" w:type="dxa"/>
              <w:left w:w="65" w:type="dxa"/>
              <w:bottom w:w="65" w:type="dxa"/>
              <w:right w:w="65" w:type="dxa"/>
            </w:tcMar>
            <w:vAlign w:val="center"/>
          </w:tcPr>
          <w:p w14:paraId="2795B236">
            <w:pPr>
              <w:spacing w:before="20" w:after="40" w:line="252" w:lineRule="auto"/>
            </w:pPr>
            <w:r>
              <w:rPr>
                <w:rFonts w:ascii="Times New Roman" w:hAnsi="Times New Roman"/>
                <w:color w:val="000000"/>
                <w:sz w:val="19"/>
              </w:rPr>
              <w:t>Frequency or cessation of binge eating, purging, compensatory and related diagnostic behaviors.</w:t>
            </w:r>
          </w:p>
        </w:tc>
      </w:tr>
      <w:tr w14:paraId="6F75CBF7">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79F18E1E">
            <w:pPr>
              <w:spacing w:before="20" w:after="40" w:line="252" w:lineRule="auto"/>
            </w:pPr>
            <w:r>
              <w:rPr>
                <w:rFonts w:ascii="Times New Roman" w:hAnsi="Times New Roman"/>
                <w:color w:val="000000"/>
                <w:sz w:val="19"/>
              </w:rPr>
              <w:t>General psychopathology</w:t>
            </w:r>
          </w:p>
        </w:tc>
        <w:tc>
          <w:tcPr>
            <w:tcW w:w="4320" w:type="dxa"/>
            <w:tcBorders>
              <w:top w:val="nil"/>
              <w:left w:val="nil"/>
              <w:bottom w:val="nil"/>
              <w:right w:val="nil"/>
            </w:tcBorders>
            <w:tcMar>
              <w:top w:w="65" w:type="dxa"/>
              <w:left w:w="65" w:type="dxa"/>
              <w:bottom w:w="65" w:type="dxa"/>
              <w:right w:w="65" w:type="dxa"/>
            </w:tcMar>
            <w:vAlign w:val="center"/>
          </w:tcPr>
          <w:p w14:paraId="722F3649">
            <w:pPr>
              <w:spacing w:before="20" w:after="40" w:line="252" w:lineRule="auto"/>
            </w:pPr>
            <w:r>
              <w:rPr>
                <w:rFonts w:ascii="Times New Roman" w:hAnsi="Times New Roman"/>
                <w:color w:val="000000"/>
                <w:sz w:val="19"/>
              </w:rPr>
              <w:t>Psychological comorbidity. PTSD symptoms. General emotion regulation. Depression, anxiety, self-esteem, perfectionism, self-compassion, shame and general impulsivity.</w:t>
            </w:r>
          </w:p>
        </w:tc>
        <w:tc>
          <w:tcPr>
            <w:tcW w:w="3053" w:type="dxa"/>
            <w:tcBorders>
              <w:top w:val="nil"/>
              <w:left w:val="nil"/>
              <w:bottom w:val="nil"/>
              <w:right w:val="nil"/>
            </w:tcBorders>
            <w:tcMar>
              <w:top w:w="65" w:type="dxa"/>
              <w:left w:w="65" w:type="dxa"/>
              <w:bottom w:w="65" w:type="dxa"/>
              <w:right w:w="65" w:type="dxa"/>
            </w:tcMar>
            <w:vAlign w:val="center"/>
          </w:tcPr>
          <w:p w14:paraId="4CD767B7">
            <w:pPr>
              <w:spacing w:before="20" w:after="40" w:line="252" w:lineRule="auto"/>
            </w:pPr>
            <w:r>
              <w:rPr>
                <w:rFonts w:ascii="Times New Roman" w:hAnsi="Times New Roman"/>
                <w:color w:val="000000"/>
                <w:sz w:val="19"/>
              </w:rPr>
              <w:t>Psychological symptoms and general emotional or personality characteristics beyond eating-disorder-specific symptoms.</w:t>
            </w:r>
          </w:p>
        </w:tc>
      </w:tr>
      <w:tr w14:paraId="59283617">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1E4F388A">
            <w:pPr>
              <w:spacing w:before="20" w:after="40" w:line="252" w:lineRule="auto"/>
            </w:pPr>
            <w:r>
              <w:rPr>
                <w:rFonts w:ascii="Times New Roman" w:hAnsi="Times New Roman"/>
                <w:color w:val="000000"/>
                <w:sz w:val="19"/>
              </w:rPr>
              <w:t>Nutritional status</w:t>
            </w:r>
          </w:p>
        </w:tc>
        <w:tc>
          <w:tcPr>
            <w:tcW w:w="4320" w:type="dxa"/>
            <w:tcBorders>
              <w:top w:val="nil"/>
              <w:left w:val="nil"/>
              <w:bottom w:val="nil"/>
              <w:right w:val="nil"/>
            </w:tcBorders>
            <w:tcMar>
              <w:top w:w="65" w:type="dxa"/>
              <w:left w:w="65" w:type="dxa"/>
              <w:bottom w:w="65" w:type="dxa"/>
              <w:right w:w="65" w:type="dxa"/>
            </w:tcMar>
            <w:vAlign w:val="center"/>
          </w:tcPr>
          <w:p w14:paraId="28A97F6E">
            <w:pPr>
              <w:spacing w:before="20" w:after="40" w:line="252" w:lineRule="auto"/>
            </w:pPr>
            <w:r>
              <w:rPr>
                <w:rFonts w:ascii="Times New Roman" w:hAnsi="Times New Roman"/>
                <w:color w:val="000000"/>
                <w:sz w:val="19"/>
              </w:rPr>
              <w:t>Weight/BMI. Weight remission. Weight components of combined ED/weight records. Percentage expected body weight. Physical health/MAP-HSS.</w:t>
            </w:r>
          </w:p>
        </w:tc>
        <w:tc>
          <w:tcPr>
            <w:tcW w:w="3053" w:type="dxa"/>
            <w:tcBorders>
              <w:top w:val="nil"/>
              <w:left w:val="nil"/>
              <w:bottom w:val="nil"/>
              <w:right w:val="nil"/>
            </w:tcBorders>
            <w:tcMar>
              <w:top w:w="65" w:type="dxa"/>
              <w:left w:w="65" w:type="dxa"/>
              <w:bottom w:w="65" w:type="dxa"/>
              <w:right w:w="65" w:type="dxa"/>
            </w:tcMar>
            <w:vAlign w:val="center"/>
          </w:tcPr>
          <w:p w14:paraId="463ECD03">
            <w:pPr>
              <w:spacing w:before="20" w:after="40" w:line="252" w:lineRule="auto"/>
            </w:pPr>
            <w:r>
              <w:rPr>
                <w:rFonts w:ascii="Times New Roman" w:hAnsi="Times New Roman"/>
                <w:color w:val="000000"/>
                <w:sz w:val="19"/>
              </w:rPr>
              <w:t>Weight, weight restoration and related physical health.</w:t>
            </w:r>
          </w:p>
        </w:tc>
      </w:tr>
      <w:tr w14:paraId="781851BD">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4070B9AC">
            <w:pPr>
              <w:spacing w:before="20" w:after="40" w:line="252" w:lineRule="auto"/>
            </w:pPr>
            <w:r>
              <w:rPr>
                <w:rFonts w:ascii="Times New Roman" w:hAnsi="Times New Roman"/>
                <w:color w:val="000000"/>
                <w:sz w:val="19"/>
              </w:rPr>
              <w:t>Mechanistic/cognitive</w:t>
            </w:r>
          </w:p>
        </w:tc>
        <w:tc>
          <w:tcPr>
            <w:tcW w:w="4320" w:type="dxa"/>
            <w:tcBorders>
              <w:top w:val="nil"/>
              <w:left w:val="nil"/>
              <w:bottom w:val="nil"/>
              <w:right w:val="nil"/>
            </w:tcBorders>
            <w:tcMar>
              <w:top w:w="65" w:type="dxa"/>
              <w:left w:w="65" w:type="dxa"/>
              <w:bottom w:w="65" w:type="dxa"/>
              <w:right w:w="65" w:type="dxa"/>
            </w:tcMar>
            <w:vAlign w:val="center"/>
          </w:tcPr>
          <w:p w14:paraId="34490A58">
            <w:pPr>
              <w:spacing w:before="20" w:after="40" w:line="252" w:lineRule="auto"/>
            </w:pPr>
            <w:r>
              <w:rPr>
                <w:rFonts w:ascii="Times New Roman" w:hAnsi="Times New Roman"/>
                <w:color w:val="000000"/>
                <w:sz w:val="19"/>
              </w:rPr>
              <w:t>Cognitive bias/mechanism. Mentalization. Neural/neurophysiological measures. Food craving/reactivity. Readiness/motivation. Cognitive tasks, BRIEF-A and RFQ.</w:t>
            </w:r>
          </w:p>
        </w:tc>
        <w:tc>
          <w:tcPr>
            <w:tcW w:w="3053" w:type="dxa"/>
            <w:tcBorders>
              <w:top w:val="nil"/>
              <w:left w:val="nil"/>
              <w:bottom w:val="nil"/>
              <w:right w:val="nil"/>
            </w:tcBorders>
            <w:tcMar>
              <w:top w:w="65" w:type="dxa"/>
              <w:left w:w="65" w:type="dxa"/>
              <w:bottom w:w="65" w:type="dxa"/>
              <w:right w:w="65" w:type="dxa"/>
            </w:tcMar>
            <w:vAlign w:val="center"/>
          </w:tcPr>
          <w:p w14:paraId="7DC6FAE9">
            <w:pPr>
              <w:spacing w:before="20" w:after="40" w:line="252" w:lineRule="auto"/>
            </w:pPr>
            <w:r>
              <w:rPr>
                <w:rFonts w:ascii="Times New Roman" w:hAnsi="Times New Roman"/>
                <w:color w:val="000000"/>
                <w:sz w:val="19"/>
              </w:rPr>
              <w:t>Candidate treatment-process measures of cognitive processing, food-related responses and motivation to change.</w:t>
            </w:r>
          </w:p>
        </w:tc>
      </w:tr>
      <w:tr w14:paraId="41D6E0E9">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008C677D">
            <w:pPr>
              <w:spacing w:before="20" w:after="40" w:line="252" w:lineRule="auto"/>
            </w:pPr>
            <w:r>
              <w:rPr>
                <w:rFonts w:ascii="Times New Roman" w:hAnsi="Times New Roman"/>
                <w:color w:val="000000"/>
                <w:sz w:val="19"/>
              </w:rPr>
              <w:t>Functioning/QoL</w:t>
            </w:r>
          </w:p>
        </w:tc>
        <w:tc>
          <w:tcPr>
            <w:tcW w:w="4320" w:type="dxa"/>
            <w:tcBorders>
              <w:top w:val="nil"/>
              <w:left w:val="nil"/>
              <w:bottom w:val="nil"/>
              <w:right w:val="nil"/>
            </w:tcBorders>
            <w:tcMar>
              <w:top w:w="65" w:type="dxa"/>
              <w:left w:w="65" w:type="dxa"/>
              <w:bottom w:w="65" w:type="dxa"/>
              <w:right w:w="65" w:type="dxa"/>
            </w:tcMar>
            <w:vAlign w:val="center"/>
          </w:tcPr>
          <w:p w14:paraId="21277061">
            <w:pPr>
              <w:spacing w:before="20" w:after="40" w:line="252" w:lineRule="auto"/>
            </w:pPr>
            <w:r>
              <w:rPr>
                <w:rFonts w:ascii="Times New Roman" w:hAnsi="Times New Roman"/>
                <w:color w:val="000000"/>
                <w:sz w:val="19"/>
              </w:rPr>
              <w:t>Functioning/quality of life. Functional impairment. ED impairment. Interpersonal outcomes. CIA, SWLS, WSAS, IIP and quality-of-life scales.</w:t>
            </w:r>
          </w:p>
        </w:tc>
        <w:tc>
          <w:tcPr>
            <w:tcW w:w="3053" w:type="dxa"/>
            <w:tcBorders>
              <w:top w:val="nil"/>
              <w:left w:val="nil"/>
              <w:bottom w:val="nil"/>
              <w:right w:val="nil"/>
            </w:tcBorders>
            <w:tcMar>
              <w:top w:w="65" w:type="dxa"/>
              <w:left w:w="65" w:type="dxa"/>
              <w:bottom w:w="65" w:type="dxa"/>
              <w:right w:w="65" w:type="dxa"/>
            </w:tcMar>
            <w:vAlign w:val="center"/>
          </w:tcPr>
          <w:p w14:paraId="12ADD5A4">
            <w:pPr>
              <w:spacing w:before="20" w:after="40" w:line="252" w:lineRule="auto"/>
            </w:pPr>
            <w:r>
              <w:rPr>
                <w:rFonts w:ascii="Times New Roman" w:hAnsi="Times New Roman"/>
                <w:color w:val="000000"/>
                <w:sz w:val="19"/>
              </w:rPr>
              <w:t>Impairment in daily, social and interpersonal functioning, and perceived quality of life.</w:t>
            </w:r>
          </w:p>
        </w:tc>
      </w:tr>
      <w:tr w14:paraId="0B94DAE1">
        <w:trPr>
          <w:cantSplit/>
          <w:jc w:val="center"/>
        </w:trPr>
        <w:tc>
          <w:tcPr>
            <w:tcW w:w="2232" w:type="dxa"/>
            <w:tcBorders>
              <w:top w:val="nil"/>
              <w:left w:val="nil"/>
              <w:bottom w:val="nil"/>
              <w:right w:val="nil"/>
            </w:tcBorders>
            <w:tcMar>
              <w:top w:w="65" w:type="dxa"/>
              <w:left w:w="65" w:type="dxa"/>
              <w:bottom w:w="65" w:type="dxa"/>
              <w:right w:w="65" w:type="dxa"/>
            </w:tcMar>
            <w:vAlign w:val="center"/>
          </w:tcPr>
          <w:p w14:paraId="4F210E7E">
            <w:pPr>
              <w:spacing w:before="20" w:after="40" w:line="252" w:lineRule="auto"/>
            </w:pPr>
            <w:r>
              <w:rPr>
                <w:rFonts w:ascii="Times New Roman" w:hAnsi="Times New Roman"/>
                <w:color w:val="000000"/>
                <w:sz w:val="19"/>
              </w:rPr>
              <w:t>Caregiving impact</w:t>
            </w:r>
          </w:p>
        </w:tc>
        <w:tc>
          <w:tcPr>
            <w:tcW w:w="4320" w:type="dxa"/>
            <w:tcBorders>
              <w:top w:val="nil"/>
              <w:left w:val="nil"/>
              <w:bottom w:val="nil"/>
              <w:right w:val="nil"/>
            </w:tcBorders>
            <w:tcMar>
              <w:top w:w="65" w:type="dxa"/>
              <w:left w:w="65" w:type="dxa"/>
              <w:bottom w:w="65" w:type="dxa"/>
              <w:right w:w="65" w:type="dxa"/>
            </w:tcMar>
            <w:vAlign w:val="center"/>
          </w:tcPr>
          <w:p w14:paraId="541936ED">
            <w:pPr>
              <w:spacing w:before="20" w:after="40" w:line="252" w:lineRule="auto"/>
            </w:pPr>
            <w:r>
              <w:rPr>
                <w:rFonts w:ascii="Times New Roman" w:hAnsi="Times New Roman"/>
                <w:color w:val="000000"/>
                <w:sz w:val="19"/>
              </w:rPr>
              <w:t>Caregiver/family functioning. Caregiver DASS and CASK. Parental self-efficacy. PVA/PvAN.</w:t>
            </w:r>
          </w:p>
        </w:tc>
        <w:tc>
          <w:tcPr>
            <w:tcW w:w="3053" w:type="dxa"/>
            <w:tcBorders>
              <w:top w:val="nil"/>
              <w:left w:val="nil"/>
              <w:bottom w:val="nil"/>
              <w:right w:val="nil"/>
            </w:tcBorders>
            <w:tcMar>
              <w:top w:w="65" w:type="dxa"/>
              <w:left w:w="65" w:type="dxa"/>
              <w:bottom w:w="65" w:type="dxa"/>
              <w:right w:w="65" w:type="dxa"/>
            </w:tcMar>
            <w:vAlign w:val="center"/>
          </w:tcPr>
          <w:p w14:paraId="6AE8F78D">
            <w:pPr>
              <w:spacing w:before="20" w:after="40" w:line="252" w:lineRule="auto"/>
            </w:pPr>
            <w:r>
              <w:rPr>
                <w:rFonts w:ascii="Times New Roman" w:hAnsi="Times New Roman"/>
                <w:color w:val="000000"/>
                <w:sz w:val="19"/>
              </w:rPr>
              <w:t>Carer burden, psychological wellbeing, coping skills and caregiving self-efficacy.</w:t>
            </w:r>
          </w:p>
        </w:tc>
      </w:tr>
      <w:tr w14:paraId="267477B7">
        <w:trPr>
          <w:cantSplit/>
          <w:jc w:val="center"/>
        </w:trPr>
        <w:tc>
          <w:tcPr>
            <w:tcW w:w="2232" w:type="dxa"/>
            <w:tcBorders>
              <w:top w:val="nil"/>
              <w:left w:val="nil"/>
              <w:bottom w:val="single" w:color="000000" w:sz="6" w:space="0"/>
              <w:right w:val="nil"/>
            </w:tcBorders>
            <w:tcMar>
              <w:top w:w="65" w:type="dxa"/>
              <w:left w:w="65" w:type="dxa"/>
              <w:bottom w:w="65" w:type="dxa"/>
              <w:right w:w="65" w:type="dxa"/>
            </w:tcMar>
            <w:vAlign w:val="center"/>
          </w:tcPr>
          <w:p w14:paraId="6B3B8DB4">
            <w:pPr>
              <w:spacing w:before="20" w:after="40" w:line="252" w:lineRule="auto"/>
            </w:pPr>
            <w:r>
              <w:rPr>
                <w:rFonts w:ascii="Times New Roman" w:hAnsi="Times New Roman"/>
                <w:color w:val="000000"/>
                <w:sz w:val="19"/>
              </w:rPr>
              <w:t>Cost-effectiveness/resource use</w:t>
            </w:r>
          </w:p>
        </w:tc>
        <w:tc>
          <w:tcPr>
            <w:tcW w:w="4320" w:type="dxa"/>
            <w:tcBorders>
              <w:top w:val="nil"/>
              <w:left w:val="nil"/>
              <w:bottom w:val="single" w:color="000000" w:sz="6" w:space="0"/>
              <w:right w:val="nil"/>
            </w:tcBorders>
            <w:tcMar>
              <w:top w:w="65" w:type="dxa"/>
              <w:left w:w="65" w:type="dxa"/>
              <w:bottom w:w="65" w:type="dxa"/>
              <w:right w:w="65" w:type="dxa"/>
            </w:tcMar>
            <w:vAlign w:val="center"/>
          </w:tcPr>
          <w:p w14:paraId="774C5BEC">
            <w:pPr>
              <w:spacing w:before="20" w:after="40" w:line="252" w:lineRule="auto"/>
            </w:pPr>
            <w:r>
              <w:rPr>
                <w:rFonts w:ascii="Times New Roman" w:hAnsi="Times New Roman"/>
                <w:color w:val="000000"/>
                <w:sz w:val="19"/>
              </w:rPr>
              <w:t>Cost-effectiveness. Healthcare use. Hospitalization. Costs, QALYs and service use.</w:t>
            </w:r>
          </w:p>
        </w:tc>
        <w:tc>
          <w:tcPr>
            <w:tcW w:w="3053" w:type="dxa"/>
            <w:tcBorders>
              <w:top w:val="nil"/>
              <w:left w:val="nil"/>
              <w:bottom w:val="single" w:color="000000" w:sz="6" w:space="0"/>
              <w:right w:val="nil"/>
            </w:tcBorders>
            <w:tcMar>
              <w:top w:w="65" w:type="dxa"/>
              <w:left w:w="65" w:type="dxa"/>
              <w:bottom w:w="65" w:type="dxa"/>
              <w:right w:w="65" w:type="dxa"/>
            </w:tcMar>
            <w:vAlign w:val="center"/>
          </w:tcPr>
          <w:p w14:paraId="78E20C46">
            <w:pPr>
              <w:spacing w:before="20" w:after="40" w:line="252" w:lineRule="auto"/>
            </w:pPr>
            <w:r>
              <w:rPr>
                <w:rFonts w:ascii="Times New Roman" w:hAnsi="Times New Roman"/>
                <w:color w:val="000000"/>
                <w:sz w:val="19"/>
              </w:rPr>
              <w:t>Treatment-related costs, healthcare resource use and economic value.</w:t>
            </w:r>
          </w:p>
        </w:tc>
      </w:tr>
    </w:tbl>
    <w:p w14:paraId="3AADC811">
      <w:pPr>
        <w:keepNext w:val="0"/>
        <w:spacing w:line="240" w:lineRule="auto"/>
      </w:pPr>
      <w:r>
        <w:rPr>
          <w:color w:val="000000"/>
        </w:rPr>
        <w:t>Note. Mapping jointly considers Outcome domain, Construct, Scale/measure and Other outcomes assessed in this trial. Compound records can enter more than one domain. Each RCT is counted once per diagnosis per domain. Weight or shape concern belongs to ED psychopathology, whereas measured weight/BMI belongs to nutritional status. Behavioral abstinence is distinguished from scale-defined symptom remission. Patient outcomes are distinguished from carer outcomes. Specific cognitive tasks/processes are distinguished from general psychological symptoms. Assessed acceptability, adherence and treatment-process outcomes qualify, but baseline-only characteristics and flow-chart counts alone do not. Harms are reported separately. Resource use alone does not imply a full cost-effectiveness analysis. ED, eating disorder. QoL, quality of life. BMI, body mass index. QALY, quality-adjusted life-year.</w:t>
      </w:r>
    </w:p>
    <w:p w14:paraId="270C85C9">
      <w:r>
        <w:br w:type="page"/>
      </w:r>
    </w:p>
    <w:p w14:paraId="218D7687">
      <w:pPr>
        <w:pStyle w:val="4"/>
        <w:keepNext/>
      </w:pPr>
      <w:r>
        <w:rPr>
          <w:color w:val="000000"/>
        </w:rPr>
        <w:t>Table 6 Key reporting considerations for psychological treatment RCTs</w:t>
      </w:r>
    </w:p>
    <w:tbl>
      <w:tblPr>
        <w:tblStyle w:val="32"/>
        <w:tblW w:w="0" w:type="auto"/>
        <w:jc w:val="center"/>
        <w:tblLayout w:type="fixed"/>
        <w:tblCellMar>
          <w:top w:w="0" w:type="dxa"/>
          <w:left w:w="108" w:type="dxa"/>
          <w:bottom w:w="0" w:type="dxa"/>
          <w:right w:w="108" w:type="dxa"/>
        </w:tblCellMar>
      </w:tblPr>
      <w:tblGrid>
        <w:gridCol w:w="2160"/>
        <w:gridCol w:w="4032"/>
        <w:gridCol w:w="3413"/>
      </w:tblGrid>
      <w:tr w14:paraId="082CA737">
        <w:trPr>
          <w:cantSplit/>
          <w:tblHeader/>
          <w:jc w:val="center"/>
        </w:trPr>
        <w:tc>
          <w:tcPr>
            <w:tcW w:w="2160"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0197F390">
            <w:pPr>
              <w:spacing w:before="20" w:after="40" w:line="252" w:lineRule="auto"/>
            </w:pPr>
            <w:r>
              <w:rPr>
                <w:rFonts w:ascii="Times New Roman" w:hAnsi="Times New Roman"/>
                <w:b/>
                <w:color w:val="000000"/>
                <w:sz w:val="19"/>
              </w:rPr>
              <w:t>Reporting item</w:t>
            </w:r>
          </w:p>
        </w:tc>
        <w:tc>
          <w:tcPr>
            <w:tcW w:w="4032"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33E4F805">
            <w:pPr>
              <w:spacing w:before="20" w:after="40" w:line="252" w:lineRule="auto"/>
            </w:pPr>
            <w:r>
              <w:rPr>
                <w:rFonts w:ascii="Times New Roman" w:hAnsi="Times New Roman"/>
                <w:b/>
                <w:color w:val="000000"/>
                <w:sz w:val="19"/>
              </w:rPr>
              <w:t>Information to report</w:t>
            </w:r>
          </w:p>
        </w:tc>
        <w:tc>
          <w:tcPr>
            <w:tcW w:w="3413" w:type="dxa"/>
            <w:tcBorders>
              <w:top w:val="single" w:color="000000" w:sz="6" w:space="0"/>
              <w:left w:val="nil"/>
              <w:bottom w:val="single" w:color="000000" w:sz="6" w:space="0"/>
              <w:right w:val="nil"/>
            </w:tcBorders>
            <w:tcMar>
              <w:top w:w="65" w:type="dxa"/>
              <w:left w:w="65" w:type="dxa"/>
              <w:bottom w:w="65" w:type="dxa"/>
              <w:right w:w="65" w:type="dxa"/>
            </w:tcMar>
            <w:vAlign w:val="center"/>
          </w:tcPr>
          <w:p w14:paraId="02E46598">
            <w:pPr>
              <w:spacing w:before="20" w:after="40" w:line="252" w:lineRule="auto"/>
            </w:pPr>
            <w:r>
              <w:rPr>
                <w:rFonts w:ascii="Times New Roman" w:hAnsi="Times New Roman"/>
                <w:b/>
                <w:color w:val="000000"/>
                <w:sz w:val="19"/>
              </w:rPr>
              <w:t>Purpose</w:t>
            </w:r>
          </w:p>
        </w:tc>
      </w:tr>
      <w:tr w14:paraId="73ED150A">
        <w:trPr>
          <w:cantSplit/>
          <w:jc w:val="center"/>
        </w:trPr>
        <w:tc>
          <w:tcPr>
            <w:tcW w:w="3413" w:type="dxa"/>
            <w:gridSpan w:val="3"/>
            <w:tcBorders>
              <w:top w:val="nil"/>
              <w:left w:val="nil"/>
              <w:bottom w:val="nil"/>
              <w:right w:val="nil"/>
            </w:tcBorders>
            <w:tcMar>
              <w:top w:w="65" w:type="dxa"/>
              <w:left w:w="65" w:type="dxa"/>
              <w:bottom w:w="65" w:type="dxa"/>
              <w:right w:w="65" w:type="dxa"/>
            </w:tcMar>
            <w:vAlign w:val="center"/>
          </w:tcPr>
          <w:p w14:paraId="6ACE6706">
            <w:pPr>
              <w:keepNext/>
              <w:spacing w:before="20" w:after="40" w:line="252" w:lineRule="auto"/>
            </w:pPr>
            <w:r>
              <w:rPr>
                <w:rFonts w:ascii="Times New Roman" w:hAnsi="Times New Roman"/>
                <w:b/>
                <w:color w:val="000000"/>
                <w:sz w:val="19"/>
              </w:rPr>
              <w:t>Before randomization</w:t>
            </w:r>
          </w:p>
        </w:tc>
      </w:tr>
      <w:tr w14:paraId="128C78FA">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653D5F54">
            <w:pPr>
              <w:spacing w:before="20" w:after="40" w:line="252" w:lineRule="auto"/>
            </w:pPr>
            <w:r>
              <w:rPr>
                <w:rFonts w:ascii="Times New Roman" w:hAnsi="Times New Roman"/>
                <w:color w:val="000000"/>
                <w:sz w:val="19"/>
              </w:rPr>
              <w:t>Prospective registration and protocol</w:t>
            </w:r>
          </w:p>
        </w:tc>
        <w:tc>
          <w:tcPr>
            <w:tcW w:w="4032" w:type="dxa"/>
            <w:tcBorders>
              <w:top w:val="nil"/>
              <w:left w:val="nil"/>
              <w:bottom w:val="nil"/>
              <w:right w:val="nil"/>
            </w:tcBorders>
            <w:tcMar>
              <w:top w:w="65" w:type="dxa"/>
              <w:left w:w="65" w:type="dxa"/>
              <w:bottom w:w="65" w:type="dxa"/>
              <w:right w:w="65" w:type="dxa"/>
            </w:tcMar>
            <w:vAlign w:val="center"/>
          </w:tcPr>
          <w:p w14:paraId="45235D2F">
            <w:pPr>
              <w:spacing w:before="20" w:after="40" w:line="252" w:lineRule="auto"/>
            </w:pPr>
            <w:r>
              <w:rPr>
                <w:rFonts w:ascii="Times New Roman" w:hAnsi="Times New Roman"/>
                <w:color w:val="000000"/>
                <w:sz w:val="19"/>
              </w:rPr>
              <w:t>Registration date in relation to first enrolment. Planned comparison, primary outcomes and time points. Later changes and reasons. Access to the protocol and statistical analysis plan.</w:t>
            </w:r>
          </w:p>
        </w:tc>
        <w:tc>
          <w:tcPr>
            <w:tcW w:w="3413" w:type="dxa"/>
            <w:tcBorders>
              <w:top w:val="nil"/>
              <w:left w:val="nil"/>
              <w:bottom w:val="nil"/>
              <w:right w:val="nil"/>
            </w:tcBorders>
            <w:tcMar>
              <w:top w:w="65" w:type="dxa"/>
              <w:left w:w="65" w:type="dxa"/>
              <w:bottom w:w="65" w:type="dxa"/>
              <w:right w:w="65" w:type="dxa"/>
            </w:tcMar>
            <w:vAlign w:val="center"/>
          </w:tcPr>
          <w:p w14:paraId="45F672E5">
            <w:pPr>
              <w:spacing w:before="20" w:after="40" w:line="252" w:lineRule="auto"/>
            </w:pPr>
            <w:r>
              <w:rPr>
                <w:rFonts w:ascii="Times New Roman" w:hAnsi="Times New Roman"/>
                <w:color w:val="000000"/>
                <w:sz w:val="19"/>
              </w:rPr>
              <w:t>Allows comparison of reported methods and outcomes with the original plan and assessment of possible selective reporting.</w:t>
            </w:r>
          </w:p>
        </w:tc>
      </w:tr>
      <w:tr w14:paraId="27613DC0">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4C360894">
            <w:pPr>
              <w:spacing w:before="20" w:after="40" w:line="252" w:lineRule="auto"/>
            </w:pPr>
            <w:r>
              <w:rPr>
                <w:rFonts w:ascii="Times New Roman" w:hAnsi="Times New Roman"/>
                <w:color w:val="000000"/>
                <w:sz w:val="19"/>
              </w:rPr>
              <w:t>Sample-size calculation</w:t>
            </w:r>
          </w:p>
        </w:tc>
        <w:tc>
          <w:tcPr>
            <w:tcW w:w="4032" w:type="dxa"/>
            <w:tcBorders>
              <w:top w:val="nil"/>
              <w:left w:val="nil"/>
              <w:bottom w:val="nil"/>
              <w:right w:val="nil"/>
            </w:tcBorders>
            <w:tcMar>
              <w:top w:w="65" w:type="dxa"/>
              <w:left w:w="65" w:type="dxa"/>
              <w:bottom w:w="65" w:type="dxa"/>
              <w:right w:w="65" w:type="dxa"/>
            </w:tcMar>
            <w:vAlign w:val="center"/>
          </w:tcPr>
          <w:p w14:paraId="0D45E295">
            <w:pPr>
              <w:spacing w:before="20" w:after="40" w:line="252" w:lineRule="auto"/>
            </w:pPr>
            <w:r>
              <w:rPr>
                <w:rFonts w:ascii="Times New Roman" w:hAnsi="Times New Roman"/>
                <w:color w:val="000000"/>
                <w:sz w:val="19"/>
              </w:rPr>
              <w:t>Assumptions, parameter sources, handling of clustering and the sample size actually achieved.</w:t>
            </w:r>
          </w:p>
        </w:tc>
        <w:tc>
          <w:tcPr>
            <w:tcW w:w="3413" w:type="dxa"/>
            <w:tcBorders>
              <w:top w:val="nil"/>
              <w:left w:val="nil"/>
              <w:bottom w:val="nil"/>
              <w:right w:val="nil"/>
            </w:tcBorders>
            <w:tcMar>
              <w:top w:w="65" w:type="dxa"/>
              <w:left w:w="65" w:type="dxa"/>
              <w:bottom w:w="65" w:type="dxa"/>
              <w:right w:w="65" w:type="dxa"/>
            </w:tcMar>
            <w:vAlign w:val="center"/>
          </w:tcPr>
          <w:p w14:paraId="3294C62D">
            <w:pPr>
              <w:spacing w:before="20" w:after="40" w:line="252" w:lineRule="auto"/>
            </w:pPr>
            <w:r>
              <w:rPr>
                <w:rFonts w:ascii="Times New Roman" w:hAnsi="Times New Roman"/>
                <w:color w:val="000000"/>
                <w:sz w:val="19"/>
              </w:rPr>
              <w:t>Helps readers assess whether the anticipated effect was overestimated and whether the precision supports the conclusions.</w:t>
            </w:r>
          </w:p>
        </w:tc>
      </w:tr>
      <w:tr w14:paraId="4C465E33">
        <w:trPr>
          <w:cantSplit/>
          <w:jc w:val="center"/>
        </w:trPr>
        <w:tc>
          <w:tcPr>
            <w:tcW w:w="3413" w:type="dxa"/>
            <w:gridSpan w:val="3"/>
            <w:tcBorders>
              <w:top w:val="nil"/>
              <w:left w:val="nil"/>
              <w:bottom w:val="nil"/>
              <w:right w:val="nil"/>
            </w:tcBorders>
            <w:tcMar>
              <w:top w:w="65" w:type="dxa"/>
              <w:left w:w="65" w:type="dxa"/>
              <w:bottom w:w="65" w:type="dxa"/>
              <w:right w:w="65" w:type="dxa"/>
            </w:tcMar>
            <w:vAlign w:val="center"/>
          </w:tcPr>
          <w:p w14:paraId="37B74F8A">
            <w:pPr>
              <w:keepNext/>
              <w:spacing w:before="20" w:after="40" w:line="252" w:lineRule="auto"/>
            </w:pPr>
            <w:r>
              <w:rPr>
                <w:rFonts w:ascii="Times New Roman" w:hAnsi="Times New Roman"/>
                <w:b/>
                <w:color w:val="000000"/>
                <w:sz w:val="19"/>
              </w:rPr>
              <w:t>At randomization</w:t>
            </w:r>
          </w:p>
        </w:tc>
      </w:tr>
      <w:tr w14:paraId="09F0FC40">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33BFCD71">
            <w:pPr>
              <w:spacing w:before="20" w:after="40" w:line="252" w:lineRule="auto"/>
            </w:pPr>
            <w:r>
              <w:rPr>
                <w:rFonts w:ascii="Times New Roman" w:hAnsi="Times New Roman"/>
                <w:color w:val="000000"/>
                <w:sz w:val="19"/>
              </w:rPr>
              <w:t>Sequence generation</w:t>
            </w:r>
          </w:p>
        </w:tc>
        <w:tc>
          <w:tcPr>
            <w:tcW w:w="4032" w:type="dxa"/>
            <w:tcBorders>
              <w:top w:val="nil"/>
              <w:left w:val="nil"/>
              <w:bottom w:val="nil"/>
              <w:right w:val="nil"/>
            </w:tcBorders>
            <w:tcMar>
              <w:top w:w="65" w:type="dxa"/>
              <w:left w:w="65" w:type="dxa"/>
              <w:bottom w:w="65" w:type="dxa"/>
              <w:right w:w="65" w:type="dxa"/>
            </w:tcMar>
            <w:vAlign w:val="center"/>
          </w:tcPr>
          <w:p w14:paraId="20FE6600">
            <w:pPr>
              <w:spacing w:before="20" w:after="40" w:line="252" w:lineRule="auto"/>
            </w:pPr>
            <w:r>
              <w:rPr>
                <w:rFonts w:ascii="Times New Roman" w:hAnsi="Times New Roman"/>
                <w:color w:val="000000"/>
                <w:sz w:val="19"/>
              </w:rPr>
              <w:t>Who generated the sequence. The random method. Restrictions such as blocking or stratification. How details were protected from recruiters.</w:t>
            </w:r>
          </w:p>
        </w:tc>
        <w:tc>
          <w:tcPr>
            <w:tcW w:w="3413" w:type="dxa"/>
            <w:tcBorders>
              <w:top w:val="nil"/>
              <w:left w:val="nil"/>
              <w:bottom w:val="nil"/>
              <w:right w:val="nil"/>
            </w:tcBorders>
            <w:tcMar>
              <w:top w:w="65" w:type="dxa"/>
              <w:left w:w="65" w:type="dxa"/>
              <w:bottom w:w="65" w:type="dxa"/>
              <w:right w:w="65" w:type="dxa"/>
            </w:tcMar>
            <w:vAlign w:val="center"/>
          </w:tcPr>
          <w:p w14:paraId="3F874EF7">
            <w:pPr>
              <w:spacing w:before="20" w:after="40" w:line="252" w:lineRule="auto"/>
            </w:pPr>
            <w:r>
              <w:rPr>
                <w:rFonts w:ascii="Times New Roman" w:hAnsi="Times New Roman"/>
                <w:color w:val="000000"/>
                <w:sz w:val="19"/>
              </w:rPr>
              <w:t>Demonstrates how chance determined assignment. Predictable allocation can compromise concealment and permit selection bias.</w:t>
            </w:r>
          </w:p>
        </w:tc>
      </w:tr>
      <w:tr w14:paraId="024DF6D8">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6E5382C2">
            <w:pPr>
              <w:spacing w:before="20" w:after="40" w:line="252" w:lineRule="auto"/>
            </w:pPr>
            <w:r>
              <w:rPr>
                <w:rFonts w:ascii="Times New Roman" w:hAnsi="Times New Roman"/>
                <w:color w:val="000000"/>
                <w:sz w:val="19"/>
              </w:rPr>
              <w:t>Allocation concealment</w:t>
            </w:r>
          </w:p>
        </w:tc>
        <w:tc>
          <w:tcPr>
            <w:tcW w:w="4032" w:type="dxa"/>
            <w:tcBorders>
              <w:top w:val="nil"/>
              <w:left w:val="nil"/>
              <w:bottom w:val="nil"/>
              <w:right w:val="nil"/>
            </w:tcBorders>
            <w:tcMar>
              <w:top w:w="65" w:type="dxa"/>
              <w:left w:w="65" w:type="dxa"/>
              <w:bottom w:w="65" w:type="dxa"/>
              <w:right w:w="65" w:type="dxa"/>
            </w:tcMar>
            <w:vAlign w:val="center"/>
          </w:tcPr>
          <w:p w14:paraId="225D57BD">
            <w:pPr>
              <w:spacing w:before="20" w:after="40" w:line="252" w:lineRule="auto"/>
            </w:pPr>
            <w:r>
              <w:rPr>
                <w:rFonts w:ascii="Times New Roman" w:hAnsi="Times New Roman"/>
                <w:color w:val="000000"/>
                <w:sz w:val="19"/>
              </w:rPr>
              <w:t>The mechanism keeping upcoming assignments concealed until allocation. The roles responsible for sequence generation, recruitment and assignment.</w:t>
            </w:r>
          </w:p>
        </w:tc>
        <w:tc>
          <w:tcPr>
            <w:tcW w:w="3413" w:type="dxa"/>
            <w:tcBorders>
              <w:top w:val="nil"/>
              <w:left w:val="nil"/>
              <w:bottom w:val="nil"/>
              <w:right w:val="nil"/>
            </w:tcBorders>
            <w:tcMar>
              <w:top w:w="65" w:type="dxa"/>
              <w:left w:w="65" w:type="dxa"/>
              <w:bottom w:w="65" w:type="dxa"/>
              <w:right w:w="65" w:type="dxa"/>
            </w:tcMar>
            <w:vAlign w:val="center"/>
          </w:tcPr>
          <w:p w14:paraId="072BC2CA">
            <w:pPr>
              <w:spacing w:before="20" w:after="40" w:line="252" w:lineRule="auto"/>
            </w:pPr>
            <w:r>
              <w:rPr>
                <w:rFonts w:ascii="Times New Roman" w:hAnsi="Times New Roman"/>
                <w:color w:val="000000"/>
                <w:sz w:val="19"/>
              </w:rPr>
              <w:t>Helps prevent recruiters from selecting participants according to the next assignment. This safeguard is distinct from blinding after allocation.</w:t>
            </w:r>
          </w:p>
        </w:tc>
      </w:tr>
      <w:tr w14:paraId="609F9809">
        <w:trPr>
          <w:cantSplit/>
          <w:jc w:val="center"/>
        </w:trPr>
        <w:tc>
          <w:tcPr>
            <w:tcW w:w="3413" w:type="dxa"/>
            <w:gridSpan w:val="3"/>
            <w:tcBorders>
              <w:top w:val="nil"/>
              <w:left w:val="nil"/>
              <w:bottom w:val="nil"/>
              <w:right w:val="nil"/>
            </w:tcBorders>
            <w:tcMar>
              <w:top w:w="65" w:type="dxa"/>
              <w:left w:w="65" w:type="dxa"/>
              <w:bottom w:w="65" w:type="dxa"/>
              <w:right w:w="65" w:type="dxa"/>
            </w:tcMar>
            <w:vAlign w:val="center"/>
          </w:tcPr>
          <w:p w14:paraId="2BE8C2DF">
            <w:pPr>
              <w:keepNext/>
              <w:spacing w:before="20" w:after="40" w:line="252" w:lineRule="auto"/>
            </w:pPr>
            <w:r>
              <w:rPr>
                <w:rFonts w:ascii="Times New Roman" w:hAnsi="Times New Roman"/>
                <w:b/>
                <w:color w:val="000000"/>
                <w:sz w:val="19"/>
              </w:rPr>
              <w:t>After randomization</w:t>
            </w:r>
          </w:p>
        </w:tc>
      </w:tr>
      <w:tr w14:paraId="05128B53">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17F8C98D">
            <w:pPr>
              <w:spacing w:before="20" w:after="40" w:line="252" w:lineRule="auto"/>
            </w:pPr>
            <w:r>
              <w:rPr>
                <w:rFonts w:ascii="Times New Roman" w:hAnsi="Times New Roman"/>
                <w:color w:val="000000"/>
                <w:sz w:val="19"/>
              </w:rPr>
              <w:t>Blinding</w:t>
            </w:r>
          </w:p>
        </w:tc>
        <w:tc>
          <w:tcPr>
            <w:tcW w:w="4032" w:type="dxa"/>
            <w:tcBorders>
              <w:top w:val="nil"/>
              <w:left w:val="nil"/>
              <w:bottom w:val="nil"/>
              <w:right w:val="nil"/>
            </w:tcBorders>
            <w:tcMar>
              <w:top w:w="65" w:type="dxa"/>
              <w:left w:w="65" w:type="dxa"/>
              <w:bottom w:w="65" w:type="dxa"/>
              <w:right w:w="65" w:type="dxa"/>
            </w:tcMar>
            <w:vAlign w:val="center"/>
          </w:tcPr>
          <w:p w14:paraId="542A2E38">
            <w:pPr>
              <w:spacing w:before="20" w:after="40" w:line="252" w:lineRule="auto"/>
            </w:pPr>
            <w:r>
              <w:rPr>
                <w:rFonts w:ascii="Times New Roman" w:hAnsi="Times New Roman"/>
                <w:color w:val="000000"/>
                <w:sz w:val="19"/>
              </w:rPr>
              <w:t>Who was blinded after allocation. Reasons and alternative arrangements when blinding was infeasible, especially whether independent assessors evaluated outcomes.</w:t>
            </w:r>
          </w:p>
        </w:tc>
        <w:tc>
          <w:tcPr>
            <w:tcW w:w="3413" w:type="dxa"/>
            <w:tcBorders>
              <w:top w:val="nil"/>
              <w:left w:val="nil"/>
              <w:bottom w:val="nil"/>
              <w:right w:val="nil"/>
            </w:tcBorders>
            <w:tcMar>
              <w:top w:w="65" w:type="dxa"/>
              <w:left w:w="65" w:type="dxa"/>
              <w:bottom w:w="65" w:type="dxa"/>
              <w:right w:w="65" w:type="dxa"/>
            </w:tcMar>
            <w:vAlign w:val="center"/>
          </w:tcPr>
          <w:p w14:paraId="5573CA5C">
            <w:pPr>
              <w:spacing w:before="20" w:after="40" w:line="252" w:lineRule="auto"/>
            </w:pPr>
            <w:r>
              <w:rPr>
                <w:rFonts w:ascii="Times New Roman" w:hAnsi="Times New Roman"/>
                <w:color w:val="000000"/>
                <w:sz w:val="19"/>
              </w:rPr>
              <w:t>Allows readers to judge whether knowledge of allocation could influence assessment, especially for subjective outcomes.</w:t>
            </w:r>
          </w:p>
        </w:tc>
      </w:tr>
      <w:tr w14:paraId="36324B06">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431245C0">
            <w:pPr>
              <w:spacing w:before="20" w:after="40" w:line="252" w:lineRule="auto"/>
            </w:pPr>
            <w:r>
              <w:rPr>
                <w:rFonts w:ascii="Times New Roman" w:hAnsi="Times New Roman"/>
                <w:color w:val="000000"/>
                <w:sz w:val="19"/>
              </w:rPr>
              <w:t>Follow-up and attrition</w:t>
            </w:r>
          </w:p>
        </w:tc>
        <w:tc>
          <w:tcPr>
            <w:tcW w:w="4032" w:type="dxa"/>
            <w:tcBorders>
              <w:top w:val="nil"/>
              <w:left w:val="nil"/>
              <w:bottom w:val="nil"/>
              <w:right w:val="nil"/>
            </w:tcBorders>
            <w:tcMar>
              <w:top w:w="65" w:type="dxa"/>
              <w:left w:w="65" w:type="dxa"/>
              <w:bottom w:w="65" w:type="dxa"/>
              <w:right w:w="65" w:type="dxa"/>
            </w:tcMar>
            <w:vAlign w:val="center"/>
          </w:tcPr>
          <w:p w14:paraId="2428D896">
            <w:pPr>
              <w:spacing w:before="20" w:after="40" w:line="252" w:lineRule="auto"/>
            </w:pPr>
            <w:r>
              <w:rPr>
                <w:rFonts w:ascii="Times New Roman" w:hAnsi="Times New Roman"/>
                <w:color w:val="000000"/>
                <w:sz w:val="19"/>
              </w:rPr>
              <w:t>Numbers at each stage and time point in each arm. Withdrawals, missing assessments and their reasons.</w:t>
            </w:r>
          </w:p>
        </w:tc>
        <w:tc>
          <w:tcPr>
            <w:tcW w:w="3413" w:type="dxa"/>
            <w:tcBorders>
              <w:top w:val="nil"/>
              <w:left w:val="nil"/>
              <w:bottom w:val="nil"/>
              <w:right w:val="nil"/>
            </w:tcBorders>
            <w:tcMar>
              <w:top w:w="65" w:type="dxa"/>
              <w:left w:w="65" w:type="dxa"/>
              <w:bottom w:w="65" w:type="dxa"/>
              <w:right w:w="65" w:type="dxa"/>
            </w:tcMar>
            <w:vAlign w:val="center"/>
          </w:tcPr>
          <w:p w14:paraId="56822C46">
            <w:pPr>
              <w:spacing w:before="20" w:after="40" w:line="252" w:lineRule="auto"/>
            </w:pPr>
            <w:r>
              <w:rPr>
                <w:rFonts w:ascii="Times New Roman" w:hAnsi="Times New Roman"/>
                <w:color w:val="000000"/>
                <w:sz w:val="19"/>
              </w:rPr>
              <w:t>Allows assessment of missing outcome information and possible bias. The direction of any bias cannot be assumed from missingness alone.</w:t>
            </w:r>
          </w:p>
        </w:tc>
      </w:tr>
      <w:tr w14:paraId="147AA602">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4830BEF8">
            <w:pPr>
              <w:spacing w:before="20" w:after="40" w:line="252" w:lineRule="auto"/>
            </w:pPr>
            <w:r>
              <w:rPr>
                <w:rFonts w:ascii="Times New Roman" w:hAnsi="Times New Roman"/>
                <w:color w:val="000000"/>
                <w:sz w:val="19"/>
              </w:rPr>
              <w:t>Analysis population</w:t>
            </w:r>
          </w:p>
        </w:tc>
        <w:tc>
          <w:tcPr>
            <w:tcW w:w="4032" w:type="dxa"/>
            <w:tcBorders>
              <w:top w:val="nil"/>
              <w:left w:val="nil"/>
              <w:bottom w:val="nil"/>
              <w:right w:val="nil"/>
            </w:tcBorders>
            <w:tcMar>
              <w:top w:w="65" w:type="dxa"/>
              <w:left w:w="65" w:type="dxa"/>
              <w:bottom w:w="65" w:type="dxa"/>
              <w:right w:w="65" w:type="dxa"/>
            </w:tcMar>
            <w:vAlign w:val="center"/>
          </w:tcPr>
          <w:p w14:paraId="6A053C6C">
            <w:pPr>
              <w:spacing w:before="20" w:after="40" w:line="252" w:lineRule="auto"/>
            </w:pPr>
            <w:r>
              <w:rPr>
                <w:rFonts w:ascii="Times New Roman" w:hAnsi="Times New Roman"/>
                <w:color w:val="000000"/>
                <w:sz w:val="19"/>
              </w:rPr>
              <w:t>Who entered each analysis, the group in which they were analyzed, missing-data methods and sensitivity analyses.</w:t>
            </w:r>
          </w:p>
        </w:tc>
        <w:tc>
          <w:tcPr>
            <w:tcW w:w="3413" w:type="dxa"/>
            <w:tcBorders>
              <w:top w:val="nil"/>
              <w:left w:val="nil"/>
              <w:bottom w:val="nil"/>
              <w:right w:val="nil"/>
            </w:tcBorders>
            <w:tcMar>
              <w:top w:w="65" w:type="dxa"/>
              <w:left w:w="65" w:type="dxa"/>
              <w:bottom w:w="65" w:type="dxa"/>
              <w:right w:w="65" w:type="dxa"/>
            </w:tcMar>
            <w:vAlign w:val="center"/>
          </w:tcPr>
          <w:p w14:paraId="1F4845A8">
            <w:pPr>
              <w:spacing w:before="20" w:after="40" w:line="252" w:lineRule="auto"/>
            </w:pPr>
            <w:r>
              <w:rPr>
                <w:rFonts w:ascii="Times New Roman" w:hAnsi="Times New Roman"/>
                <w:color w:val="000000"/>
                <w:sz w:val="19"/>
              </w:rPr>
              <w:t>Shows whether analyses preserve the randomized comparison and how post-randomization exclusions or missing outcomes might affect interpretation.</w:t>
            </w:r>
          </w:p>
        </w:tc>
      </w:tr>
      <w:tr w14:paraId="165B33B2">
        <w:trPr>
          <w:cantSplit/>
          <w:jc w:val="center"/>
        </w:trPr>
        <w:tc>
          <w:tcPr>
            <w:tcW w:w="3413" w:type="dxa"/>
            <w:gridSpan w:val="3"/>
            <w:tcBorders>
              <w:top w:val="nil"/>
              <w:left w:val="nil"/>
              <w:bottom w:val="nil"/>
              <w:right w:val="nil"/>
            </w:tcBorders>
            <w:tcMar>
              <w:top w:w="65" w:type="dxa"/>
              <w:left w:w="65" w:type="dxa"/>
              <w:bottom w:w="65" w:type="dxa"/>
              <w:right w:w="65" w:type="dxa"/>
            </w:tcMar>
            <w:vAlign w:val="center"/>
          </w:tcPr>
          <w:p w14:paraId="30BEA93C">
            <w:pPr>
              <w:keepNext/>
              <w:spacing w:before="20" w:after="40" w:line="252" w:lineRule="auto"/>
            </w:pPr>
            <w:r>
              <w:rPr>
                <w:rFonts w:ascii="Times New Roman" w:hAnsi="Times New Roman"/>
                <w:b/>
                <w:color w:val="000000"/>
                <w:sz w:val="19"/>
              </w:rPr>
              <w:t>Additional considerations for psychological treatment trials</w:t>
            </w:r>
          </w:p>
        </w:tc>
      </w:tr>
      <w:tr w14:paraId="16F400D1">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0FA8F09D">
            <w:pPr>
              <w:spacing w:before="20" w:after="40" w:line="252" w:lineRule="auto"/>
            </w:pPr>
            <w:r>
              <w:rPr>
                <w:rFonts w:ascii="Times New Roman" w:hAnsi="Times New Roman"/>
                <w:color w:val="000000"/>
                <w:sz w:val="19"/>
              </w:rPr>
              <w:t>Practitioners and delivery context</w:t>
            </w:r>
          </w:p>
        </w:tc>
        <w:tc>
          <w:tcPr>
            <w:tcW w:w="4032" w:type="dxa"/>
            <w:tcBorders>
              <w:top w:val="nil"/>
              <w:left w:val="nil"/>
              <w:bottom w:val="nil"/>
              <w:right w:val="nil"/>
            </w:tcBorders>
            <w:tcMar>
              <w:top w:w="65" w:type="dxa"/>
              <w:left w:w="65" w:type="dxa"/>
              <w:bottom w:w="65" w:type="dxa"/>
              <w:right w:w="65" w:type="dxa"/>
            </w:tcMar>
            <w:vAlign w:val="center"/>
          </w:tcPr>
          <w:p w14:paraId="1997988A">
            <w:pPr>
              <w:spacing w:before="20" w:after="40" w:line="252" w:lineRule="auto"/>
            </w:pPr>
            <w:r>
              <w:rPr>
                <w:rFonts w:ascii="Times New Roman" w:hAnsi="Times New Roman"/>
                <w:color w:val="000000"/>
                <w:sz w:val="19"/>
              </w:rPr>
              <w:t>Therapist qualifications, training and supervision. Format, dose, setting and concurrent care. Equally detailed descriptions of comparator care, including TAU.</w:t>
            </w:r>
          </w:p>
        </w:tc>
        <w:tc>
          <w:tcPr>
            <w:tcW w:w="3413" w:type="dxa"/>
            <w:tcBorders>
              <w:top w:val="nil"/>
              <w:left w:val="nil"/>
              <w:bottom w:val="nil"/>
              <w:right w:val="nil"/>
            </w:tcBorders>
            <w:tcMar>
              <w:top w:w="65" w:type="dxa"/>
              <w:left w:w="65" w:type="dxa"/>
              <w:bottom w:w="65" w:type="dxa"/>
              <w:right w:w="65" w:type="dxa"/>
            </w:tcMar>
            <w:vAlign w:val="center"/>
          </w:tcPr>
          <w:p w14:paraId="7673E3A8">
            <w:pPr>
              <w:spacing w:before="20" w:after="40" w:line="252" w:lineRule="auto"/>
            </w:pPr>
            <w:r>
              <w:rPr>
                <w:rFonts w:ascii="Times New Roman" w:hAnsi="Times New Roman"/>
                <w:color w:val="000000"/>
                <w:sz w:val="19"/>
              </w:rPr>
              <w:t>Supports replication and applicability and helps distinguish therapist and treatment contributions. Comparator detail is needed to interpret effects.</w:t>
            </w:r>
          </w:p>
        </w:tc>
      </w:tr>
      <w:tr w14:paraId="4F6DAE18">
        <w:trPr>
          <w:cantSplit/>
          <w:jc w:val="center"/>
        </w:trPr>
        <w:tc>
          <w:tcPr>
            <w:tcW w:w="2160" w:type="dxa"/>
            <w:tcBorders>
              <w:top w:val="nil"/>
              <w:left w:val="nil"/>
              <w:bottom w:val="nil"/>
              <w:right w:val="nil"/>
            </w:tcBorders>
            <w:tcMar>
              <w:top w:w="65" w:type="dxa"/>
              <w:left w:w="65" w:type="dxa"/>
              <w:bottom w:w="65" w:type="dxa"/>
              <w:right w:w="65" w:type="dxa"/>
            </w:tcMar>
            <w:vAlign w:val="center"/>
          </w:tcPr>
          <w:p w14:paraId="5959B7F9">
            <w:pPr>
              <w:spacing w:before="20" w:after="40" w:line="252" w:lineRule="auto"/>
            </w:pPr>
            <w:r>
              <w:rPr>
                <w:rFonts w:ascii="Times New Roman" w:hAnsi="Times New Roman"/>
                <w:color w:val="000000"/>
                <w:sz w:val="19"/>
              </w:rPr>
              <w:t>Treatment fidelity</w:t>
            </w:r>
          </w:p>
        </w:tc>
        <w:tc>
          <w:tcPr>
            <w:tcW w:w="4032" w:type="dxa"/>
            <w:tcBorders>
              <w:top w:val="nil"/>
              <w:left w:val="nil"/>
              <w:bottom w:val="nil"/>
              <w:right w:val="nil"/>
            </w:tcBorders>
            <w:tcMar>
              <w:top w:w="65" w:type="dxa"/>
              <w:left w:w="65" w:type="dxa"/>
              <w:bottom w:w="65" w:type="dxa"/>
              <w:right w:w="65" w:type="dxa"/>
            </w:tcMar>
            <w:vAlign w:val="center"/>
          </w:tcPr>
          <w:p w14:paraId="13113C29">
            <w:pPr>
              <w:spacing w:before="20" w:after="40" w:line="252" w:lineRule="auto"/>
            </w:pPr>
            <w:r>
              <w:rPr>
                <w:rFonts w:ascii="Times New Roman" w:hAnsi="Times New Roman"/>
                <w:color w:val="000000"/>
                <w:sz w:val="19"/>
              </w:rPr>
              <w:t>Sampling of session recordings. Independent standardized ratings, the proportion sampled and rating results. Whether treatment followed the manual, the quality of delivery and whether the arms differed in content.</w:t>
            </w:r>
          </w:p>
        </w:tc>
        <w:tc>
          <w:tcPr>
            <w:tcW w:w="3413" w:type="dxa"/>
            <w:tcBorders>
              <w:top w:val="nil"/>
              <w:left w:val="nil"/>
              <w:bottom w:val="nil"/>
              <w:right w:val="nil"/>
            </w:tcBorders>
            <w:tcMar>
              <w:top w:w="65" w:type="dxa"/>
              <w:left w:w="65" w:type="dxa"/>
              <w:bottom w:w="65" w:type="dxa"/>
              <w:right w:w="65" w:type="dxa"/>
            </w:tcMar>
            <w:vAlign w:val="center"/>
          </w:tcPr>
          <w:p w14:paraId="5806FC5B">
            <w:pPr>
              <w:spacing w:before="20" w:after="40" w:line="252" w:lineRule="auto"/>
            </w:pPr>
            <w:r>
              <w:rPr>
                <w:rFonts w:ascii="Times New Roman" w:hAnsi="Times New Roman"/>
                <w:color w:val="000000"/>
                <w:sz w:val="19"/>
              </w:rPr>
              <w:t>Helps distinguish limited treatment effects from incomplete implementation and establish whether the intended treatment components differed between arms.</w:t>
            </w:r>
          </w:p>
        </w:tc>
      </w:tr>
      <w:tr w14:paraId="58882E56">
        <w:trPr>
          <w:cantSplit/>
          <w:jc w:val="center"/>
        </w:trPr>
        <w:tc>
          <w:tcPr>
            <w:tcW w:w="2160" w:type="dxa"/>
            <w:tcBorders>
              <w:top w:val="nil"/>
              <w:left w:val="nil"/>
              <w:bottom w:val="single" w:color="000000" w:sz="6" w:space="0"/>
              <w:right w:val="nil"/>
            </w:tcBorders>
            <w:tcMar>
              <w:top w:w="65" w:type="dxa"/>
              <w:left w:w="65" w:type="dxa"/>
              <w:bottom w:w="65" w:type="dxa"/>
              <w:right w:w="65" w:type="dxa"/>
            </w:tcMar>
            <w:vAlign w:val="center"/>
          </w:tcPr>
          <w:p w14:paraId="51664219">
            <w:pPr>
              <w:spacing w:before="20" w:after="40" w:line="252" w:lineRule="auto"/>
            </w:pPr>
            <w:r>
              <w:rPr>
                <w:rFonts w:ascii="Times New Roman" w:hAnsi="Times New Roman"/>
                <w:color w:val="000000"/>
                <w:sz w:val="19"/>
              </w:rPr>
              <w:t>Harms and serious adverse events</w:t>
            </w:r>
          </w:p>
        </w:tc>
        <w:tc>
          <w:tcPr>
            <w:tcW w:w="4032" w:type="dxa"/>
            <w:tcBorders>
              <w:top w:val="nil"/>
              <w:left w:val="nil"/>
              <w:bottom w:val="single" w:color="000000" w:sz="6" w:space="0"/>
              <w:right w:val="nil"/>
            </w:tcBorders>
            <w:tcMar>
              <w:top w:w="65" w:type="dxa"/>
              <w:left w:w="65" w:type="dxa"/>
              <w:bottom w:w="65" w:type="dxa"/>
              <w:right w:w="65" w:type="dxa"/>
            </w:tcMar>
            <w:vAlign w:val="center"/>
          </w:tcPr>
          <w:p w14:paraId="1D4BC25A">
            <w:pPr>
              <w:spacing w:before="20" w:after="40" w:line="252" w:lineRule="auto"/>
            </w:pPr>
            <w:r>
              <w:rPr>
                <w:rFonts w:ascii="Times New Roman" w:hAnsi="Times New Roman"/>
                <w:color w:val="000000"/>
                <w:sz w:val="19"/>
              </w:rPr>
              <w:t>Definitions, assessment methods and timing. Criteria and management of serious events. Results and denominators by arm. Explicitly report when no events were observed following assessment.</w:t>
            </w:r>
          </w:p>
        </w:tc>
        <w:tc>
          <w:tcPr>
            <w:tcW w:w="3413" w:type="dxa"/>
            <w:tcBorders>
              <w:top w:val="nil"/>
              <w:left w:val="nil"/>
              <w:bottom w:val="single" w:color="000000" w:sz="6" w:space="0"/>
              <w:right w:val="nil"/>
            </w:tcBorders>
            <w:tcMar>
              <w:top w:w="65" w:type="dxa"/>
              <w:left w:w="65" w:type="dxa"/>
              <w:bottom w:w="65" w:type="dxa"/>
              <w:right w:w="65" w:type="dxa"/>
            </w:tcMar>
            <w:vAlign w:val="center"/>
          </w:tcPr>
          <w:p w14:paraId="49942345">
            <w:pPr>
              <w:spacing w:before="20" w:after="40" w:line="252" w:lineRule="auto"/>
            </w:pPr>
            <w:r>
              <w:rPr>
                <w:rFonts w:ascii="Times New Roman" w:hAnsi="Times New Roman"/>
                <w:color w:val="000000"/>
                <w:sz w:val="19"/>
              </w:rPr>
              <w:t>Distinguishes absence of observed harm from absence of assessment and supports interpretation of treatment safety.</w:t>
            </w:r>
          </w:p>
        </w:tc>
      </w:tr>
    </w:tbl>
    <w:p w14:paraId="7EEBFE68">
      <w:pPr>
        <w:keepNext w:val="0"/>
        <w:spacing w:line="240" w:lineRule="auto"/>
        <w:rPr>
          <w:color w:val="000000"/>
          <w:sz w:val="20"/>
          <w:szCs w:val="21"/>
        </w:rPr>
      </w:pPr>
      <w:r>
        <w:rPr>
          <w:rFonts w:hint="eastAsia"/>
          <w:color w:val="000000"/>
          <w:sz w:val="20"/>
          <w:szCs w:val="21"/>
          <w:lang w:val="en-US" w:eastAsia="zh-CN"/>
        </w:rPr>
        <w:t xml:space="preserve">Note. </w:t>
      </w:r>
      <w:r>
        <w:rPr>
          <w:color w:val="000000"/>
          <w:sz w:val="20"/>
          <w:szCs w:val="21"/>
        </w:rPr>
        <w:t>Selected considerations relevant to the findings in §3.6 are organized by trial stage. This table complements, rather than replaces, a complete CONSORT checklist. Sources</w:t>
      </w:r>
      <w:r>
        <w:rPr>
          <w:rFonts w:hint="eastAsia"/>
          <w:color w:val="000000"/>
          <w:sz w:val="20"/>
          <w:szCs w:val="21"/>
          <w:lang w:val="en-US" w:eastAsia="zh-CN"/>
        </w:rPr>
        <w:t>:</w:t>
      </w:r>
    </w:p>
    <w:p w14:paraId="6EB6695E">
      <w:pPr>
        <w:keepNext w:val="0"/>
        <w:spacing w:line="240" w:lineRule="auto"/>
        <w:rPr>
          <w:sz w:val="20"/>
          <w:szCs w:val="21"/>
        </w:rPr>
      </w:pPr>
      <w:r>
        <w:rPr>
          <w:color w:val="000000"/>
          <w:sz w:val="20"/>
          <w:szCs w:val="21"/>
        </w:rPr>
        <w:t>1. Schulz KF, Grimes DA. Essential Concepts in Clinical Research: Randomised Controlled Trials and Observational Epidemiology. 2nd ed. Elsevier; 2019. ISBN:9780702073946.</w:t>
      </w:r>
    </w:p>
    <w:p w14:paraId="09D38A3D">
      <w:pPr>
        <w:keepNext w:val="0"/>
        <w:spacing w:line="240" w:lineRule="auto"/>
        <w:rPr>
          <w:sz w:val="20"/>
          <w:szCs w:val="21"/>
        </w:rPr>
      </w:pPr>
      <w:r>
        <w:rPr>
          <w:color w:val="000000"/>
          <w:sz w:val="20"/>
          <w:szCs w:val="21"/>
        </w:rPr>
        <w:t>2. Hopewell S, et al. CONSORT 2025 statement: updated guideline for reporting randomised trials. BMJ. 2025;389:e081123. doi:10.1136/bmj-2024-081123.</w:t>
      </w:r>
    </w:p>
    <w:p w14:paraId="19E3CA36">
      <w:pPr>
        <w:keepNext w:val="0"/>
        <w:spacing w:line="240" w:lineRule="auto"/>
        <w:rPr>
          <w:sz w:val="20"/>
          <w:szCs w:val="21"/>
        </w:rPr>
      </w:pPr>
      <w:r>
        <w:rPr>
          <w:color w:val="000000"/>
          <w:sz w:val="20"/>
          <w:szCs w:val="21"/>
        </w:rPr>
        <w:t>3. Montgomery P, et al. Reporting randomised trials of social and psychological interventions: the CONSORT-SPI 2018 Extension. Trials. 2018;19:407. doi:10.1186/s13063-018-2733-1.</w:t>
      </w:r>
    </w:p>
    <w:p w14:paraId="0EB04C3D">
      <w:pPr>
        <w:keepNext w:val="0"/>
        <w:spacing w:line="240" w:lineRule="auto"/>
        <w:rPr>
          <w:sz w:val="20"/>
          <w:szCs w:val="21"/>
        </w:rPr>
      </w:pPr>
      <w:r>
        <w:rPr>
          <w:color w:val="000000"/>
          <w:sz w:val="20"/>
          <w:szCs w:val="21"/>
        </w:rPr>
        <w:t>4. Junqueira DR, et al. CONSORT Harms 2022 statement, explanation, and elaboration: updated guideline for the reporting of harms in randomised trials. BMJ. 2023;381:e073725. doi:10.1136/bmj-2022-073725.</w:t>
      </w:r>
    </w:p>
    <w:sectPr>
      <w:footerReference r:id="rId5" w:type="default"/>
      <w:pgSz w:w="11909" w:h="16834"/>
      <w:pgMar w:top="1080" w:right="1152" w:bottom="1080" w:left="115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9F3C3">
    <w:pPr>
      <w:pStyle w:val="24"/>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1" w:lineRule="auto"/>
      </w:pPr>
      <w:r>
        <w:separator/>
      </w:r>
    </w:p>
  </w:footnote>
  <w:footnote w:type="continuationSeparator" w:id="1">
    <w:p>
      <w:pPr>
        <w:spacing w:before="0" w:after="0" w:line="271"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CFE11EF"/>
    <w:rsid w:val="7B564072"/>
    <w:rsid w:val="7B73C18A"/>
    <w:rsid w:val="D1691D77"/>
    <w:rsid w:val="FBFF32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1" w:lineRule="auto"/>
    </w:pPr>
    <w:rPr>
      <w:rFonts w:ascii="Times New Roman" w:hAnsi="Times New Roman" w:eastAsia="宋体" w:cstheme="minorBidi"/>
      <w:color w:val="000000"/>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imes New Roman" w:hAnsi="Times New Roman" w:eastAsia="宋体"/>
      <w:b/>
      <w:bCs/>
      <w:color w:val="000000"/>
      <w:sz w:val="21"/>
      <w:szCs w:val="28"/>
    </w:rPr>
  </w:style>
  <w:style w:type="paragraph" w:styleId="4">
    <w:name w:val="heading 2"/>
    <w:basedOn w:val="1"/>
    <w:next w:val="1"/>
    <w:link w:val="139"/>
    <w:unhideWhenUsed/>
    <w:qFormat/>
    <w:uiPriority w:val="9"/>
    <w:pPr>
      <w:keepNext/>
      <w:keepLines/>
      <w:spacing w:before="200" w:after="0"/>
      <w:outlineLvl w:val="1"/>
    </w:pPr>
    <w:rPr>
      <w:rFonts w:ascii="Times New Roman" w:hAnsi="Times New Roman" w:eastAsia="宋体"/>
      <w:b/>
      <w:bCs/>
      <w:color w:val="000000"/>
      <w:sz w:val="21"/>
      <w:szCs w:val="26"/>
    </w:rPr>
  </w:style>
  <w:style w:type="paragraph" w:styleId="5">
    <w:name w:val="heading 3"/>
    <w:basedOn w:val="1"/>
    <w:next w:val="1"/>
    <w:link w:val="140"/>
    <w:unhideWhenUsed/>
    <w:qFormat/>
    <w:uiPriority w:val="9"/>
    <w:pPr>
      <w:keepNext/>
      <w:keepLines/>
      <w:spacing w:before="200" w:after="0"/>
      <w:outlineLvl w:val="2"/>
    </w:pPr>
    <w:rPr>
      <w:rFonts w:ascii="Times New Roman" w:hAnsi="Times New Roman" w:eastAsia="宋体"/>
      <w:b/>
      <w:bCs/>
      <w:color w:val="000000"/>
      <w:sz w:val="21"/>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after="300" w:line="240" w:lineRule="auto"/>
      <w:contextualSpacing/>
    </w:pPr>
    <w:rPr>
      <w:rFonts w:ascii="Times New Roman" w:hAnsi="Times New Roman" w:eastAsia="宋体"/>
      <w:b/>
      <w:color w:val="000000"/>
      <w:spacing w:val="5"/>
      <w:kern w:val="28"/>
      <w:sz w:val="21"/>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2493</Words>
  <Characters>17614</Characters>
  <Lines>0</Lines>
  <Paragraphs>0</Paragraphs>
  <TotalTime>2</TotalTime>
  <ScaleCrop>false</ScaleCrop>
  <LinksUpToDate>false</LinksUpToDate>
  <CharactersWithSpaces>19919</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2013-12-24T14:15:00Z</dcterms:created>
  <dc:creator>椏灵</dc:creator>
  <cp:lastModifiedBy>椏灵</cp:lastModifiedBy>
  <dcterms:modified xsi:type="dcterms:W3CDTF">2026-09-28T22:14:28Z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25027AED0AD6D495F7EFB96A8A421871_42</vt:lpwstr>
  </property>
</Properties>
</file>