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E6DCC4" w14:textId="5ABCEF44" w:rsidR="00E55ACD" w:rsidRDefault="00E55ACD">
      <w:pPr>
        <w:rPr>
          <w:rFonts w:ascii="Aptos" w:hAnsi="Aptos"/>
          <w:b/>
          <w:bCs/>
          <w:color w:val="212121"/>
          <w:szCs w:val="22"/>
        </w:rPr>
      </w:pPr>
      <w:r>
        <w:rPr>
          <w:b/>
          <w:bCs/>
          <w:lang w:val="en-GB"/>
        </w:rPr>
        <w:t>Supplementary ma</w:t>
      </w:r>
      <w:r w:rsidR="00B14432">
        <w:rPr>
          <w:b/>
          <w:bCs/>
          <w:lang w:val="en-GB"/>
        </w:rPr>
        <w:t xml:space="preserve">terial for </w:t>
      </w:r>
      <w:r w:rsidR="00646D7D">
        <w:rPr>
          <w:b/>
          <w:bCs/>
          <w:lang w:val="en-GB"/>
        </w:rPr>
        <w:t>‘strategies for occupational recovery processes</w:t>
      </w:r>
      <w:r w:rsidR="00DD675F">
        <w:rPr>
          <w:b/>
          <w:bCs/>
          <w:lang w:val="en-GB"/>
        </w:rPr>
        <w:t xml:space="preserve"> </w:t>
      </w:r>
      <w:r w:rsidR="00DD675F" w:rsidRPr="001C473E">
        <w:rPr>
          <w:rFonts w:ascii="Aptos" w:hAnsi="Aptos"/>
          <w:b/>
          <w:bCs/>
          <w:color w:val="212121"/>
          <w:szCs w:val="22"/>
        </w:rPr>
        <w:t>individuals with bipolar disorder type I: a qualitative study</w:t>
      </w:r>
    </w:p>
    <w:p w14:paraId="1F90CC58" w14:textId="6CD549BF" w:rsidR="00DD675F" w:rsidRPr="001E4155" w:rsidRDefault="001E4155">
      <w:pPr>
        <w:rPr>
          <w:b/>
          <w:bCs/>
        </w:rPr>
      </w:pPr>
      <w:r w:rsidRPr="001E4155">
        <w:rPr>
          <w:b/>
          <w:bCs/>
        </w:rPr>
        <w:t>Submission ID: ed1ed820-e77b-4d51-9e03-e2480ab67dc4</w:t>
      </w:r>
    </w:p>
    <w:p w14:paraId="2EB5E25F" w14:textId="77777777" w:rsidR="001E4155" w:rsidRDefault="001E4155">
      <w:pPr>
        <w:rPr>
          <w:b/>
          <w:bCs/>
          <w:lang w:val="en-GB"/>
        </w:rPr>
      </w:pPr>
    </w:p>
    <w:p w14:paraId="3F4525D9" w14:textId="5BCEFC67" w:rsidR="00E55ACD" w:rsidRPr="001619BD" w:rsidRDefault="00FF45A9">
      <w:pPr>
        <w:rPr>
          <w:b/>
          <w:bCs/>
          <w:lang w:val="en-GB"/>
        </w:rPr>
      </w:pPr>
      <w:r w:rsidRPr="001619BD">
        <w:rPr>
          <w:b/>
          <w:bCs/>
          <w:lang w:val="en-GB"/>
        </w:rPr>
        <w:t>Example of the coding process</w:t>
      </w:r>
      <w:r w:rsidR="00E55ACD">
        <w:rPr>
          <w:b/>
          <w:bCs/>
          <w:lang w:val="en-GB"/>
        </w:rPr>
        <w:t xml:space="preserve"> </w:t>
      </w:r>
    </w:p>
    <w:p w14:paraId="19234A4A" w14:textId="7F53D6CB" w:rsidR="00FF45A9" w:rsidRPr="001619BD" w:rsidRDefault="00CA1BFD">
      <w:pPr>
        <w:rPr>
          <w:lang w:val="en-GB"/>
        </w:rPr>
      </w:pPr>
      <w:r w:rsidRPr="001619BD">
        <w:rPr>
          <w:lang w:val="en-GB"/>
        </w:rPr>
        <w:t xml:space="preserve">In this supplement we will </w:t>
      </w:r>
      <w:r w:rsidR="006D72B1" w:rsidRPr="001619BD">
        <w:rPr>
          <w:lang w:val="en-GB"/>
        </w:rPr>
        <w:t xml:space="preserve">discuss the coding process in </w:t>
      </w:r>
      <w:r w:rsidR="001E4155">
        <w:rPr>
          <w:lang w:val="en-GB"/>
        </w:rPr>
        <w:t xml:space="preserve">more </w:t>
      </w:r>
      <w:r w:rsidR="006D72B1" w:rsidRPr="001619BD">
        <w:rPr>
          <w:lang w:val="en-GB"/>
        </w:rPr>
        <w:t>detail to provide readers insight in</w:t>
      </w:r>
      <w:r w:rsidR="001763C6">
        <w:rPr>
          <w:lang w:val="en-GB"/>
        </w:rPr>
        <w:t>to</w:t>
      </w:r>
      <w:r w:rsidR="006D72B1" w:rsidRPr="001619BD">
        <w:rPr>
          <w:lang w:val="en-GB"/>
        </w:rPr>
        <w:t xml:space="preserve"> how we analysed the data we collected. Our coding strategy was inspired by Grounded Theory, specifically the tradition as described by </w:t>
      </w:r>
      <w:r w:rsidR="00762C56" w:rsidRPr="001619BD">
        <w:rPr>
          <w:lang w:val="en-GB"/>
        </w:rPr>
        <w:t xml:space="preserve">Corbin and Strauss (2015). In this </w:t>
      </w:r>
      <w:r w:rsidR="00987992" w:rsidRPr="001619BD">
        <w:rPr>
          <w:lang w:val="en-GB"/>
        </w:rPr>
        <w:t>approach</w:t>
      </w:r>
      <w:r w:rsidR="00762C56" w:rsidRPr="001619BD">
        <w:rPr>
          <w:lang w:val="en-GB"/>
        </w:rPr>
        <w:t xml:space="preserve">, there are three stages of coding (initial, axial, and selective coding) that should lead to an explanatory theory or model that </w:t>
      </w:r>
      <w:r w:rsidR="00950687" w:rsidRPr="001619BD">
        <w:rPr>
          <w:lang w:val="en-GB"/>
        </w:rPr>
        <w:t xml:space="preserve">can provide insight into </w:t>
      </w:r>
      <w:r w:rsidR="00482998" w:rsidRPr="001619BD">
        <w:rPr>
          <w:lang w:val="en-GB"/>
        </w:rPr>
        <w:t xml:space="preserve">a specific phenomenon. </w:t>
      </w:r>
      <w:r w:rsidR="00016B41" w:rsidRPr="001619BD">
        <w:rPr>
          <w:lang w:val="en-GB"/>
        </w:rPr>
        <w:t xml:space="preserve">To clarify the coding process, we will </w:t>
      </w:r>
      <w:r w:rsidR="009930FC" w:rsidRPr="001619BD">
        <w:rPr>
          <w:lang w:val="en-GB"/>
        </w:rPr>
        <w:t>show a brief example for the theme ‘disclosure’ and how we placed this within the overarching theme of ‘fitting employment’.</w:t>
      </w:r>
    </w:p>
    <w:p w14:paraId="7AB05B7D" w14:textId="77777777" w:rsidR="00FF45A9" w:rsidRPr="001619BD" w:rsidRDefault="00FF45A9">
      <w:pPr>
        <w:rPr>
          <w:lang w:val="en-GB"/>
        </w:rPr>
      </w:pPr>
    </w:p>
    <w:p w14:paraId="50796639" w14:textId="4230FCD9" w:rsidR="00FF45A9" w:rsidRPr="002B67D1" w:rsidRDefault="00FF45A9">
      <w:pPr>
        <w:rPr>
          <w:u w:val="single"/>
          <w:lang w:val="en-GB"/>
        </w:rPr>
      </w:pPr>
      <w:r w:rsidRPr="002B67D1">
        <w:rPr>
          <w:u w:val="single"/>
          <w:lang w:val="en-GB"/>
        </w:rPr>
        <w:t>Step 1: initial coding</w:t>
      </w:r>
    </w:p>
    <w:p w14:paraId="5D9BD435" w14:textId="47F8372D" w:rsidR="00FF45A9" w:rsidRPr="001619BD" w:rsidRDefault="00C935A1">
      <w:pPr>
        <w:rPr>
          <w:lang w:val="en-GB"/>
        </w:rPr>
      </w:pPr>
      <w:r w:rsidRPr="001619BD">
        <w:rPr>
          <w:lang w:val="en-GB"/>
        </w:rPr>
        <w:t xml:space="preserve">The initial coding stage of the analysis consisted of line-by-line coding and </w:t>
      </w:r>
      <w:r w:rsidR="004C4FF4" w:rsidRPr="001619BD">
        <w:rPr>
          <w:lang w:val="en-GB"/>
        </w:rPr>
        <w:t xml:space="preserve">adding key words to the selected parts of the transcripts. At first, we line-by-line coded </w:t>
      </w:r>
      <w:r w:rsidR="001618FD" w:rsidRPr="001619BD">
        <w:rPr>
          <w:lang w:val="en-GB"/>
        </w:rPr>
        <w:t xml:space="preserve">most of the interviews. </w:t>
      </w:r>
      <w:r w:rsidR="003E52EB" w:rsidRPr="001619BD">
        <w:rPr>
          <w:lang w:val="en-GB"/>
        </w:rPr>
        <w:t xml:space="preserve">This manner of coding is </w:t>
      </w:r>
      <w:proofErr w:type="gramStart"/>
      <w:r w:rsidR="003E52EB" w:rsidRPr="001619BD">
        <w:rPr>
          <w:lang w:val="en-GB"/>
        </w:rPr>
        <w:t>similar to</w:t>
      </w:r>
      <w:proofErr w:type="gramEnd"/>
      <w:r w:rsidR="003E52EB" w:rsidRPr="001619BD">
        <w:rPr>
          <w:lang w:val="en-GB"/>
        </w:rPr>
        <w:t xml:space="preserve"> other qualitative methodologies, such as </w:t>
      </w:r>
      <w:r w:rsidR="00CA1BFD" w:rsidRPr="001619BD">
        <w:rPr>
          <w:lang w:val="en-GB"/>
        </w:rPr>
        <w:t xml:space="preserve">thematic analysis. </w:t>
      </w:r>
      <w:r w:rsidR="00D44236" w:rsidRPr="001619BD">
        <w:rPr>
          <w:lang w:val="en-GB"/>
        </w:rPr>
        <w:t xml:space="preserve">In this GT-approach, researchers </w:t>
      </w:r>
      <w:r w:rsidR="00493285" w:rsidRPr="001619BD">
        <w:rPr>
          <w:lang w:val="en-GB"/>
        </w:rPr>
        <w:t xml:space="preserve">are guided </w:t>
      </w:r>
      <w:r w:rsidR="00882F12">
        <w:rPr>
          <w:lang w:val="en-GB"/>
        </w:rPr>
        <w:t xml:space="preserve">as little as possible by </w:t>
      </w:r>
      <w:r w:rsidR="0040233D">
        <w:rPr>
          <w:lang w:val="en-GB"/>
        </w:rPr>
        <w:t xml:space="preserve">literature to keep an open mind to the data. As such, there is no </w:t>
      </w:r>
      <w:r w:rsidR="00F71B2E">
        <w:rPr>
          <w:lang w:val="en-GB"/>
        </w:rPr>
        <w:t xml:space="preserve">premade code book or framework that can be applied to the data. Instead, researchers are guided by </w:t>
      </w:r>
      <w:r w:rsidR="00493285" w:rsidRPr="001619BD">
        <w:rPr>
          <w:lang w:val="en-GB"/>
        </w:rPr>
        <w:t>sensitizing concepts</w:t>
      </w:r>
      <w:r w:rsidR="00AB48DA" w:rsidRPr="001619BD">
        <w:rPr>
          <w:lang w:val="en-GB"/>
        </w:rPr>
        <w:t xml:space="preserve">: concepts </w:t>
      </w:r>
      <w:r w:rsidR="002B7D3E">
        <w:rPr>
          <w:lang w:val="en-GB"/>
        </w:rPr>
        <w:t xml:space="preserve">related to the research question </w:t>
      </w:r>
      <w:r w:rsidR="00AB48DA" w:rsidRPr="001619BD">
        <w:rPr>
          <w:lang w:val="en-GB"/>
        </w:rPr>
        <w:t xml:space="preserve">that provide direction for analysis. </w:t>
      </w:r>
      <w:r w:rsidR="002F1F3D">
        <w:rPr>
          <w:lang w:val="en-GB"/>
        </w:rPr>
        <w:t>Sensitizing concepts for this study were developed from existing literature on occupational functioning in BD, executive functioning and self-regulation theories, and</w:t>
      </w:r>
      <w:r w:rsidR="00517F78">
        <w:rPr>
          <w:lang w:val="en-GB"/>
        </w:rPr>
        <w:t xml:space="preserve"> (collective) experiential knowledge from individuals with lived experience.</w:t>
      </w:r>
      <w:r w:rsidR="00EF6457">
        <w:rPr>
          <w:lang w:val="en-GB"/>
        </w:rPr>
        <w:t xml:space="preserve"> </w:t>
      </w:r>
    </w:p>
    <w:p w14:paraId="773B8E70" w14:textId="77777777" w:rsidR="0058100A" w:rsidRPr="001619BD" w:rsidRDefault="0058100A">
      <w:pPr>
        <w:rPr>
          <w:lang w:val="en-GB"/>
        </w:rPr>
      </w:pPr>
    </w:p>
    <w:p w14:paraId="66C7F3E7" w14:textId="3A7A0DF8" w:rsidR="0058100A" w:rsidRPr="001619BD" w:rsidRDefault="0058100A">
      <w:pPr>
        <w:rPr>
          <w:i/>
          <w:iCs/>
          <w:lang w:val="en-GB"/>
        </w:rPr>
      </w:pPr>
      <w:r w:rsidRPr="001619BD">
        <w:rPr>
          <w:i/>
          <w:iCs/>
          <w:lang w:val="en-GB"/>
        </w:rPr>
        <w:t xml:space="preserve">Example: </w:t>
      </w:r>
      <w:r w:rsidR="005135C3">
        <w:rPr>
          <w:i/>
          <w:iCs/>
          <w:lang w:val="en-GB"/>
        </w:rPr>
        <w:t>the theme ‘</w:t>
      </w:r>
      <w:r w:rsidRPr="001619BD">
        <w:rPr>
          <w:i/>
          <w:iCs/>
          <w:lang w:val="en-GB"/>
        </w:rPr>
        <w:t>disclosure</w:t>
      </w:r>
      <w:r w:rsidR="005135C3">
        <w:rPr>
          <w:i/>
          <w:iCs/>
          <w:lang w:val="en-GB"/>
        </w:rPr>
        <w:t>’</w:t>
      </w:r>
    </w:p>
    <w:p w14:paraId="3B17BCAB" w14:textId="34559FD1" w:rsidR="00772001" w:rsidRPr="001619BD" w:rsidRDefault="00AB48DA">
      <w:pPr>
        <w:rPr>
          <w:lang w:val="en-GB"/>
        </w:rPr>
      </w:pPr>
      <w:r w:rsidRPr="001619BD">
        <w:rPr>
          <w:lang w:val="en-GB"/>
        </w:rPr>
        <w:t xml:space="preserve">In the </w:t>
      </w:r>
      <w:r w:rsidR="00400357" w:rsidRPr="001619BD">
        <w:rPr>
          <w:lang w:val="en-GB"/>
        </w:rPr>
        <w:t xml:space="preserve">example of </w:t>
      </w:r>
      <w:r w:rsidR="005135C3">
        <w:rPr>
          <w:lang w:val="en-GB"/>
        </w:rPr>
        <w:t xml:space="preserve">constructing the theme </w:t>
      </w:r>
      <w:r w:rsidR="00400357" w:rsidRPr="001619BD">
        <w:rPr>
          <w:lang w:val="en-GB"/>
        </w:rPr>
        <w:t xml:space="preserve">‘disclosure’, before conducting </w:t>
      </w:r>
      <w:r w:rsidR="00B226FA" w:rsidRPr="001619BD">
        <w:rPr>
          <w:lang w:val="en-GB"/>
        </w:rPr>
        <w:t xml:space="preserve">the study we were aware of the dilemma many individuals with (severe) mental illness face when </w:t>
      </w:r>
      <w:r w:rsidR="00AD0FF8" w:rsidRPr="001619BD">
        <w:rPr>
          <w:lang w:val="en-GB"/>
        </w:rPr>
        <w:t xml:space="preserve">working. As such, disclosure was a </w:t>
      </w:r>
      <w:r w:rsidR="00AD0FF8" w:rsidRPr="001619BD">
        <w:rPr>
          <w:lang w:val="en-GB"/>
        </w:rPr>
        <w:lastRenderedPageBreak/>
        <w:t xml:space="preserve">sensitizing concept during </w:t>
      </w:r>
      <w:r w:rsidR="008D07DE">
        <w:rPr>
          <w:lang w:val="en-GB"/>
        </w:rPr>
        <w:t>data collection and analysis</w:t>
      </w:r>
      <w:r w:rsidR="00AD0FF8" w:rsidRPr="001619BD">
        <w:rPr>
          <w:lang w:val="en-GB"/>
        </w:rPr>
        <w:t xml:space="preserve">. For our study we were </w:t>
      </w:r>
      <w:r w:rsidR="00772001" w:rsidRPr="001619BD">
        <w:rPr>
          <w:lang w:val="en-GB"/>
        </w:rPr>
        <w:t xml:space="preserve">particularly interested in </w:t>
      </w:r>
      <w:r w:rsidR="00772001" w:rsidRPr="008D07DE">
        <w:rPr>
          <w:i/>
          <w:iCs/>
          <w:lang w:val="en-GB"/>
        </w:rPr>
        <w:t>how</w:t>
      </w:r>
      <w:r w:rsidR="00772001" w:rsidRPr="001619BD">
        <w:rPr>
          <w:lang w:val="en-GB"/>
        </w:rPr>
        <w:t xml:space="preserve"> individuals with BD-I </w:t>
      </w:r>
      <w:r w:rsidR="008D07DE">
        <w:rPr>
          <w:lang w:val="en-GB"/>
        </w:rPr>
        <w:t>manage</w:t>
      </w:r>
      <w:r w:rsidR="00772001" w:rsidRPr="001619BD">
        <w:rPr>
          <w:lang w:val="en-GB"/>
        </w:rPr>
        <w:t xml:space="preserve"> this dilemma, what contextual factors contribute to the choices they make, and how</w:t>
      </w:r>
      <w:r w:rsidR="008D07DE">
        <w:rPr>
          <w:lang w:val="en-GB"/>
        </w:rPr>
        <w:t xml:space="preserve"> resolving</w:t>
      </w:r>
      <w:r w:rsidR="00772001" w:rsidRPr="001619BD">
        <w:rPr>
          <w:lang w:val="en-GB"/>
        </w:rPr>
        <w:t xml:space="preserve"> this </w:t>
      </w:r>
      <w:r w:rsidR="0007078A">
        <w:rPr>
          <w:lang w:val="en-GB"/>
        </w:rPr>
        <w:t>dilemma</w:t>
      </w:r>
      <w:r w:rsidR="00772001" w:rsidRPr="001619BD">
        <w:rPr>
          <w:lang w:val="en-GB"/>
        </w:rPr>
        <w:t xml:space="preserve"> influences their occupational functioning. Within the initial coding stage, we coded for the act of disclosing, the promoting and hindering factors, </w:t>
      </w:r>
      <w:r w:rsidR="00095FB9" w:rsidRPr="001619BD">
        <w:rPr>
          <w:lang w:val="en-GB"/>
        </w:rPr>
        <w:t>and the results of (partially) disclosing within the workplace.</w:t>
      </w:r>
    </w:p>
    <w:p w14:paraId="6466CF37" w14:textId="172756C2" w:rsidR="00095FB9" w:rsidRPr="001619BD" w:rsidRDefault="00095FB9">
      <w:pPr>
        <w:rPr>
          <w:lang w:val="en-GB"/>
        </w:rPr>
      </w:pPr>
      <w:r w:rsidRPr="001619BD">
        <w:rPr>
          <w:lang w:val="en-GB"/>
        </w:rPr>
        <w:t xml:space="preserve">Examples of codes </w:t>
      </w:r>
      <w:r w:rsidR="00B6425A" w:rsidRPr="001619BD">
        <w:rPr>
          <w:lang w:val="en-GB"/>
        </w:rPr>
        <w:t xml:space="preserve">from the initial coding stage </w:t>
      </w:r>
      <w:r w:rsidRPr="001619BD">
        <w:rPr>
          <w:lang w:val="en-GB"/>
        </w:rPr>
        <w:t>are:</w:t>
      </w:r>
    </w:p>
    <w:p w14:paraId="3F529E95" w14:textId="1901BAE8" w:rsidR="00095FB9" w:rsidRPr="005F6EA7" w:rsidRDefault="00B13091" w:rsidP="00095FB9">
      <w:pPr>
        <w:pStyle w:val="ListParagraph"/>
        <w:numPr>
          <w:ilvl w:val="0"/>
          <w:numId w:val="1"/>
        </w:numPr>
        <w:rPr>
          <w:i/>
          <w:iCs/>
          <w:lang w:val="en-GB"/>
        </w:rPr>
      </w:pPr>
      <w:r w:rsidRPr="005F6EA7">
        <w:rPr>
          <w:i/>
          <w:iCs/>
          <w:lang w:val="en-GB"/>
        </w:rPr>
        <w:t>Feeling relief after disclosing</w:t>
      </w:r>
    </w:p>
    <w:p w14:paraId="3862AAC2" w14:textId="7A0AAC04" w:rsidR="00B13091" w:rsidRPr="005F6EA7" w:rsidRDefault="00B13091" w:rsidP="00095FB9">
      <w:pPr>
        <w:pStyle w:val="ListParagraph"/>
        <w:numPr>
          <w:ilvl w:val="0"/>
          <w:numId w:val="1"/>
        </w:numPr>
        <w:rPr>
          <w:i/>
          <w:iCs/>
          <w:lang w:val="en-GB"/>
        </w:rPr>
      </w:pPr>
      <w:r w:rsidRPr="005F6EA7">
        <w:rPr>
          <w:i/>
          <w:iCs/>
          <w:lang w:val="en-GB"/>
        </w:rPr>
        <w:t>Doubts about disclosure in the workplace</w:t>
      </w:r>
    </w:p>
    <w:p w14:paraId="7BDEB78D" w14:textId="3F201A2B" w:rsidR="00B13091" w:rsidRPr="005F6EA7" w:rsidRDefault="002A7ED7" w:rsidP="00095FB9">
      <w:pPr>
        <w:pStyle w:val="ListParagraph"/>
        <w:numPr>
          <w:ilvl w:val="0"/>
          <w:numId w:val="1"/>
        </w:numPr>
        <w:rPr>
          <w:i/>
          <w:iCs/>
          <w:lang w:val="en-GB"/>
        </w:rPr>
      </w:pPr>
      <w:r w:rsidRPr="005F6EA7">
        <w:rPr>
          <w:i/>
          <w:iCs/>
          <w:lang w:val="en-GB"/>
        </w:rPr>
        <w:t>Fear of being stigmatized</w:t>
      </w:r>
    </w:p>
    <w:p w14:paraId="7650390E" w14:textId="172EAA3F" w:rsidR="002A7ED7" w:rsidRPr="005F6EA7" w:rsidRDefault="00822676" w:rsidP="00095FB9">
      <w:pPr>
        <w:pStyle w:val="ListParagraph"/>
        <w:numPr>
          <w:ilvl w:val="0"/>
          <w:numId w:val="1"/>
        </w:numPr>
        <w:rPr>
          <w:i/>
          <w:iCs/>
          <w:lang w:val="en-GB"/>
        </w:rPr>
      </w:pPr>
      <w:r w:rsidRPr="005F6EA7">
        <w:rPr>
          <w:i/>
          <w:iCs/>
          <w:lang w:val="en-GB"/>
        </w:rPr>
        <w:t>Positive work environment despite disclosing</w:t>
      </w:r>
    </w:p>
    <w:p w14:paraId="6BBE9B08" w14:textId="54F56866" w:rsidR="00AC0358" w:rsidRPr="005F6EA7" w:rsidRDefault="00AC0358" w:rsidP="00095FB9">
      <w:pPr>
        <w:pStyle w:val="ListParagraph"/>
        <w:numPr>
          <w:ilvl w:val="0"/>
          <w:numId w:val="1"/>
        </w:numPr>
        <w:rPr>
          <w:i/>
          <w:iCs/>
          <w:lang w:val="en-GB"/>
        </w:rPr>
      </w:pPr>
      <w:r w:rsidRPr="005F6EA7">
        <w:rPr>
          <w:i/>
          <w:iCs/>
          <w:lang w:val="en-GB"/>
        </w:rPr>
        <w:t>Feeling unsafe</w:t>
      </w:r>
    </w:p>
    <w:p w14:paraId="1215D59F" w14:textId="68A27097" w:rsidR="00B6425A" w:rsidRPr="005F6EA7" w:rsidRDefault="00B6425A" w:rsidP="00095FB9">
      <w:pPr>
        <w:pStyle w:val="ListParagraph"/>
        <w:numPr>
          <w:ilvl w:val="0"/>
          <w:numId w:val="1"/>
        </w:numPr>
        <w:rPr>
          <w:i/>
          <w:iCs/>
          <w:lang w:val="en-GB"/>
        </w:rPr>
      </w:pPr>
      <w:r w:rsidRPr="005F6EA7">
        <w:rPr>
          <w:i/>
          <w:iCs/>
          <w:lang w:val="en-GB"/>
        </w:rPr>
        <w:t>Telling colleagues</w:t>
      </w:r>
    </w:p>
    <w:p w14:paraId="653A5CF5" w14:textId="5C592876" w:rsidR="00B6425A" w:rsidRPr="005F6EA7" w:rsidRDefault="00B6425A" w:rsidP="00095FB9">
      <w:pPr>
        <w:pStyle w:val="ListParagraph"/>
        <w:numPr>
          <w:ilvl w:val="0"/>
          <w:numId w:val="1"/>
        </w:numPr>
        <w:rPr>
          <w:i/>
          <w:iCs/>
          <w:lang w:val="en-GB"/>
        </w:rPr>
      </w:pPr>
      <w:r w:rsidRPr="005F6EA7">
        <w:rPr>
          <w:i/>
          <w:iCs/>
          <w:lang w:val="en-GB"/>
        </w:rPr>
        <w:t>Telling superior</w:t>
      </w:r>
    </w:p>
    <w:p w14:paraId="119E9027" w14:textId="2A3E3B80" w:rsidR="000A1A45" w:rsidRPr="005F6EA7" w:rsidRDefault="000A1A45" w:rsidP="00095FB9">
      <w:pPr>
        <w:pStyle w:val="ListParagraph"/>
        <w:numPr>
          <w:ilvl w:val="0"/>
          <w:numId w:val="1"/>
        </w:numPr>
        <w:rPr>
          <w:i/>
          <w:iCs/>
          <w:lang w:val="en-GB"/>
        </w:rPr>
      </w:pPr>
      <w:r w:rsidRPr="005F6EA7">
        <w:rPr>
          <w:i/>
          <w:iCs/>
          <w:lang w:val="en-GB"/>
        </w:rPr>
        <w:t>When it’s going well</w:t>
      </w:r>
    </w:p>
    <w:p w14:paraId="54A380F4" w14:textId="43104F54" w:rsidR="000A1A45" w:rsidRPr="005F6EA7" w:rsidRDefault="000A1A45" w:rsidP="00095FB9">
      <w:pPr>
        <w:pStyle w:val="ListParagraph"/>
        <w:numPr>
          <w:ilvl w:val="0"/>
          <w:numId w:val="1"/>
        </w:numPr>
        <w:rPr>
          <w:i/>
          <w:iCs/>
          <w:lang w:val="en-GB"/>
        </w:rPr>
      </w:pPr>
      <w:r w:rsidRPr="005F6EA7">
        <w:rPr>
          <w:i/>
          <w:iCs/>
          <w:lang w:val="en-GB"/>
        </w:rPr>
        <w:t>When it’s not going well</w:t>
      </w:r>
    </w:p>
    <w:p w14:paraId="7CF5880F" w14:textId="77777777" w:rsidR="00C935A1" w:rsidRPr="001619BD" w:rsidRDefault="00C935A1">
      <w:pPr>
        <w:rPr>
          <w:i/>
          <w:iCs/>
          <w:lang w:val="en-GB"/>
        </w:rPr>
      </w:pPr>
    </w:p>
    <w:p w14:paraId="3EE29A4A" w14:textId="70619BFE" w:rsidR="00FF45A9" w:rsidRPr="002B67D1" w:rsidRDefault="00FF45A9">
      <w:pPr>
        <w:rPr>
          <w:u w:val="single"/>
          <w:lang w:val="en-GB"/>
        </w:rPr>
      </w:pPr>
      <w:r w:rsidRPr="002B67D1">
        <w:rPr>
          <w:u w:val="single"/>
          <w:lang w:val="en-GB"/>
        </w:rPr>
        <w:t>Step 2: axial coding</w:t>
      </w:r>
    </w:p>
    <w:p w14:paraId="7251AE9C" w14:textId="12C6F0AD" w:rsidR="00691E76" w:rsidRPr="001619BD" w:rsidRDefault="009220F9">
      <w:pPr>
        <w:rPr>
          <w:lang w:val="en-GB"/>
        </w:rPr>
      </w:pPr>
      <w:r w:rsidRPr="001619BD">
        <w:rPr>
          <w:lang w:val="en-GB"/>
        </w:rPr>
        <w:t>In the second stage of coding, we derived themes from the individual codes</w:t>
      </w:r>
      <w:r w:rsidR="003316EF" w:rsidRPr="001619BD">
        <w:rPr>
          <w:lang w:val="en-GB"/>
        </w:rPr>
        <w:t xml:space="preserve"> by grouping them together</w:t>
      </w:r>
      <w:r w:rsidRPr="001619BD">
        <w:rPr>
          <w:lang w:val="en-GB"/>
        </w:rPr>
        <w:t xml:space="preserve">. </w:t>
      </w:r>
      <w:r w:rsidR="00691E76" w:rsidRPr="001619BD">
        <w:rPr>
          <w:lang w:val="en-GB"/>
        </w:rPr>
        <w:t xml:space="preserve">Within GT-coding, researchers are </w:t>
      </w:r>
      <w:r w:rsidR="00B646B2" w:rsidRPr="001619BD">
        <w:rPr>
          <w:lang w:val="en-GB"/>
        </w:rPr>
        <w:t xml:space="preserve">challenged not only to thematically code the data that was collected, but also to look for contextual and process-related </w:t>
      </w:r>
      <w:r w:rsidR="00FB3480" w:rsidRPr="001619BD">
        <w:rPr>
          <w:lang w:val="en-GB"/>
        </w:rPr>
        <w:t>narratives. This means that researcher not only look</w:t>
      </w:r>
      <w:r w:rsidR="003E52EB" w:rsidRPr="001619BD">
        <w:rPr>
          <w:lang w:val="en-GB"/>
        </w:rPr>
        <w:t>s</w:t>
      </w:r>
      <w:r w:rsidR="00FB3480" w:rsidRPr="001619BD">
        <w:rPr>
          <w:lang w:val="en-GB"/>
        </w:rPr>
        <w:t xml:space="preserve"> for </w:t>
      </w:r>
      <w:r w:rsidR="00FB3480" w:rsidRPr="001619BD">
        <w:rPr>
          <w:i/>
          <w:iCs/>
          <w:lang w:val="en-GB"/>
        </w:rPr>
        <w:t>what</w:t>
      </w:r>
      <w:r w:rsidR="00FB3480" w:rsidRPr="001619BD">
        <w:rPr>
          <w:lang w:val="en-GB"/>
        </w:rPr>
        <w:t xml:space="preserve"> is happening, but also </w:t>
      </w:r>
      <w:r w:rsidR="00FB3480" w:rsidRPr="001619BD">
        <w:rPr>
          <w:i/>
          <w:iCs/>
          <w:lang w:val="en-GB"/>
        </w:rPr>
        <w:t>how</w:t>
      </w:r>
      <w:r w:rsidR="00FB3480" w:rsidRPr="001619BD">
        <w:rPr>
          <w:lang w:val="en-GB"/>
        </w:rPr>
        <w:t xml:space="preserve"> and in </w:t>
      </w:r>
      <w:r w:rsidR="00FB3480" w:rsidRPr="001619BD">
        <w:rPr>
          <w:i/>
          <w:iCs/>
          <w:lang w:val="en-GB"/>
        </w:rPr>
        <w:t>what contexts</w:t>
      </w:r>
      <w:r w:rsidR="00FB3480" w:rsidRPr="001619BD">
        <w:rPr>
          <w:lang w:val="en-GB"/>
        </w:rPr>
        <w:t xml:space="preserve">. </w:t>
      </w:r>
      <w:r w:rsidR="002E376F">
        <w:rPr>
          <w:lang w:val="en-GB"/>
        </w:rPr>
        <w:t>During the axial coding stage, the researcher also further improves the open coding stage</w:t>
      </w:r>
      <w:r w:rsidR="009706C4">
        <w:rPr>
          <w:lang w:val="en-GB"/>
        </w:rPr>
        <w:t xml:space="preserve"> and returns to the transcripts to see if the theme can be further expanded upon. </w:t>
      </w:r>
    </w:p>
    <w:p w14:paraId="73C39B29" w14:textId="77777777" w:rsidR="007716FA" w:rsidRPr="001619BD" w:rsidRDefault="007716FA">
      <w:pPr>
        <w:rPr>
          <w:lang w:val="en-GB"/>
        </w:rPr>
      </w:pPr>
    </w:p>
    <w:p w14:paraId="57B7FCC8" w14:textId="77777777" w:rsidR="005135C3" w:rsidRPr="001619BD" w:rsidRDefault="005135C3" w:rsidP="005135C3">
      <w:pPr>
        <w:rPr>
          <w:i/>
          <w:iCs/>
          <w:lang w:val="en-GB"/>
        </w:rPr>
      </w:pPr>
      <w:r w:rsidRPr="001619BD">
        <w:rPr>
          <w:i/>
          <w:iCs/>
          <w:lang w:val="en-GB"/>
        </w:rPr>
        <w:t xml:space="preserve">Example: </w:t>
      </w:r>
      <w:r>
        <w:rPr>
          <w:i/>
          <w:iCs/>
          <w:lang w:val="en-GB"/>
        </w:rPr>
        <w:t>the theme ‘</w:t>
      </w:r>
      <w:r w:rsidRPr="001619BD">
        <w:rPr>
          <w:i/>
          <w:iCs/>
          <w:lang w:val="en-GB"/>
        </w:rPr>
        <w:t>disclosure</w:t>
      </w:r>
      <w:r>
        <w:rPr>
          <w:i/>
          <w:iCs/>
          <w:lang w:val="en-GB"/>
        </w:rPr>
        <w:t>’</w:t>
      </w:r>
    </w:p>
    <w:p w14:paraId="312E19AF" w14:textId="61060E47" w:rsidR="00AD7DBC" w:rsidRDefault="009220F9" w:rsidP="005B3AC9">
      <w:pPr>
        <w:rPr>
          <w:lang w:val="en-GB"/>
        </w:rPr>
      </w:pPr>
      <w:r w:rsidRPr="001619BD">
        <w:rPr>
          <w:lang w:val="en-GB"/>
        </w:rPr>
        <w:t xml:space="preserve">Throughout the coding process we noticed that several participants </w:t>
      </w:r>
      <w:r w:rsidR="00831AE6" w:rsidRPr="001619BD">
        <w:rPr>
          <w:lang w:val="en-GB"/>
        </w:rPr>
        <w:t xml:space="preserve">mentioned disclosing about bipolar disorder in the </w:t>
      </w:r>
      <w:r w:rsidR="00F56180" w:rsidRPr="001619BD">
        <w:rPr>
          <w:lang w:val="en-GB"/>
        </w:rPr>
        <w:t>workplace</w:t>
      </w:r>
      <w:r w:rsidR="00831AE6" w:rsidRPr="001619BD">
        <w:rPr>
          <w:lang w:val="en-GB"/>
        </w:rPr>
        <w:t xml:space="preserve">, a well-known dilemma for </w:t>
      </w:r>
      <w:r w:rsidR="00465464" w:rsidRPr="001619BD">
        <w:rPr>
          <w:lang w:val="en-GB"/>
        </w:rPr>
        <w:t>many</w:t>
      </w:r>
      <w:r w:rsidR="00831AE6" w:rsidRPr="001619BD">
        <w:rPr>
          <w:lang w:val="en-GB"/>
        </w:rPr>
        <w:t xml:space="preserve"> individual</w:t>
      </w:r>
      <w:r w:rsidR="00465464" w:rsidRPr="001619BD">
        <w:rPr>
          <w:lang w:val="en-GB"/>
        </w:rPr>
        <w:t>s</w:t>
      </w:r>
      <w:r w:rsidR="00831AE6" w:rsidRPr="001619BD">
        <w:rPr>
          <w:lang w:val="en-GB"/>
        </w:rPr>
        <w:t xml:space="preserve"> </w:t>
      </w:r>
      <w:r w:rsidR="00465464" w:rsidRPr="001619BD">
        <w:rPr>
          <w:lang w:val="en-GB"/>
        </w:rPr>
        <w:t xml:space="preserve">managing (severe) mental illness. </w:t>
      </w:r>
      <w:r w:rsidR="00096278" w:rsidRPr="001619BD">
        <w:rPr>
          <w:lang w:val="en-GB"/>
        </w:rPr>
        <w:lastRenderedPageBreak/>
        <w:t xml:space="preserve">To create a rich theme, we connected codes together that related to disclosure and created a </w:t>
      </w:r>
      <w:r w:rsidR="00096278" w:rsidRPr="005B3AC9">
        <w:rPr>
          <w:lang w:val="en-GB"/>
        </w:rPr>
        <w:t>diagram</w:t>
      </w:r>
      <w:r w:rsidR="005B3AC9">
        <w:rPr>
          <w:lang w:val="en-GB"/>
        </w:rPr>
        <w:t xml:space="preserve"> (see Figure 1)</w:t>
      </w:r>
      <w:r w:rsidR="00096278" w:rsidRPr="001619BD">
        <w:rPr>
          <w:lang w:val="en-GB"/>
        </w:rPr>
        <w:t xml:space="preserve"> in which several aspects of the process of disclosure were </w:t>
      </w:r>
      <w:r w:rsidR="00654763" w:rsidRPr="001619BD">
        <w:rPr>
          <w:lang w:val="en-GB"/>
        </w:rPr>
        <w:t>filled out. These aspects are</w:t>
      </w:r>
      <w:r w:rsidR="005E5521" w:rsidRPr="001619BD">
        <w:rPr>
          <w:lang w:val="en-GB"/>
        </w:rPr>
        <w:t xml:space="preserve"> contextual factors (such as the code ‘feeling </w:t>
      </w:r>
      <w:r w:rsidR="000C2B42" w:rsidRPr="001619BD">
        <w:rPr>
          <w:lang w:val="en-GB"/>
        </w:rPr>
        <w:t xml:space="preserve">unsafe’) that may influence the decision of when and what to disclose. Other aspects are </w:t>
      </w:r>
      <w:r w:rsidR="000A1A45" w:rsidRPr="001619BD">
        <w:rPr>
          <w:lang w:val="en-GB"/>
        </w:rPr>
        <w:t xml:space="preserve">the moment when a participant decides it is the right moment to disclose (e.g. ‘when it’s </w:t>
      </w:r>
      <w:proofErr w:type="spellStart"/>
      <w:r w:rsidR="000A1A45" w:rsidRPr="001619BD">
        <w:rPr>
          <w:lang w:val="en-GB"/>
        </w:rPr>
        <w:t>nog</w:t>
      </w:r>
      <w:proofErr w:type="spellEnd"/>
      <w:r w:rsidR="000A1A45" w:rsidRPr="001619BD">
        <w:rPr>
          <w:lang w:val="en-GB"/>
        </w:rPr>
        <w:t xml:space="preserve"> going well’, which refers to periods in which a participant feels they need support in the workplace and disclosing might help them receive that support). And lastly, </w:t>
      </w:r>
      <w:r w:rsidR="00AD7DBC" w:rsidRPr="001619BD">
        <w:rPr>
          <w:lang w:val="en-GB"/>
        </w:rPr>
        <w:t>the aspect that describes the outcomes of disclosing (e.g. ‘positive work environment despite disclosing’).</w:t>
      </w:r>
      <w:r w:rsidR="00895565">
        <w:rPr>
          <w:lang w:val="en-GB"/>
        </w:rPr>
        <w:t xml:space="preserve"> </w:t>
      </w:r>
      <w:r w:rsidR="00237116" w:rsidRPr="001619BD">
        <w:rPr>
          <w:lang w:val="en-GB"/>
        </w:rPr>
        <w:t>In this way, we created a theme that described the whole process of disclosing from contextual factors that influence the decision, the decision itself, the moment of disclosing, the people to whom the participant discloses, and the results of disclosing.</w:t>
      </w:r>
    </w:p>
    <w:p w14:paraId="09B9A3DA" w14:textId="77777777" w:rsidR="005B3AC9" w:rsidRDefault="005B3AC9" w:rsidP="005B3AC9">
      <w:pPr>
        <w:rPr>
          <w:lang w:val="en-GB"/>
        </w:rPr>
      </w:pPr>
    </w:p>
    <w:p w14:paraId="03ADB929" w14:textId="1BE69F0F" w:rsidR="005B3AC9" w:rsidRDefault="005B3AC9" w:rsidP="005B3AC9">
      <w:pPr>
        <w:rPr>
          <w:i/>
          <w:iCs/>
          <w:lang w:val="en-GB"/>
        </w:rPr>
      </w:pPr>
      <w:r>
        <w:rPr>
          <w:i/>
          <w:iCs/>
          <w:lang w:val="en-GB"/>
        </w:rPr>
        <w:t>Figure 1. Diagram created during the axial coding stage of analysis</w:t>
      </w:r>
    </w:p>
    <w:p w14:paraId="7561A6DC" w14:textId="76FD2A53" w:rsidR="005B3AC9" w:rsidRPr="005B3AC9" w:rsidRDefault="006151EE" w:rsidP="005B3AC9">
      <w:pPr>
        <w:rPr>
          <w:lang w:val="en-GB"/>
        </w:rPr>
      </w:pPr>
      <w:r>
        <w:rPr>
          <w:noProof/>
        </w:rPr>
        <w:drawing>
          <wp:inline distT="0" distB="0" distL="0" distR="0" wp14:anchorId="694D9C40" wp14:editId="6658E961">
            <wp:extent cx="5730240" cy="2534518"/>
            <wp:effectExtent l="0" t="0" r="0" b="5715"/>
            <wp:docPr id="3" name="Afbeelding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 black background with a black square&#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0240" cy="2534518"/>
                    </a:xfrm>
                    <a:prstGeom prst="rect">
                      <a:avLst/>
                    </a:prstGeom>
                    <a:noFill/>
                  </pic:spPr>
                </pic:pic>
              </a:graphicData>
            </a:graphic>
          </wp:inline>
        </w:drawing>
      </w:r>
    </w:p>
    <w:p w14:paraId="0BFA476C" w14:textId="77777777" w:rsidR="001618FD" w:rsidRPr="001619BD" w:rsidRDefault="001618FD">
      <w:pPr>
        <w:rPr>
          <w:lang w:val="en-GB"/>
        </w:rPr>
      </w:pPr>
    </w:p>
    <w:p w14:paraId="488D3120" w14:textId="3128A20D" w:rsidR="00FF45A9" w:rsidRPr="002B67D1" w:rsidRDefault="00FF45A9">
      <w:pPr>
        <w:rPr>
          <w:u w:val="single"/>
          <w:lang w:val="en-GB"/>
        </w:rPr>
      </w:pPr>
      <w:r w:rsidRPr="002B67D1">
        <w:rPr>
          <w:u w:val="single"/>
          <w:lang w:val="en-GB"/>
        </w:rPr>
        <w:t>Step 3: selective coding</w:t>
      </w:r>
    </w:p>
    <w:p w14:paraId="28BAD02B" w14:textId="11B3BEB9" w:rsidR="007D60FC" w:rsidRPr="001619BD" w:rsidRDefault="00B20310" w:rsidP="005638B5">
      <w:pPr>
        <w:rPr>
          <w:lang w:val="en-GB"/>
        </w:rPr>
      </w:pPr>
      <w:r>
        <w:rPr>
          <w:lang w:val="en-GB"/>
        </w:rPr>
        <w:t>In the</w:t>
      </w:r>
      <w:r w:rsidR="00184984" w:rsidRPr="001619BD">
        <w:rPr>
          <w:lang w:val="en-GB"/>
        </w:rPr>
        <w:t xml:space="preserve"> GT-tradition that inspired our coding process ‘selective coding’ </w:t>
      </w:r>
      <w:r>
        <w:rPr>
          <w:lang w:val="en-GB"/>
        </w:rPr>
        <w:t>is</w:t>
      </w:r>
      <w:r w:rsidR="00184984" w:rsidRPr="001619BD">
        <w:rPr>
          <w:lang w:val="en-GB"/>
        </w:rPr>
        <w:t xml:space="preserve"> the third </w:t>
      </w:r>
      <w:r w:rsidR="00F56180" w:rsidRPr="001619BD">
        <w:rPr>
          <w:lang w:val="en-GB"/>
        </w:rPr>
        <w:t xml:space="preserve">and final step of analysis. </w:t>
      </w:r>
      <w:r w:rsidR="00237116" w:rsidRPr="001619BD">
        <w:rPr>
          <w:lang w:val="en-GB"/>
        </w:rPr>
        <w:t xml:space="preserve">After the axial coding </w:t>
      </w:r>
      <w:r w:rsidR="00C6492E" w:rsidRPr="001619BD">
        <w:rPr>
          <w:lang w:val="en-GB"/>
        </w:rPr>
        <w:t>stage, where themes are created and all aspects are described, in the selective coding stage all themes are connected through one ‘core category’. This core category is an overarching theme that is apparent in all the narratives of participants and links all themes together.</w:t>
      </w:r>
      <w:r w:rsidR="005638B5">
        <w:rPr>
          <w:lang w:val="en-GB"/>
        </w:rPr>
        <w:t xml:space="preserve"> </w:t>
      </w:r>
      <w:r w:rsidR="005638B5">
        <w:rPr>
          <w:lang w:val="en-GB"/>
        </w:rPr>
        <w:lastRenderedPageBreak/>
        <w:t xml:space="preserve">Researchers choose this core category after carefully reviewing all the themes for their properties and identifying what ties the themes together. </w:t>
      </w:r>
      <w:r w:rsidR="007D60FC" w:rsidRPr="001619BD">
        <w:rPr>
          <w:lang w:val="en-GB"/>
        </w:rPr>
        <w:t xml:space="preserve">For our study, ‘fitting employment’ was chosen as a core category. During the axial coding stage this theme </w:t>
      </w:r>
      <w:r w:rsidR="00E849D8" w:rsidRPr="001619BD">
        <w:rPr>
          <w:lang w:val="en-GB"/>
        </w:rPr>
        <w:t xml:space="preserve">was created and upon reviewing the themes in total, it appeared that all the themes related to creating a fitting employment situation. </w:t>
      </w:r>
      <w:r w:rsidR="00D31B3F" w:rsidRPr="001619BD">
        <w:rPr>
          <w:lang w:val="en-GB"/>
        </w:rPr>
        <w:t>Every strategy, hindering or promoting factor, and choices made by the participant contributed to this overarching goal.</w:t>
      </w:r>
    </w:p>
    <w:p w14:paraId="0E135AC3" w14:textId="77777777" w:rsidR="00C6492E" w:rsidRPr="001619BD" w:rsidRDefault="00C6492E">
      <w:pPr>
        <w:rPr>
          <w:lang w:val="en-GB"/>
        </w:rPr>
      </w:pPr>
    </w:p>
    <w:p w14:paraId="55C26EA7" w14:textId="77777777" w:rsidR="005135C3" w:rsidRPr="001619BD" w:rsidRDefault="005135C3" w:rsidP="005135C3">
      <w:pPr>
        <w:rPr>
          <w:i/>
          <w:iCs/>
          <w:lang w:val="en-GB"/>
        </w:rPr>
      </w:pPr>
      <w:r w:rsidRPr="001619BD">
        <w:rPr>
          <w:i/>
          <w:iCs/>
          <w:lang w:val="en-GB"/>
        </w:rPr>
        <w:t xml:space="preserve">Example: </w:t>
      </w:r>
      <w:r>
        <w:rPr>
          <w:i/>
          <w:iCs/>
          <w:lang w:val="en-GB"/>
        </w:rPr>
        <w:t>the theme ‘</w:t>
      </w:r>
      <w:r w:rsidRPr="001619BD">
        <w:rPr>
          <w:i/>
          <w:iCs/>
          <w:lang w:val="en-GB"/>
        </w:rPr>
        <w:t>disclosure</w:t>
      </w:r>
      <w:r>
        <w:rPr>
          <w:i/>
          <w:iCs/>
          <w:lang w:val="en-GB"/>
        </w:rPr>
        <w:t>’</w:t>
      </w:r>
    </w:p>
    <w:p w14:paraId="2460CC75" w14:textId="4CD911B2" w:rsidR="00C6492E" w:rsidRPr="001619BD" w:rsidRDefault="001833BF">
      <w:pPr>
        <w:rPr>
          <w:lang w:val="en-GB"/>
        </w:rPr>
      </w:pPr>
      <w:r w:rsidRPr="001619BD">
        <w:rPr>
          <w:lang w:val="en-GB"/>
        </w:rPr>
        <w:t xml:space="preserve">When reviewing the themes in </w:t>
      </w:r>
      <w:r w:rsidR="005C3448">
        <w:rPr>
          <w:lang w:val="en-GB"/>
        </w:rPr>
        <w:t>connection to each other</w:t>
      </w:r>
      <w:r w:rsidRPr="001619BD">
        <w:rPr>
          <w:lang w:val="en-GB"/>
        </w:rPr>
        <w:t xml:space="preserve"> to choose a core category, we looked at the themes in detail</w:t>
      </w:r>
      <w:r w:rsidR="005C3448">
        <w:rPr>
          <w:lang w:val="en-GB"/>
        </w:rPr>
        <w:t xml:space="preserve"> to </w:t>
      </w:r>
      <w:r w:rsidR="00F42E02">
        <w:rPr>
          <w:lang w:val="en-GB"/>
        </w:rPr>
        <w:t xml:space="preserve">find </w:t>
      </w:r>
      <w:r w:rsidR="000C2A69">
        <w:rPr>
          <w:lang w:val="en-GB"/>
        </w:rPr>
        <w:t>what unites them</w:t>
      </w:r>
      <w:r w:rsidR="00EA6BBE" w:rsidRPr="001619BD">
        <w:rPr>
          <w:lang w:val="en-GB"/>
        </w:rPr>
        <w:t xml:space="preserve">. In the case of disclosure, we noticed that participants </w:t>
      </w:r>
      <w:r w:rsidR="009652D6" w:rsidRPr="001619BD">
        <w:rPr>
          <w:lang w:val="en-GB"/>
        </w:rPr>
        <w:t>usually disclose</w:t>
      </w:r>
      <w:r w:rsidR="005E4183">
        <w:rPr>
          <w:lang w:val="en-GB"/>
        </w:rPr>
        <w:t>d</w:t>
      </w:r>
      <w:r w:rsidR="009652D6" w:rsidRPr="001619BD">
        <w:rPr>
          <w:lang w:val="en-GB"/>
        </w:rPr>
        <w:t xml:space="preserve"> information about their illness with the goal of fitting employment in mind.</w:t>
      </w:r>
      <w:r w:rsidR="00C17064">
        <w:rPr>
          <w:lang w:val="en-GB"/>
        </w:rPr>
        <w:t xml:space="preserve"> </w:t>
      </w:r>
      <w:r w:rsidR="005E4183">
        <w:rPr>
          <w:lang w:val="en-GB"/>
        </w:rPr>
        <w:t>How, what, when, and to whom participants disclosed differed per situation</w:t>
      </w:r>
      <w:r w:rsidR="002B67D1">
        <w:rPr>
          <w:lang w:val="en-GB"/>
        </w:rPr>
        <w:t>.</w:t>
      </w:r>
    </w:p>
    <w:sectPr w:rsidR="00C6492E" w:rsidRPr="001619BD" w:rsidSect="000F48F9">
      <w:pgSz w:w="11904" w:h="16835"/>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AF25A" w14:textId="77777777" w:rsidR="00B20310" w:rsidRDefault="00B20310" w:rsidP="00B20310">
      <w:pPr>
        <w:spacing w:after="0" w:line="240" w:lineRule="auto"/>
      </w:pPr>
      <w:r>
        <w:separator/>
      </w:r>
    </w:p>
  </w:endnote>
  <w:endnote w:type="continuationSeparator" w:id="0">
    <w:p w14:paraId="51913E4B" w14:textId="77777777" w:rsidR="00B20310" w:rsidRDefault="00B20310" w:rsidP="00B20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04A47D" w14:textId="77777777" w:rsidR="00B20310" w:rsidRDefault="00B20310" w:rsidP="00B20310">
      <w:pPr>
        <w:spacing w:after="0" w:line="240" w:lineRule="auto"/>
      </w:pPr>
      <w:r>
        <w:separator/>
      </w:r>
    </w:p>
  </w:footnote>
  <w:footnote w:type="continuationSeparator" w:id="0">
    <w:p w14:paraId="329B05DA" w14:textId="77777777" w:rsidR="00B20310" w:rsidRDefault="00B20310" w:rsidP="00B203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02331"/>
    <w:multiLevelType w:val="hybridMultilevel"/>
    <w:tmpl w:val="AB38F8A4"/>
    <w:lvl w:ilvl="0" w:tplc="98E6218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4715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5A9"/>
    <w:rsid w:val="00016B41"/>
    <w:rsid w:val="0007078A"/>
    <w:rsid w:val="000854E9"/>
    <w:rsid w:val="00095FB9"/>
    <w:rsid w:val="00096278"/>
    <w:rsid w:val="000A1A45"/>
    <w:rsid w:val="000C2A69"/>
    <w:rsid w:val="000C2B42"/>
    <w:rsid w:val="000F48F9"/>
    <w:rsid w:val="001618FD"/>
    <w:rsid w:val="001619BD"/>
    <w:rsid w:val="001763C6"/>
    <w:rsid w:val="001833BF"/>
    <w:rsid w:val="00184984"/>
    <w:rsid w:val="001E4155"/>
    <w:rsid w:val="00237116"/>
    <w:rsid w:val="002766C2"/>
    <w:rsid w:val="002A7ED7"/>
    <w:rsid w:val="002B67D1"/>
    <w:rsid w:val="002B7D3E"/>
    <w:rsid w:val="002E376F"/>
    <w:rsid w:val="002F1F3D"/>
    <w:rsid w:val="003316EF"/>
    <w:rsid w:val="003E52EB"/>
    <w:rsid w:val="00400357"/>
    <w:rsid w:val="0040233D"/>
    <w:rsid w:val="00465464"/>
    <w:rsid w:val="00482998"/>
    <w:rsid w:val="00493285"/>
    <w:rsid w:val="004C4FF4"/>
    <w:rsid w:val="005021B8"/>
    <w:rsid w:val="005135C3"/>
    <w:rsid w:val="00515004"/>
    <w:rsid w:val="00517F78"/>
    <w:rsid w:val="005638B5"/>
    <w:rsid w:val="0058100A"/>
    <w:rsid w:val="005B3AC9"/>
    <w:rsid w:val="005C3448"/>
    <w:rsid w:val="005E4183"/>
    <w:rsid w:val="005E5521"/>
    <w:rsid w:val="005F6EA7"/>
    <w:rsid w:val="006151EE"/>
    <w:rsid w:val="00646D7D"/>
    <w:rsid w:val="00654763"/>
    <w:rsid w:val="00691E76"/>
    <w:rsid w:val="006D72B1"/>
    <w:rsid w:val="00762C56"/>
    <w:rsid w:val="007716FA"/>
    <w:rsid w:val="00772001"/>
    <w:rsid w:val="007D60FC"/>
    <w:rsid w:val="00822676"/>
    <w:rsid w:val="00831AE6"/>
    <w:rsid w:val="00882F12"/>
    <w:rsid w:val="00895565"/>
    <w:rsid w:val="008D07DE"/>
    <w:rsid w:val="008D30DA"/>
    <w:rsid w:val="008E73ED"/>
    <w:rsid w:val="008F6CD1"/>
    <w:rsid w:val="00906E9C"/>
    <w:rsid w:val="009220F9"/>
    <w:rsid w:val="00950687"/>
    <w:rsid w:val="009652D6"/>
    <w:rsid w:val="009706C4"/>
    <w:rsid w:val="00987992"/>
    <w:rsid w:val="009930FC"/>
    <w:rsid w:val="00A41B1A"/>
    <w:rsid w:val="00A545A0"/>
    <w:rsid w:val="00A753CF"/>
    <w:rsid w:val="00AB48DA"/>
    <w:rsid w:val="00AC0358"/>
    <w:rsid w:val="00AD0FF8"/>
    <w:rsid w:val="00AD7DBC"/>
    <w:rsid w:val="00B13091"/>
    <w:rsid w:val="00B14432"/>
    <w:rsid w:val="00B20310"/>
    <w:rsid w:val="00B226FA"/>
    <w:rsid w:val="00B238EA"/>
    <w:rsid w:val="00B6425A"/>
    <w:rsid w:val="00B646B2"/>
    <w:rsid w:val="00B91B43"/>
    <w:rsid w:val="00C17064"/>
    <w:rsid w:val="00C6492E"/>
    <w:rsid w:val="00C77BA4"/>
    <w:rsid w:val="00C935A1"/>
    <w:rsid w:val="00CA1BFD"/>
    <w:rsid w:val="00D31B3F"/>
    <w:rsid w:val="00D44236"/>
    <w:rsid w:val="00DD675F"/>
    <w:rsid w:val="00E55ACD"/>
    <w:rsid w:val="00E6227B"/>
    <w:rsid w:val="00E849D8"/>
    <w:rsid w:val="00EA6BBE"/>
    <w:rsid w:val="00ED77EF"/>
    <w:rsid w:val="00EF6457"/>
    <w:rsid w:val="00F42E02"/>
    <w:rsid w:val="00F56180"/>
    <w:rsid w:val="00F71B2E"/>
    <w:rsid w:val="00FB3480"/>
    <w:rsid w:val="00FE021F"/>
    <w:rsid w:val="00FF45A9"/>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1D745D6C"/>
  <w15:chartTrackingRefBased/>
  <w15:docId w15:val="{225BDB0D-69F7-B540-8D34-B198348D7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8EA"/>
    <w:pPr>
      <w:snapToGrid w:val="0"/>
      <w:spacing w:after="120" w:line="480" w:lineRule="auto"/>
    </w:pPr>
    <w:rPr>
      <w:kern w:val="0"/>
      <w:sz w:val="20"/>
      <w14:ligatures w14:val="none"/>
    </w:rPr>
  </w:style>
  <w:style w:type="paragraph" w:styleId="Heading1">
    <w:name w:val="heading 1"/>
    <w:basedOn w:val="Normal"/>
    <w:next w:val="Normal"/>
    <w:link w:val="Heading1Char"/>
    <w:uiPriority w:val="9"/>
    <w:qFormat/>
    <w:rsid w:val="00FF45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8F9"/>
    <w:pPr>
      <w:keepNext/>
      <w:keepLines/>
      <w:spacing w:before="40" w:after="0"/>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semiHidden/>
    <w:unhideWhenUsed/>
    <w:qFormat/>
    <w:rsid w:val="00FF45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45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45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4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4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4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4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F48F9"/>
    <w:rPr>
      <w:rFonts w:asciiTheme="majorHAnsi" w:eastAsiaTheme="majorEastAsia" w:hAnsiTheme="majorHAnsi" w:cstheme="majorBidi"/>
      <w:color w:val="000000" w:themeColor="text1"/>
      <w:sz w:val="26"/>
      <w:szCs w:val="26"/>
    </w:rPr>
  </w:style>
  <w:style w:type="character" w:customStyle="1" w:styleId="Heading1Char">
    <w:name w:val="Heading 1 Char"/>
    <w:basedOn w:val="DefaultParagraphFont"/>
    <w:link w:val="Heading1"/>
    <w:uiPriority w:val="9"/>
    <w:rsid w:val="00FF45A9"/>
    <w:rPr>
      <w:rFonts w:asciiTheme="majorHAnsi" w:eastAsiaTheme="majorEastAsia" w:hAnsiTheme="majorHAnsi" w:cstheme="majorBidi"/>
      <w:color w:val="0F4761" w:themeColor="accent1" w:themeShade="BF"/>
      <w:kern w:val="0"/>
      <w:sz w:val="40"/>
      <w:szCs w:val="40"/>
      <w14:ligatures w14:val="none"/>
    </w:rPr>
  </w:style>
  <w:style w:type="character" w:customStyle="1" w:styleId="Heading3Char">
    <w:name w:val="Heading 3 Char"/>
    <w:basedOn w:val="DefaultParagraphFont"/>
    <w:link w:val="Heading3"/>
    <w:uiPriority w:val="9"/>
    <w:semiHidden/>
    <w:rsid w:val="00FF45A9"/>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FF45A9"/>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FF45A9"/>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FF45A9"/>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FF45A9"/>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FF45A9"/>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FF45A9"/>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FF45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5A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F45A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5A9"/>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F45A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F45A9"/>
    <w:rPr>
      <w:i/>
      <w:iCs/>
      <w:color w:val="404040" w:themeColor="text1" w:themeTint="BF"/>
      <w:kern w:val="0"/>
      <w:sz w:val="22"/>
      <w14:ligatures w14:val="none"/>
    </w:rPr>
  </w:style>
  <w:style w:type="paragraph" w:styleId="ListParagraph">
    <w:name w:val="List Paragraph"/>
    <w:basedOn w:val="Normal"/>
    <w:uiPriority w:val="34"/>
    <w:qFormat/>
    <w:rsid w:val="00FF45A9"/>
    <w:pPr>
      <w:ind w:left="720"/>
      <w:contextualSpacing/>
    </w:pPr>
  </w:style>
  <w:style w:type="character" w:styleId="IntenseEmphasis">
    <w:name w:val="Intense Emphasis"/>
    <w:basedOn w:val="DefaultParagraphFont"/>
    <w:uiPriority w:val="21"/>
    <w:qFormat/>
    <w:rsid w:val="00FF45A9"/>
    <w:rPr>
      <w:i/>
      <w:iCs/>
      <w:color w:val="0F4761" w:themeColor="accent1" w:themeShade="BF"/>
    </w:rPr>
  </w:style>
  <w:style w:type="paragraph" w:styleId="IntenseQuote">
    <w:name w:val="Intense Quote"/>
    <w:basedOn w:val="Normal"/>
    <w:next w:val="Normal"/>
    <w:link w:val="IntenseQuoteChar"/>
    <w:uiPriority w:val="30"/>
    <w:qFormat/>
    <w:rsid w:val="00FF45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45A9"/>
    <w:rPr>
      <w:i/>
      <w:iCs/>
      <w:color w:val="0F4761" w:themeColor="accent1" w:themeShade="BF"/>
      <w:kern w:val="0"/>
      <w:sz w:val="22"/>
      <w14:ligatures w14:val="none"/>
    </w:rPr>
  </w:style>
  <w:style w:type="character" w:styleId="IntenseReference">
    <w:name w:val="Intense Reference"/>
    <w:basedOn w:val="DefaultParagraphFont"/>
    <w:uiPriority w:val="32"/>
    <w:qFormat/>
    <w:rsid w:val="00FF45A9"/>
    <w:rPr>
      <w:b/>
      <w:bCs/>
      <w:smallCaps/>
      <w:color w:val="0F4761" w:themeColor="accent1" w:themeShade="BF"/>
      <w:spacing w:val="5"/>
    </w:rPr>
  </w:style>
  <w:style w:type="paragraph" w:styleId="Header">
    <w:name w:val="header"/>
    <w:basedOn w:val="Normal"/>
    <w:link w:val="HeaderChar"/>
    <w:uiPriority w:val="99"/>
    <w:unhideWhenUsed/>
    <w:rsid w:val="00B203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0310"/>
    <w:rPr>
      <w:kern w:val="0"/>
      <w:sz w:val="20"/>
      <w14:ligatures w14:val="none"/>
    </w:rPr>
  </w:style>
  <w:style w:type="paragraph" w:styleId="Footer">
    <w:name w:val="footer"/>
    <w:basedOn w:val="Normal"/>
    <w:link w:val="FooterChar"/>
    <w:uiPriority w:val="99"/>
    <w:unhideWhenUsed/>
    <w:rsid w:val="00B203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0310"/>
    <w:rPr>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4</Pages>
  <Words>882</Words>
  <Characters>5029</Characters>
  <Application>Microsoft Office Word</Application>
  <DocSecurity>0</DocSecurity>
  <Lines>41</Lines>
  <Paragraphs>11</Paragraphs>
  <ScaleCrop>false</ScaleCrop>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Koene, Juul</dc:creator>
  <cp:keywords/>
  <dc:description/>
  <cp:lastModifiedBy>Koene, Juul</cp:lastModifiedBy>
  <cp:revision>94</cp:revision>
  <dcterms:created xsi:type="dcterms:W3CDTF">2025-01-06T10:07:00Z</dcterms:created>
  <dcterms:modified xsi:type="dcterms:W3CDTF">2025-01-14T12:18:00Z</dcterms:modified>
</cp:coreProperties>
</file>