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584E" w14:textId="74230085" w:rsidR="003B146E" w:rsidRPr="003B146E" w:rsidRDefault="003B146E" w:rsidP="003B146E">
      <w:pPr>
        <w:rPr>
          <w:rFonts w:ascii="Arial" w:hAnsi="Arial" w:cs="Arial"/>
          <w:b/>
          <w:bCs/>
        </w:rPr>
      </w:pPr>
      <w:r w:rsidRPr="003B146E">
        <w:rPr>
          <w:rFonts w:ascii="Arial" w:hAnsi="Arial" w:cs="Arial"/>
          <w:b/>
          <w:bCs/>
        </w:rPr>
        <w:t xml:space="preserve">Supplementary material </w:t>
      </w:r>
      <w:r w:rsidR="00A44EC6">
        <w:rPr>
          <w:rFonts w:ascii="Arial" w:hAnsi="Arial" w:cs="Arial"/>
          <w:b/>
          <w:bCs/>
        </w:rPr>
        <w:t>7</w:t>
      </w:r>
    </w:p>
    <w:p w14:paraId="17B8CD2F" w14:textId="77777777" w:rsidR="003B146E" w:rsidRPr="003B146E" w:rsidRDefault="003B146E" w:rsidP="003B146E">
      <w:pPr>
        <w:rPr>
          <w:rFonts w:ascii="Arial" w:hAnsi="Arial" w:cs="Arial"/>
        </w:rPr>
      </w:pPr>
    </w:p>
    <w:p w14:paraId="7614884D" w14:textId="3C158D41" w:rsidR="003B146E" w:rsidRPr="003B146E" w:rsidRDefault="003B146E" w:rsidP="003B146E">
      <w:pPr>
        <w:spacing w:line="480" w:lineRule="auto"/>
        <w:rPr>
          <w:rFonts w:ascii="Arial" w:hAnsi="Arial" w:cs="Arial"/>
          <w:b/>
          <w:bCs/>
        </w:rPr>
      </w:pPr>
      <w:r w:rsidRPr="003B146E">
        <w:rPr>
          <w:rFonts w:ascii="Arial" w:hAnsi="Arial" w:cs="Arial"/>
          <w:b/>
          <w:bCs/>
        </w:rPr>
        <w:t>Acceptability outcome data for the MABs</w:t>
      </w:r>
    </w:p>
    <w:p w14:paraId="2EE14040" w14:textId="126A95E5" w:rsidR="003B146E" w:rsidRPr="003B146E" w:rsidRDefault="003B146E" w:rsidP="003B146E">
      <w:pPr>
        <w:spacing w:line="480" w:lineRule="auto"/>
        <w:rPr>
          <w:rFonts w:ascii="Arial" w:hAnsi="Arial" w:cs="Arial"/>
        </w:rPr>
      </w:pPr>
      <w:r w:rsidRPr="003B146E">
        <w:rPr>
          <w:rFonts w:ascii="Arial" w:hAnsi="Arial" w:cs="Arial"/>
          <w:color w:val="000000" w:themeColor="text1"/>
        </w:rPr>
        <w:t>The pre and post therapy momentary assessment blocks (MABs) were included to explore the feasibility of measuring mood stability using this method. Across the pre-therapy MAB the number of assessments completed across participants, out of a possible 70, ranged from 4 (6%) to 70 (100%), mean=49.42 (SD 22.22, 71%), median=60.00 (86%). Across the post-therapy period the number of assessments completed across participants ranged from 0 to 67 (96%), mean=32.50 (SD 26.08, 46%), median=23.50 (34%).</w:t>
      </w:r>
    </w:p>
    <w:sectPr w:rsidR="003B146E" w:rsidRPr="003B14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6E"/>
    <w:rsid w:val="00055DB2"/>
    <w:rsid w:val="001B5817"/>
    <w:rsid w:val="003B146E"/>
    <w:rsid w:val="006505AB"/>
    <w:rsid w:val="006F1844"/>
    <w:rsid w:val="00A44EC6"/>
    <w:rsid w:val="00AD2BB9"/>
    <w:rsid w:val="00EB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0D6BE"/>
  <w15:chartTrackingRefBased/>
  <w15:docId w15:val="{48828DD7-9751-4646-B111-8CED1125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46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46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4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4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4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46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46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46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4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46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46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471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Wright, Kim</cp:lastModifiedBy>
  <cp:revision>2</cp:revision>
  <dcterms:created xsi:type="dcterms:W3CDTF">2025-10-15T15:33:00Z</dcterms:created>
  <dcterms:modified xsi:type="dcterms:W3CDTF">2025-10-15T16:18:00Z</dcterms:modified>
</cp:coreProperties>
</file>