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E1B4E" w14:textId="77777777" w:rsidR="00CF072A" w:rsidRPr="00CF072A" w:rsidRDefault="00CF072A" w:rsidP="00CF072A">
      <w:pPr>
        <w:spacing w:after="0" w:line="480" w:lineRule="auto"/>
        <w:ind w:left="-1" w:hanging="1"/>
        <w:jc w:val="center"/>
        <w:rPr>
          <w:rFonts w:ascii="Times New Roman" w:eastAsia="Times New Roman" w:hAnsi="Times New Roman" w:cs="Times New Roman"/>
          <w:sz w:val="24"/>
          <w:szCs w:val="24"/>
          <w:lang w:val="en-US" w:eastAsia="pt-BR"/>
        </w:rPr>
      </w:pPr>
      <w:r w:rsidRPr="00CF072A">
        <w:rPr>
          <w:rFonts w:ascii="Times New Roman" w:eastAsia="Times New Roman" w:hAnsi="Times New Roman" w:cs="Times New Roman"/>
          <w:b/>
          <w:bCs/>
          <w:color w:val="000000"/>
          <w:sz w:val="24"/>
          <w:szCs w:val="24"/>
          <w:lang w:val="en-US" w:eastAsia="pt-BR"/>
        </w:rPr>
        <w:t>The associations between screen time and mental health in adolescents: A Systematic Review</w:t>
      </w:r>
    </w:p>
    <w:p w14:paraId="552D021C" w14:textId="4B67CA11" w:rsidR="00F76655" w:rsidRPr="00C8680C" w:rsidRDefault="00816580">
      <w:pPr>
        <w:rPr>
          <w:rFonts w:ascii="Times New Roman" w:hAnsi="Times New Roman" w:cs="Times New Roman"/>
          <w:sz w:val="24"/>
          <w:szCs w:val="24"/>
          <w:lang w:val="en-US"/>
        </w:rPr>
      </w:pPr>
      <w:r w:rsidRPr="00C8680C">
        <w:rPr>
          <w:rFonts w:ascii="Times New Roman" w:hAnsi="Times New Roman" w:cs="Times New Roman"/>
          <w:sz w:val="24"/>
          <w:szCs w:val="24"/>
          <w:lang w:val="en-US"/>
        </w:rPr>
        <w:t xml:space="preserve">Additional file </w:t>
      </w:r>
      <w:r w:rsidR="00654184">
        <w:rPr>
          <w:rFonts w:ascii="Times New Roman" w:hAnsi="Times New Roman" w:cs="Times New Roman"/>
          <w:sz w:val="24"/>
          <w:szCs w:val="24"/>
          <w:lang w:val="en-US"/>
        </w:rPr>
        <w:t>3</w:t>
      </w:r>
      <w:r w:rsidR="00C8680C">
        <w:rPr>
          <w:rFonts w:ascii="Times New Roman" w:hAnsi="Times New Roman" w:cs="Times New Roman"/>
          <w:sz w:val="24"/>
          <w:szCs w:val="24"/>
          <w:lang w:val="en-US"/>
        </w:rPr>
        <w:t>: Assessments</w:t>
      </w:r>
    </w:p>
    <w:p w14:paraId="443845EA" w14:textId="52C364D6" w:rsidR="00F76655" w:rsidRPr="00431D51" w:rsidRDefault="00F76655" w:rsidP="00F76655">
      <w:pPr>
        <w:pStyle w:val="NormalWeb"/>
        <w:spacing w:before="0" w:beforeAutospacing="0" w:after="0" w:afterAutospacing="0" w:line="480" w:lineRule="auto"/>
        <w:jc w:val="both"/>
        <w:rPr>
          <w:lang w:val="en-US"/>
        </w:rPr>
      </w:pPr>
      <w:r w:rsidRPr="00431D51">
        <w:rPr>
          <w:b/>
          <w:bCs/>
          <w:lang w:val="en-US"/>
        </w:rPr>
        <w:t xml:space="preserve">Screen </w:t>
      </w:r>
      <w:r w:rsidR="00C664D0">
        <w:rPr>
          <w:b/>
          <w:bCs/>
          <w:lang w:val="en-US"/>
        </w:rPr>
        <w:t>T</w:t>
      </w:r>
      <w:r w:rsidRPr="00431D51">
        <w:rPr>
          <w:b/>
          <w:bCs/>
          <w:lang w:val="en-US"/>
        </w:rPr>
        <w:t xml:space="preserve">ime </w:t>
      </w:r>
      <w:r w:rsidR="00C664D0">
        <w:rPr>
          <w:b/>
          <w:bCs/>
          <w:lang w:val="en-US"/>
        </w:rPr>
        <w:t>A</w:t>
      </w:r>
      <w:r w:rsidRPr="00431D51">
        <w:rPr>
          <w:b/>
          <w:bCs/>
          <w:lang w:val="en-US"/>
        </w:rPr>
        <w:t>ssessment</w:t>
      </w:r>
    </w:p>
    <w:p w14:paraId="3DDF0B6F" w14:textId="1AAEFC14" w:rsidR="00F76655" w:rsidRPr="00F76655" w:rsidRDefault="00F76655" w:rsidP="00F76655">
      <w:pPr>
        <w:spacing w:after="0" w:line="480" w:lineRule="auto"/>
        <w:ind w:left="-2" w:firstLine="722"/>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sz w:val="24"/>
          <w:szCs w:val="24"/>
          <w:lang w:val="en-US" w:eastAsia="pt-BR"/>
        </w:rPr>
        <w:t xml:space="preserve">Screen time (ST) was self-reported and established in different ways by the studies in this review. The study by </w:t>
      </w:r>
      <w:r w:rsidR="00D9294E">
        <w:rPr>
          <w:rFonts w:ascii="Times New Roman" w:eastAsia="Times New Roman" w:hAnsi="Times New Roman" w:cs="Times New Roman"/>
          <w:sz w:val="24"/>
          <w:szCs w:val="24"/>
          <w:lang w:val="en-US" w:eastAsia="pt-BR"/>
        </w:rPr>
        <w:t>[44]</w:t>
      </w:r>
      <w:r w:rsidRPr="00F76655">
        <w:rPr>
          <w:rFonts w:ascii="Times New Roman" w:eastAsia="Times New Roman" w:hAnsi="Times New Roman" w:cs="Times New Roman"/>
          <w:sz w:val="24"/>
          <w:szCs w:val="24"/>
          <w:lang w:val="en-US" w:eastAsia="pt-BR"/>
        </w:rPr>
        <w:t xml:space="preserve"> compared passive and active screen use. Some studies (n=14) have considered screen time as sedentary behavior. Seven studies verified compliance or not with the 24-hour movement guidelines established in Canada, that consist on a composite analysis including 9 to 11 hours of sleep per night for 5 to 13 years old and 8 to 10 hours per night for 14 to 17 years old, 60 minutes of moderate to vigorous physical activity and less than 2 h/day of screen time. One study separately quantified time watching television and playing video games</w:t>
      </w:r>
      <w:r w:rsidR="00E27DCC">
        <w:rPr>
          <w:rFonts w:ascii="Times New Roman" w:eastAsia="Times New Roman" w:hAnsi="Times New Roman" w:cs="Times New Roman"/>
          <w:sz w:val="24"/>
          <w:szCs w:val="24"/>
          <w:lang w:val="en-US" w:eastAsia="pt-BR"/>
        </w:rPr>
        <w:t>[34]</w:t>
      </w:r>
      <w:r w:rsidRPr="00E27DCC">
        <w:rPr>
          <w:rFonts w:ascii="Times New Roman" w:eastAsia="Times New Roman" w:hAnsi="Times New Roman" w:cs="Times New Roman"/>
          <w:sz w:val="24"/>
          <w:szCs w:val="24"/>
          <w:lang w:val="en-US" w:eastAsia="pt-BR"/>
        </w:rPr>
        <w:t xml:space="preserve">. Another study excluded computer games </w:t>
      </w:r>
      <w:r w:rsidR="00E27DCC" w:rsidRPr="00E27DCC">
        <w:rPr>
          <w:rFonts w:ascii="Times New Roman" w:eastAsia="Times New Roman" w:hAnsi="Times New Roman" w:cs="Times New Roman"/>
          <w:sz w:val="24"/>
          <w:szCs w:val="24"/>
          <w:lang w:val="en-US" w:eastAsia="pt-BR"/>
        </w:rPr>
        <w:t>[35]</w:t>
      </w:r>
      <w:r w:rsidRPr="00F76655">
        <w:rPr>
          <w:rFonts w:ascii="Times New Roman" w:eastAsia="Times New Roman" w:hAnsi="Times New Roman" w:cs="Times New Roman"/>
          <w:sz w:val="24"/>
          <w:szCs w:val="24"/>
          <w:lang w:val="en-US" w:eastAsia="pt-BR"/>
        </w:rPr>
        <w:t xml:space="preserve">. Studies considered only recreational screens (n=5), the recreational screen on different devices was accounted separately </w:t>
      </w:r>
      <w:r w:rsidR="00E27DCC" w:rsidRPr="00D65F51">
        <w:rPr>
          <w:rFonts w:ascii="Times New Roman" w:eastAsia="Times New Roman" w:hAnsi="Times New Roman" w:cs="Times New Roman"/>
          <w:sz w:val="24"/>
          <w:szCs w:val="24"/>
          <w:lang w:val="en-US" w:eastAsia="pt-BR"/>
        </w:rPr>
        <w:t>[36]</w:t>
      </w:r>
      <w:r w:rsidRPr="00F76655">
        <w:rPr>
          <w:rFonts w:ascii="Times New Roman" w:eastAsia="Times New Roman" w:hAnsi="Times New Roman" w:cs="Times New Roman"/>
          <w:sz w:val="24"/>
          <w:szCs w:val="24"/>
          <w:lang w:val="en-US" w:eastAsia="pt-BR"/>
        </w:rPr>
        <w:t>, or just the time spent on social media</w:t>
      </w:r>
      <w:r w:rsidR="00D65F51">
        <w:rPr>
          <w:rFonts w:ascii="Times New Roman" w:eastAsia="Times New Roman" w:hAnsi="Times New Roman" w:cs="Times New Roman"/>
          <w:sz w:val="24"/>
          <w:szCs w:val="24"/>
          <w:lang w:val="en-US" w:eastAsia="pt-BR"/>
        </w:rPr>
        <w:t>[41]</w:t>
      </w:r>
      <w:r w:rsidRPr="00F76655">
        <w:rPr>
          <w:rFonts w:ascii="Times New Roman" w:eastAsia="Times New Roman" w:hAnsi="Times New Roman" w:cs="Times New Roman"/>
          <w:sz w:val="24"/>
          <w:szCs w:val="24"/>
          <w:lang w:val="en-US" w:eastAsia="pt-BR"/>
        </w:rPr>
        <w:t>. But most articles (n=</w:t>
      </w:r>
      <w:r w:rsidR="00B45131">
        <w:rPr>
          <w:rFonts w:ascii="Times New Roman" w:eastAsia="Times New Roman" w:hAnsi="Times New Roman" w:cs="Times New Roman"/>
          <w:sz w:val="24"/>
          <w:szCs w:val="24"/>
          <w:lang w:val="en-US" w:eastAsia="pt-BR"/>
        </w:rPr>
        <w:t>36)</w:t>
      </w:r>
      <w:r w:rsidRPr="00F76655">
        <w:rPr>
          <w:rFonts w:ascii="Times New Roman" w:eastAsia="Times New Roman" w:hAnsi="Times New Roman" w:cs="Times New Roman"/>
          <w:sz w:val="24"/>
          <w:szCs w:val="24"/>
          <w:lang w:val="en-US" w:eastAsia="pt-BR"/>
        </w:rPr>
        <w:t xml:space="preserve"> considered screen time as covering online studies and all other uses.</w:t>
      </w:r>
    </w:p>
    <w:p w14:paraId="30C66A9B" w14:textId="278010F4" w:rsidR="00F76655" w:rsidRPr="00F76655" w:rsidRDefault="00F76655" w:rsidP="00F76655">
      <w:pPr>
        <w:spacing w:after="0" w:line="480" w:lineRule="auto"/>
        <w:ind w:left="-2" w:hanging="2"/>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sz w:val="24"/>
          <w:szCs w:val="24"/>
          <w:lang w:val="en-US" w:eastAsia="pt-BR"/>
        </w:rPr>
        <w:tab/>
      </w:r>
      <w:r w:rsidRPr="00F76655">
        <w:rPr>
          <w:rFonts w:ascii="Times New Roman" w:eastAsia="Times New Roman" w:hAnsi="Times New Roman" w:cs="Times New Roman"/>
          <w:sz w:val="24"/>
          <w:szCs w:val="24"/>
          <w:lang w:val="en-US" w:eastAsia="pt-BR"/>
        </w:rPr>
        <w:tab/>
      </w:r>
      <w:r w:rsidRPr="00F76655">
        <w:rPr>
          <w:rFonts w:ascii="Times New Roman" w:eastAsia="Times New Roman" w:hAnsi="Times New Roman" w:cs="Times New Roman"/>
          <w:sz w:val="24"/>
          <w:szCs w:val="24"/>
          <w:lang w:val="en-US" w:eastAsia="pt-BR"/>
        </w:rPr>
        <w:tab/>
        <w:t xml:space="preserve">Different patterns of screen time evaluation were observed. One study measured screen time using the Multimedia Activity Recall for Children and Adolescents (MARCA) </w:t>
      </w:r>
      <w:r w:rsidR="00107EC7">
        <w:rPr>
          <w:rFonts w:ascii="Times New Roman" w:eastAsia="Times New Roman" w:hAnsi="Times New Roman" w:cs="Times New Roman"/>
          <w:sz w:val="24"/>
          <w:szCs w:val="24"/>
          <w:lang w:val="en-US" w:eastAsia="pt-BR"/>
        </w:rPr>
        <w:t xml:space="preserve">[68]. </w:t>
      </w:r>
      <w:r w:rsidRPr="00F76655">
        <w:rPr>
          <w:rFonts w:ascii="Times New Roman" w:eastAsia="Times New Roman" w:hAnsi="Times New Roman" w:cs="Times New Roman"/>
          <w:sz w:val="24"/>
          <w:szCs w:val="24"/>
          <w:lang w:val="en-US" w:eastAsia="pt-BR"/>
        </w:rPr>
        <w:t xml:space="preserve">Some studies applied t sedentary activities questionnaire (ASAQ), considering screen-based recreational activities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{"citationItems":[{"id":"ITEM-1","itemData":{"DOI":"10.1093/inthealth/ihy019","ISSN":"18763405","PMID":"29579220","abstract":"Background: Although screen time (ST) and insufficient physical activity (PA) are fairly common among adolescents, it is unclear whether these conditions are jointly associated with adolescents' psychosocial difficulties. This study aimed to examine interactive associations of ST and PA with psychosocial difficulties among adolescents in Bangladesh. Methods: Data were from 671 students (ages 13-16 y) from eight secondary schools of Dhaka City, Bangladesh. Recreational ST was assessed using the Adolescent Sedentary Activity Questionnaire. The 3-day Physical Activity Recall instrument was used to estimate PA. Psychosocial difficulty was measured using the parent version of the Strengths and Difficulties Questionnaire (SDQ). Results: Sixteen percent of the adolescents had high SDQ total difficulties scores (=17) and another 14% had moderate scores (14-16; borderline). Multivariable modelling showed that adolescents with high ST (&gt; 2 h/day) and insufficient PA (&lt; 60 min/day; not meeting the PA recommendation) had more psychosocial difficulties than their counterparts who had low ST and met PA recommendations (p=0.03). The analysis also found marginal evidence (p=0.06) of an association with psychosocial difficulties for ado</w:instrText>
      </w:r>
      <w:r w:rsidRPr="00107EC7">
        <w:rPr>
          <w:rFonts w:ascii="Times New Roman" w:eastAsia="Times New Roman" w:hAnsi="Times New Roman" w:cs="Times New Roman"/>
          <w:sz w:val="24"/>
          <w:szCs w:val="24"/>
          <w:lang w:val="en-US" w:eastAsia="pt-BR"/>
        </w:rPr>
        <w:instrText>lescents with insufficient PA and low ST. Conclusions: Adolescents in Dhaka City who have high recreational ST and are not meeting PA recommendations are likely to also have psychosocial difficulties. Longitudinal studies are needed to understand the causal relationships between these variables.","author":[{"dropping-particle":"","family":"Khan","given":"Asaduzzaman","non-dropping-particle":"","parse-names":false,"suffix":""},{"dropping-particle":"","family":"Uddin","given":"Riaz","non-dropping-particle":"","parse-names":false,"suffix":""},{"dropping-particle":"","family":"Burton","given":"Nicola W","non-dropping-particle":"","parse-names":false,"suffix":""}],"container-title":"International Health","id":"ITEM-1","issue":"4","issued":{"date-parts":[["2018"]]},"page":"246-251","title":"Insufficient physical activity in combination with high screen time is associated with adolescents' psychosocial difficulties","type":"article-journal","volume":"10"},"uris":["http://www.mendeley.com/documents/?uuid=10653892-acec-3d2e-9fac-47c816b57766"]},{"id":"ITEM-2","itemData":{"DOI":"10.1016/j.mhpa.2017.03.001","ISSN":"18780199","abstract":"Background Increasing levels of screen use and physical inactivity in developing countries may be deleterious for adolescent mental health. This study aimed to examine how physical inacti</w:instrText>
      </w:r>
      <w:r>
        <w:rPr>
          <w:rFonts w:ascii="Times New Roman" w:eastAsia="Times New Roman" w:hAnsi="Times New Roman" w:cs="Times New Roman"/>
          <w:sz w:val="24"/>
          <w:szCs w:val="24"/>
          <w:lang w:eastAsia="pt-BR"/>
        </w:rPr>
        <w:instrText>vity is associated with concurrent depressive symptoms among adolescents with high recreational screen time in Bangladesh. Methods A self-administered survey was conducted among 898 secondary school students of Dhaka city, Bangladesh. High screen-time was assessed using the Adolescent Sedentary Activity Questionnaire (ASAQ), with a cut-off of &gt;2 h/day. Scores ≥10 on the 10-item Center for Epidemiological Studies Depression Scale (CESD10) suggested depressive symptoms. The Three-Day Physical Activity Recall (3DPAR) instrument was used to estimate physical activity, with those doing ≤60 min/day of moderate-vigorous physical activity (MVPA) classified as not meeting MVPA recommendations. Of the 599 adolescents who were determined to have high recreational screen time (&gt;2 h/day), 505 completed the CESD10, and form the basis for this analysis. Results Of the adolescents with high recreational screen time, 32% did not meet MVPA recommendations and 25% reported depressive symptoms. Generalized estimating equations</w:instrText>
      </w:r>
      <w:r w:rsidRPr="00F76655">
        <w:rPr>
          <w:rFonts w:ascii="Times New Roman" w:eastAsia="Times New Roman" w:hAnsi="Times New Roman" w:cs="Times New Roman"/>
          <w:sz w:val="24"/>
          <w:szCs w:val="24"/>
          <w:lang w:val="en-US" w:eastAsia="pt-BR"/>
        </w:rPr>
        <w:instrText xml:space="preserve"> modelling on CESD scores showed that depressive symptoms were more prevalent among adolescents with high screen time who also did not meet MVPA recommendations (OR 2.37; 95% CI: 1.23–4.59), after adjusting for a set of confounders including sociodemographic, psychosocial and lifestyle factors. Conclusions Adolescents in Dhaka city with high recreational screen time and not meeting physical activity recommendations are also likely to have depressive symptoms. More research is needed to understand the causal directions of these relationships.","author":[{"dropping-particle":"","family":"Khan","given":"Asaduzzaman","non-dropping-particle":"","parse-names":false,"suffix":""},{"dropping-particle":"","family":"Burton","given":"Nicola W.","non-dropping-particle":"","parse-names":false,"suffix":""}],"container-title":"Mental Health and Physical Activity","id":"ITEM-2","issued":{"date-parts":[["2017"]]},"page":"94-99","publisher":"Elsevier Ltd","title":"Is physical inactivity associated with depressive symptoms among adolescents with high screen time? Evidence from a developing country","type":"article-journal","volume":"12"},"uris":["http://www.mendeley.com/documents/?uuid=f47c1797-0ff7-4d57-88de-58990e60c018"]}],"mendeley":{"formattedCitation":"(40,41)","manualFormatting":"(36,43,44)","plainTextFormattedCitation":"(40,41)","previouslyFormattedCitation":"(40,41)"},"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BF0E25">
        <w:rPr>
          <w:rFonts w:ascii="Times New Roman" w:eastAsia="Times New Roman" w:hAnsi="Times New Roman" w:cs="Times New Roman"/>
          <w:noProof/>
          <w:sz w:val="24"/>
          <w:szCs w:val="24"/>
          <w:lang w:val="en-US" w:eastAsia="pt-BR"/>
        </w:rPr>
        <w:t>[</w:t>
      </w:r>
      <w:r w:rsidR="00107EC7">
        <w:rPr>
          <w:rFonts w:ascii="Times New Roman" w:eastAsia="Times New Roman" w:hAnsi="Times New Roman" w:cs="Times New Roman"/>
          <w:noProof/>
          <w:sz w:val="24"/>
          <w:szCs w:val="24"/>
          <w:lang w:val="en-US" w:eastAsia="pt-BR"/>
        </w:rPr>
        <w:t>67</w:t>
      </w:r>
      <w:r w:rsidRPr="00F76655">
        <w:rPr>
          <w:rFonts w:ascii="Times New Roman" w:eastAsia="Times New Roman" w:hAnsi="Times New Roman" w:cs="Times New Roman"/>
          <w:noProof/>
          <w:sz w:val="24"/>
          <w:szCs w:val="24"/>
          <w:lang w:val="en-US" w:eastAsia="pt-BR"/>
        </w:rPr>
        <w:t>,</w:t>
      </w:r>
      <w:r w:rsidR="00107EC7">
        <w:rPr>
          <w:rFonts w:ascii="Times New Roman" w:eastAsia="Times New Roman" w:hAnsi="Times New Roman" w:cs="Times New Roman"/>
          <w:noProof/>
          <w:sz w:val="24"/>
          <w:szCs w:val="24"/>
          <w:lang w:val="en-US" w:eastAsia="pt-BR"/>
        </w:rPr>
        <w:t>55</w:t>
      </w:r>
      <w:r w:rsidRPr="00F76655">
        <w:rPr>
          <w:rFonts w:ascii="Times New Roman" w:eastAsia="Times New Roman" w:hAnsi="Times New Roman" w:cs="Times New Roman"/>
          <w:noProof/>
          <w:sz w:val="24"/>
          <w:szCs w:val="24"/>
          <w:lang w:val="en-US" w:eastAsia="pt-BR"/>
        </w:rPr>
        <w:t>,</w:t>
      </w:r>
      <w:r w:rsidR="00BF0E25">
        <w:rPr>
          <w:rFonts w:ascii="Times New Roman" w:eastAsia="Times New Roman" w:hAnsi="Times New Roman" w:cs="Times New Roman"/>
          <w:noProof/>
          <w:sz w:val="24"/>
          <w:szCs w:val="24"/>
          <w:lang w:val="en-US" w:eastAsia="pt-BR"/>
        </w:rPr>
        <w:t>58</w:t>
      </w:r>
      <w:r>
        <w:rPr>
          <w:rFonts w:ascii="Times New Roman" w:eastAsia="Times New Roman" w:hAnsi="Times New Roman" w:cs="Times New Roman"/>
          <w:sz w:val="24"/>
          <w:szCs w:val="24"/>
          <w:lang w:eastAsia="pt-BR"/>
        </w:rPr>
        <w:fldChar w:fldCharType="end"/>
      </w:r>
      <w:r w:rsidR="00BF0E25" w:rsidRPr="00BF0E25">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and school activities </w:t>
      </w:r>
      <w:r w:rsidR="00BF0E25" w:rsidRPr="00BF0E25">
        <w:rPr>
          <w:rFonts w:ascii="Times New Roman" w:eastAsia="Times New Roman" w:hAnsi="Times New Roman" w:cs="Times New Roman"/>
          <w:sz w:val="24"/>
          <w:szCs w:val="24"/>
          <w:lang w:val="en-US" w:eastAsia="pt-BR"/>
        </w:rPr>
        <w:t>[60]</w:t>
      </w:r>
      <w:r w:rsidRPr="00F76655">
        <w:rPr>
          <w:rFonts w:ascii="Times New Roman" w:eastAsia="Times New Roman" w:hAnsi="Times New Roman" w:cs="Times New Roman"/>
          <w:sz w:val="24"/>
          <w:szCs w:val="24"/>
          <w:lang w:val="en-US" w:eastAsia="pt-BR"/>
        </w:rPr>
        <w:t xml:space="preserve">. One study used the Leisure-Time Sedentary Activities questionnaire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{"citationItems":[{"id":"ITEM-1","itemData":{"DOI":"10.1016/j.ypmed.2015.01.029","ISSN":"10960260","PMID":"25657166","abstract":"Objective: This study examined the relationships between screen time and symptoms of depression and anxiety in a large community sample of Canadian youth. Method: Participants were 2482 English-speaking grade 7 to 12 students. Cross-sectional data collected between 2006 and 2010 as part of the Research on Eating and Adolescent Lifestyles (REAL) study were used. Mental health status was assessed using the Children's Depression Inventory and the Multidimensional Anxiety Scale for Children-10. Screen time (hours/day of TV, video games, and computer) was assessed using the Leisure-Time Sedentary Activities questionnaire. Results: Linear multiple regressions indicated that after controlling for age, sex, ethnicity, parental education, geographic area, physical activity, and BMI, duration of screen time was associated with severity of depression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=0.23, p&lt;. 0.001) and anxiety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=0.07, p&lt;. 0.01). Video game playing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 0.13, p&lt;. .001) and computer use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=0.17, p&lt;. 0.001) but not TV viewing were associated with more severe depressive symptoms. Video game playing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=0.11, p&lt;. 0.001) was associated with severity of anxiety. Conclusion: Screen time may represent a risk factor or marker of anxiety and depression in adolescents. Future research is needed to determine if reduc</w:instrText>
      </w:r>
      <w:r>
        <w:rPr>
          <w:rFonts w:ascii="Times New Roman" w:eastAsia="Times New Roman" w:hAnsi="Times New Roman" w:cs="Times New Roman"/>
          <w:sz w:val="24"/>
          <w:szCs w:val="24"/>
          <w:lang w:eastAsia="pt-BR"/>
        </w:rPr>
        <w:instrText>ing screen time aids the prevention and treatment of these psychiatric</w:instrText>
      </w:r>
      <w:r w:rsidRPr="00F76655">
        <w:rPr>
          <w:rFonts w:ascii="Times New Roman" w:eastAsia="Times New Roman" w:hAnsi="Times New Roman" w:cs="Times New Roman"/>
          <w:sz w:val="24"/>
          <w:szCs w:val="24"/>
          <w:lang w:val="en-US" w:eastAsia="pt-BR"/>
        </w:rPr>
        <w:instrText xml:space="preserve"> disorders in youth.","author":[{"dropping-particle":"","family":"Maras","given":"Danijela","non-dropping-particle":"","parse-names":false,"suffix":""},{"dropping-particle":"","family":"Flament","given":"Martine F.","non-dropping-particle":"","parse-names":false,"suffix":""},{"dropping-particle":"","family":"Murray","given":"Marisa","non-dropping-particle":"","parse-names":false,"suffix":""},{"dropping-particle":"","family":"Buchholz","given":"Annick","non-dropping-particle":"","parse-names":false,"suffix":""},{"dropping-particle":"","family":"Henderson","given":"Katherine A.","non-dropping-particle":"","parse-names":false,"suffix":""},{"dropping-particle":"","family":"Obeid","given":"Nicole","non-dropping-particle":"","parse-names":false,"suffix":""},{"dropping-particle":"","family":"Goldfield","given":"Gary S.","non-dropping-particle":"","parse-names":false,"suffix":""}],"container-title":"Preventive Medicine","id":"ITEM-1","issued":{"date-parts":[["2015","4","1"]]},"page":"133-138","publisher":"Academic Press","title":"Screen time is associated with depression and anxiety in Canadian youth","type":"article-journal","volume":"73"},"uris":["http://www.mendeley.com/documents/?uuid=c0ffdba4-d381-3b1b-8475-8bae1b0ae630"]}],"mendeley":{"formattedCitation":"(43)","manualFormatting":"(46)","plainTextFormattedCitation":"(43)","previouslyFormattedCitation":"(43)"},"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Pr="00F76655">
        <w:rPr>
          <w:rFonts w:ascii="Times New Roman" w:eastAsia="Times New Roman" w:hAnsi="Times New Roman" w:cs="Times New Roman"/>
          <w:noProof/>
          <w:sz w:val="24"/>
          <w:szCs w:val="24"/>
          <w:lang w:val="en-US" w:eastAsia="pt-BR"/>
        </w:rPr>
        <w:t>(46)</w:t>
      </w:r>
      <w:r>
        <w:rPr>
          <w:rFonts w:ascii="Times New Roman" w:eastAsia="Times New Roman" w:hAnsi="Times New Roman" w:cs="Times New Roman"/>
          <w:sz w:val="24"/>
          <w:szCs w:val="24"/>
          <w:lang w:eastAsia="pt-BR"/>
        </w:rPr>
        <w:fldChar w:fldCharType="end"/>
      </w:r>
      <w:r w:rsidRPr="00F76655">
        <w:rPr>
          <w:rFonts w:ascii="Times New Roman" w:eastAsia="Times New Roman" w:hAnsi="Times New Roman" w:cs="Times New Roman"/>
          <w:sz w:val="24"/>
          <w:szCs w:val="24"/>
          <w:lang w:val="en-US" w:eastAsia="pt-BR"/>
        </w:rPr>
        <w:t xml:space="preserve"> and the other the Adolescent Physical Activity Questionnaire - Sedentary Behavior Subscale (PAQ-A)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{"citationItems":[{"id":"ITEM-1","itemData":{"DOI":"10.1016/j.adolescence.2019.02.014","ISSN":"10959254","PMID":"30877842","abstract":"Introduction: The pervasive use of technology has raised concerns about its association with adolescent mental health, including internalizing symptoms. Existing studies have not always had consistent findings. Longitudinal research with diverse subgroups is needed. Methods: This study examines the relationship between screen-based sedentary (SBS) behaviors and internalizing symptoms among 370 Hispanic adolescents living in Miami, Florida- United States, who were followed for 2 ½ years and assessed at baseline, 6, 18 and 30 months post-baseline between the years 2010 and 2014. Approximately 48% were girls, and 44% were foreign-born, most of these youth being from Cuba. Mean age at baseline was 13.4 years, while at the last time-point it was 15.9 years. Results: Findings show that girls had higher internalizing symptoms and different patterns of screen use compared to boys, including higher phone, email, and text use. SBS behaviors and internalizing symptoms cooccurred at each time-point, and their trajectories were significantly related (r = 0.45, p &lt; .001). Cross-lagged panel analyses found that SBS behaviors were not associated with subsequent internalizing symptoms. Among girls, however, internalizing symptoms were as</w:instrText>
      </w:r>
      <w:r>
        <w:rPr>
          <w:rFonts w:ascii="Times New Roman" w:eastAsia="Times New Roman" w:hAnsi="Times New Roman" w:cs="Times New Roman"/>
          <w:sz w:val="24"/>
          <w:szCs w:val="24"/>
          <w:lang w:eastAsia="pt-BR"/>
        </w:rPr>
        <w:instrText>sociated with subsequent SBS behaviors during later adolescence, with internalizing symptoms at the 18-month assessment (almost 15 years old) associated with subsequent SBS behaviors at the 30-month assessment (</w:instrText>
      </w:r>
      <w:r w:rsidRPr="00F76655">
        <w:rPr>
          <w:rFonts w:ascii="Times New Roman" w:eastAsia="Times New Roman" w:hAnsi="Times New Roman" w:cs="Times New Roman"/>
          <w:sz w:val="24"/>
          <w:szCs w:val="24"/>
          <w:lang w:val="en-US" w:eastAsia="pt-BR"/>
        </w:rPr>
        <w:instrText xml:space="preserve">almost 16 years old; </w:instrText>
      </w:r>
      <w:r>
        <w:rPr>
          <w:rFonts w:ascii="Times New Roman" w:eastAsia="Times New Roman" w:hAnsi="Times New Roman" w:cs="Times New Roman"/>
          <w:sz w:val="24"/>
          <w:szCs w:val="24"/>
          <w:lang w:eastAsia="pt-BR"/>
        </w:rPr>
        <w:instrText>β</w:instrText>
      </w:r>
      <w:r w:rsidRPr="00F76655">
        <w:rPr>
          <w:rFonts w:ascii="Times New Roman" w:eastAsia="Times New Roman" w:hAnsi="Times New Roman" w:cs="Times New Roman"/>
          <w:sz w:val="24"/>
          <w:szCs w:val="24"/>
          <w:lang w:val="en-US" w:eastAsia="pt-BR"/>
        </w:rPr>
        <w:instrText xml:space="preserve"> = 0.20, p &lt; .01). Conclusions: Continued research and monitoring of internalizing symptoms and screen use among adolescents is important, especially among girls. This includes assessments that capture quantity, context, and content of screen time.","author":[{"dropping-particle":"","family":"Perrino","given":"Tatiana","non-dropping-particle":"","parse-names":false,"suffix":""},{"dropping-particle":"","family":"Brincks","given":"Ahnalee","non-dropping-particle":"","parse-names":false,"suffix":""},{"dropping-particle":"","family":"Lee","given":"Tae Kyoung","non-dropping-particle":"","parse-names":false,"suffix":""},{"dropping-particle":"","family":"Quintana","given":"Kiarabet","non-dropping-particle":"","parse-names":false,"suffix":""},{"dropping-particle":"","family":"Prado","given":"Guillermo","non-dropping-particle":"","parse-names":false,"suffix":""}],"container-title":"Journal of Adolescence","id":"ITEM-1","issued":{"date-parts":[["2019"]]},"page":"91-100","title":"Screen-based sedentary behaviors and internalizing symptoms across time among U.S. Hispanic adolescents","type":"article-journal","volume":"72"},"uris":["http://www.mendeley.com/documents/?uuid=7c486cf3-d667-3634-a26d-14a135822395"]}],"mendeley":{"formattedCitation":"(44)","manualFormatting":"(47)","plainTextFormattedCitation":"(44)","previouslyFormattedCitation":"(44)"},"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B23D52">
        <w:rPr>
          <w:rFonts w:ascii="Times New Roman" w:eastAsia="Times New Roman" w:hAnsi="Times New Roman" w:cs="Times New Roman"/>
          <w:noProof/>
          <w:sz w:val="24"/>
          <w:szCs w:val="24"/>
          <w:lang w:val="en-US" w:eastAsia="pt-BR"/>
        </w:rPr>
        <w:t>[52</w:t>
      </w:r>
      <w:r>
        <w:rPr>
          <w:rFonts w:ascii="Times New Roman" w:eastAsia="Times New Roman" w:hAnsi="Times New Roman" w:cs="Times New Roman"/>
          <w:sz w:val="24"/>
          <w:szCs w:val="24"/>
          <w:lang w:eastAsia="pt-BR"/>
        </w:rPr>
        <w:fldChar w:fldCharType="end"/>
      </w:r>
      <w:r w:rsidR="00B23D52" w:rsidRPr="002536AA">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The Time Use Diary (TUD) was used in </w:t>
      </w:r>
      <w:r w:rsidR="006D54A1">
        <w:rPr>
          <w:rFonts w:ascii="Times New Roman" w:eastAsia="Times New Roman" w:hAnsi="Times New Roman" w:cs="Times New Roman"/>
          <w:sz w:val="24"/>
          <w:szCs w:val="24"/>
          <w:lang w:val="en-US" w:eastAsia="pt-BR"/>
        </w:rPr>
        <w:t>three</w:t>
      </w:r>
      <w:r w:rsidRPr="00F76655">
        <w:rPr>
          <w:rFonts w:ascii="Times New Roman" w:eastAsia="Times New Roman" w:hAnsi="Times New Roman" w:cs="Times New Roman"/>
          <w:sz w:val="24"/>
          <w:szCs w:val="24"/>
          <w:lang w:val="en-US" w:eastAsia="pt-BR"/>
        </w:rPr>
        <w:t xml:space="preserve"> studies,</w:t>
      </w:r>
      <w:r w:rsidR="00FB5A30">
        <w:rPr>
          <w:rFonts w:ascii="Times New Roman" w:eastAsia="Times New Roman" w:hAnsi="Times New Roman" w:cs="Times New Roman"/>
          <w:sz w:val="24"/>
          <w:szCs w:val="24"/>
          <w:lang w:val="en-US" w:eastAsia="pt-BR"/>
        </w:rPr>
        <w:t xml:space="preserve"> </w:t>
      </w:r>
      <w:r w:rsidR="00FB5A30" w:rsidRPr="00FB5A30">
        <w:rPr>
          <w:rFonts w:ascii="Times New Roman" w:eastAsia="Times New Roman" w:hAnsi="Times New Roman" w:cs="Times New Roman"/>
          <w:sz w:val="24"/>
          <w:szCs w:val="24"/>
          <w:lang w:val="en-US" w:eastAsia="pt-BR"/>
        </w:rPr>
        <w:t xml:space="preserve">for all screen uses </w:t>
      </w:r>
      <w:r w:rsidR="002536AA">
        <w:rPr>
          <w:rFonts w:ascii="Times New Roman" w:eastAsia="Times New Roman" w:hAnsi="Times New Roman" w:cs="Times New Roman"/>
          <w:sz w:val="24"/>
          <w:szCs w:val="24"/>
          <w:lang w:val="en-US" w:eastAsia="pt-BR"/>
        </w:rPr>
        <w:t>[</w:t>
      </w:r>
      <w:r w:rsidR="00B477CF">
        <w:rPr>
          <w:rFonts w:ascii="Times New Roman" w:eastAsia="Times New Roman" w:hAnsi="Times New Roman" w:cs="Times New Roman"/>
          <w:sz w:val="24"/>
          <w:szCs w:val="24"/>
          <w:lang w:val="en-US" w:eastAsia="pt-BR"/>
        </w:rPr>
        <w:t>23</w:t>
      </w:r>
      <w:r w:rsidR="002536AA">
        <w:rPr>
          <w:rFonts w:ascii="Times New Roman" w:eastAsia="Times New Roman" w:hAnsi="Times New Roman" w:cs="Times New Roman"/>
          <w:sz w:val="24"/>
          <w:szCs w:val="24"/>
          <w:lang w:val="en-US" w:eastAsia="pt-BR"/>
        </w:rPr>
        <w:t>]</w:t>
      </w:r>
      <w:r w:rsidR="00FB5A30">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for the use of social networks only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{"citationItems":[{"id":"ITEM-1","itemData":{"DOI":"10.1016/j.jad.2020.05.106","ISSN":"15732517","PMID":"32664027","abstract":"Background: There is increasing concern regarding the potential impact of social media use on the mental health of young people. Previous research has relied heavily on retrospective accounts of social media screen-time. Yet recent evidence suggests that such self-report measures are unreliable, correlating poorly with more objective measures of social media use. In principle, time use diaries provide a less biased measure of social media use. Methods: We analysed cross-sectional data from the Millennium Cohort Study to explore associations between social media screen-time as recorded in time use diaries (TUD) and key mental health outcomes – self-harm in the past year, depressive symptoms (Short Mood and Feelings Questionnaire), self-esteem (shortened Rosenberg scale) – in adolescence. Social media TUD data were available for 4,032 participants (25.4% aged 13; 73.5% aged 14; 1.1% aged 15). Results: Following adjustment for confounders, a greater amount of time spent on social media was associated with an increased risk of self-harm (adjusted OR per 30-minute increase in weekday use: 1.13, 95%CI 1.06 to 1.21) and depression (adjusted B ==0.36, 95%CI 0.22 to 0.50) and lower levels of self-esteem (adjusted B = -0.12, 95%CI -0.20 to -0.04) in females</w:instrText>
      </w:r>
      <w:r w:rsidRPr="006D54A1">
        <w:rPr>
          <w:rFonts w:ascii="Times New Roman" w:eastAsia="Times New Roman" w:hAnsi="Times New Roman" w:cs="Times New Roman"/>
          <w:sz w:val="24"/>
          <w:szCs w:val="24"/>
          <w:lang w:val="en-US" w:eastAsia="pt-BR"/>
        </w:rPr>
        <w:instrText xml:space="preserve">. </w:instrText>
      </w:r>
      <w:r w:rsidRPr="009A2EAD">
        <w:rPr>
          <w:rFonts w:ascii="Times New Roman" w:eastAsia="Times New Roman" w:hAnsi="Times New Roman" w:cs="Times New Roman"/>
          <w:sz w:val="24"/>
          <w:szCs w:val="24"/>
          <w:lang w:val="en-US" w:eastAsia="pt-BR"/>
        </w:rPr>
        <w:instrText>Findings were similar for weekday and w</w:instrText>
      </w:r>
      <w:r w:rsidRPr="00B477CF">
        <w:rPr>
          <w:rFonts w:ascii="Times New Roman" w:eastAsia="Times New Roman" w:hAnsi="Times New Roman" w:cs="Times New Roman"/>
          <w:sz w:val="24"/>
          <w:szCs w:val="24"/>
          <w:lang w:val="en-US" w:eastAsia="pt-BR"/>
        </w:rPr>
        <w:instrText>e</w:instrText>
      </w:r>
      <w:r>
        <w:rPr>
          <w:rFonts w:ascii="Times New Roman" w:eastAsia="Times New Roman" w:hAnsi="Times New Roman" w:cs="Times New Roman"/>
          <w:sz w:val="24"/>
          <w:szCs w:val="24"/>
          <w:lang w:eastAsia="pt-BR"/>
        </w:rPr>
        <w:instrText>ekend use. Limitations: The cross-sectional nature of the data limits inference in relation to the causal direction of these associations. Conclusions: Future research should examine the direction of the associations with self-harm and other mental health outcomes and explore gender differences in how adolescents engage with social media as well as how much time they spend online.","author":[{"dropping-particle":"","family":"Barthorpe","given":"Amber","non-dropping-particle":"","parse-names":false,"suffix":""},{"dropping-particle":"","family":"Winstone","given":"Lizzy","non-dropping-particle":"","parse-names":false,"suffix":""},{"dropping-particle":"","family":"Mars","given":"Becky","non-dropping-particle":"","parse-names":false,"suffix":""},{"dropping-particle":"","family":"Moran","given":"Paul","non-dropping-particle":"","parse-names":false,"suffix":""}],"container-title":"Journal of Affective Disorders","id":"ITEM-1","issued":{"date-parts":[["2020"]]},"page":"864-870","publisher":"Elsevier B.V.","title":"Is social media screen time really associated with poor adolescent mental health? A time use diary study","type":"article-journal","volume":"274"},"uris":["http://www.mendeley.com/documents/?uuid=926a3c2f-0275-4961-80a5-9689d89cd9a2"]}],"mendeley":{"formattedCitation":"(45)","manualFormatting":"(48)","plainTextFormattedCitation":"(45)","previouslyFormattedCitation":"(45)"},"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BB0DB0">
        <w:rPr>
          <w:rFonts w:ascii="Times New Roman" w:eastAsia="Times New Roman" w:hAnsi="Times New Roman" w:cs="Times New Roman"/>
          <w:noProof/>
          <w:sz w:val="24"/>
          <w:szCs w:val="24"/>
          <w:lang w:eastAsia="pt-BR"/>
        </w:rPr>
        <w:t>[39</w:t>
      </w:r>
      <w:r>
        <w:rPr>
          <w:rFonts w:ascii="Times New Roman" w:eastAsia="Times New Roman" w:hAnsi="Times New Roman" w:cs="Times New Roman"/>
          <w:sz w:val="24"/>
          <w:szCs w:val="24"/>
          <w:lang w:eastAsia="pt-BR"/>
        </w:rPr>
        <w:fldChar w:fldCharType="end"/>
      </w:r>
      <w:r w:rsidR="00BB0DB0">
        <w:rPr>
          <w:rFonts w:ascii="Times New Roman" w:eastAsia="Times New Roman" w:hAnsi="Times New Roman" w:cs="Times New Roman"/>
          <w:sz w:val="24"/>
          <w:szCs w:val="24"/>
          <w:lang w:eastAsia="pt-BR"/>
        </w:rPr>
        <w:t>]</w:t>
      </w:r>
      <w:r w:rsidRPr="00431D51">
        <w:rPr>
          <w:rFonts w:ascii="Times New Roman" w:eastAsia="Times New Roman" w:hAnsi="Times New Roman" w:cs="Times New Roman"/>
          <w:sz w:val="24"/>
          <w:szCs w:val="24"/>
          <w:lang w:eastAsia="pt-BR"/>
        </w:rPr>
        <w:t xml:space="preserve"> and separately for digital media (games) and social networks </w:t>
      </w:r>
      <w:r w:rsidR="00BB0DB0">
        <w:rPr>
          <w:rFonts w:ascii="Times New Roman" w:eastAsia="Times New Roman" w:hAnsi="Times New Roman" w:cs="Times New Roman"/>
          <w:sz w:val="24"/>
          <w:szCs w:val="24"/>
          <w:lang w:eastAsia="pt-BR"/>
        </w:rPr>
        <w:t>[28]</w:t>
      </w:r>
      <w:r>
        <w:rPr>
          <w:rFonts w:ascii="Times New Roman" w:eastAsia="Times New Roman" w:hAnsi="Times New Roman" w:cs="Times New Roman"/>
          <w:sz w:val="24"/>
          <w:szCs w:val="24"/>
          <w:lang w:eastAsia="pt-BR"/>
        </w:rPr>
        <w:fldChar w:fldCharType="begin" w:fldLock="1"/>
      </w:r>
      <w:r>
        <w:rPr>
          <w:rFonts w:ascii="Times New Roman" w:eastAsia="Times New Roman" w:hAnsi="Times New Roman" w:cs="Times New Roman"/>
          <w:sz w:val="24"/>
          <w:szCs w:val="24"/>
          <w:lang w:eastAsia="pt-BR"/>
        </w:rPr>
        <w:instrText>ADDIN CSL_CITATION {"citationItems":[{"id":"ITEM-1","itemData":{"DOI":"10.1007/s10802-021-00832-x","ISBN":"0123456789","ISSN":"27307174","PMID":"34297316","abstract":"Screen media use is associated with mental health problems among adolescents. However, few studies have examined screen media use using contemporaneous time diaries (rather than retrospective reports), compared associations across specific screen media activities or by gender, or examined associations with self-harm behaviors. Participants were 13- to 15-year-old adolescents completing time diaries (n = 4,252) for one weekday and one weekend day in the 2015 administration of the Millennium Cohort Study, a nationally representative birth cohort study of UK adolescents. Participants also completed a measure of depressive symptoms and reported whether they had engaged in self-harm in the last year. Girls who spent 2 + hrs/day, compared to &lt; 2 h/day, on digital media were more likely to self-harm (for social media use, adjusted relative risk [ARR] for self-harm = 1.46, 95% CI = 1.17, 1.82; for internet use, ARR = 1.80 [1.20, 2.70]). Girls spending more time on digital media were also more likely to be depressed (for social media, ARR = 1.29 [1.03, 1.63]; for internet use, ARR = 1.75 [1.19, 2.59]). Associations with gaming, texting/e-mailing, and TV/video watching among girls were mostly not significant. Associations for boys were mostly not significant. Girls who use digital media (especially social media and the internet) more hrs/day are more likely to have clinically significant levels of depressive symptoms and prior history of self-harm, though gaming, texting/e-mailing, and TV/video watching showed few associations. Screen media use was mostly not significantly asso</w:instrText>
      </w:r>
      <w:r w:rsidRPr="00F76655">
        <w:rPr>
          <w:rFonts w:ascii="Times New Roman" w:eastAsia="Times New Roman" w:hAnsi="Times New Roman" w:cs="Times New Roman"/>
          <w:sz w:val="24"/>
          <w:szCs w:val="24"/>
          <w:lang w:val="en-US" w:eastAsia="pt-BR"/>
        </w:rPr>
        <w:instrText>ciated with self-harm or depression among boys.","author":[{"dropping-particle":"","family":"McAllister","given":"Cooper","non-dropping-particle":"","parse-names":false,"suffix":""},{"dropping-particle":"","family":"Hisler","given":"Garrett C.","non-dropping-particle":"","parse-names":false,"suffix":""},{"dropping-particle":"","family":"Blake","given":"Andrew B.","non-dropping-particle":"","parse-names":false,"suffix":""},{"dropping-particle":"","family":"Twenge","given":"Jean M.","non-dropping-particle":"","parse-names":false,"suffix":""},{"dropping-particle":"","family":"Farley","given":"Eric","non-dropping-particle":"","parse-names":false,"suffix":""},{"dropping-particle":"","family":"Hamilton","given":"Jessica L.","non-dropping-particle":"","parse-names":false,"suffix":""}],"container-title":"Research on Child and Adolescent Psychopathology","id":"ITEM-1","issue":"12","issued":{"date-parts":[["2021"]]},"page":"1623-1634","publisher":"Springer US","title":"Associations Between Adolescent Depression and Self-Harm Behaviors and Screen Media Use in a Nationally Representative Time-Diary Study","type":"article-journal","volume":"49"},"uris":["http://www.mendeley.com/documents/?uuid=3ab3d797-a75f-47f3-9ebc-325463b8a123"]}],"mendeley":{"formattedCitation":"(46)","manualFormatting":"(49)","plainTextFormattedCitation":"(46)","previouslyFormattedCitation":"(46)"},"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Pr>
          <w:rFonts w:ascii="Times New Roman" w:eastAsia="Times New Roman" w:hAnsi="Times New Roman" w:cs="Times New Roman"/>
          <w:sz w:val="24"/>
          <w:szCs w:val="24"/>
          <w:lang w:eastAsia="pt-BR"/>
        </w:rPr>
        <w:fldChar w:fldCharType="end"/>
      </w:r>
      <w:r w:rsidRPr="00F76655">
        <w:rPr>
          <w:rFonts w:ascii="Times New Roman" w:eastAsia="Times New Roman" w:hAnsi="Times New Roman" w:cs="Times New Roman"/>
          <w:sz w:val="24"/>
          <w:szCs w:val="24"/>
          <w:lang w:val="en-US" w:eastAsia="pt-BR"/>
        </w:rPr>
        <w:t xml:space="preserve">. Some studies used the strategy of creating clusters, classes or behavior profiles, such as physically active or sedentary individuals. These studies created </w:t>
      </w:r>
      <w:r w:rsidRPr="00F76655">
        <w:rPr>
          <w:rFonts w:ascii="Times New Roman" w:eastAsia="Times New Roman" w:hAnsi="Times New Roman" w:cs="Times New Roman"/>
          <w:sz w:val="24"/>
          <w:szCs w:val="24"/>
          <w:lang w:val="en-US" w:eastAsia="pt-BR"/>
        </w:rPr>
        <w:lastRenderedPageBreak/>
        <w:t xml:space="preserve">lifestyle-based outcome blocks that included physical activity and screen time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{"citationItems":[{"id":"ITEM-1","itemData":{"DOI":"10.1371/journal.pone.0234374","ISBN":"1111111111","ISSN":"19326203","PMID":"32569320","abstract":"Latent Class Analysis can assist researchers interested in a better understanding of behavioral patterns and their association with health outcomes. This study aimed to identify lifestyle latent classes related to distinct domains of physical activity (PA) and sedentary behavior (SB) among adolescents and their association with health outcomes. This cross-sectional study included 217 Brazilian adolescents (15 to 18 years old, 49.3% female). The classes were based on moderate-to-vigorous physical activity (MVPA), light physical activity (LPA), number of steps, sedentary behavior (SB), and screen time (ST). To assess these behaviors, participants wore an accelerometer for one week. ST, demographic characteristics, socioeconomic status, and signs of common mental disorders (CMD) were evaluated through questionnaires. Latent Class Analysis was used to identify lifestyle classes. Three classes were recognized: “Active-Non-sedentary” (class 1) with 28.1% of adolescents; “Inactive-Non-sedentary” (class 2), 48.85%; and “Inactive-Sedentary” (class 3), 23.04%. Sex and signs of CMD were associated with the prevalence of the classes. Female adolescents presented 4.48 (95% CI 2.04-9.77) times more chance of belonging to th</w:instrText>
      </w:r>
      <w:r>
        <w:rPr>
          <w:rFonts w:ascii="Times New Roman" w:eastAsia="Times New Roman" w:hAnsi="Times New Roman" w:cs="Times New Roman"/>
          <w:sz w:val="24"/>
          <w:szCs w:val="24"/>
          <w:lang w:eastAsia="pt-BR"/>
        </w:rPr>
        <w:instrText>e “Inactive-Sedentary” (class 3). Adolescents who presented CMD had 11.35 (95% CI 3.45-101.1) times more chance of belonging to the “Inactive-Non-sedentary” (class 2). The interaction between sex and signs of CMD showed that girls with signs of CMD were 9.20 (95% CI 1.17-71.52) more likely to belong to the Inactive-Sedentary class than the “Active-Non-sedentary”. Results indicate that sex and signs of CMD can affect the prevalence of the classes. Our findings highlight that physical inactivity and SB can be associated with signs of CMD, especially in female adolescents.","author":[{"dropping-particle":"","family":"Faria","given":"Fernanda Rocha","non-dropping-particle":"de","parse-names":false,"suffix":""},{"dropping-particle":"","family":"Neves Miranda","given":"Valter Paulo","non-dropping-particle":"","parse-names":false,"suffix":""},{"dropping-particle":"","family":"Howe","given":"Cheryl A","non-dropping-particle":"","parse-names":false,"suffix":""},{"dropping-particle":"","family":"Sasaki","given":"Jeffer Eidi","non-dropping-particle":"","parse-names":false,"suffix":""},{"dropping-particle":"","family":"Santos Amorim","given":"Paulo Roberto","non-dropping-particle":"dos","parse-names":false,"suffix":""}],"container-title":"PLoS ONE","id":"ITEM-1","issue":"6","issued":{"date-parts":[["2020"]]},"title":"Behavioral classes related to physical activity and sedentary behavior on the evaluation of health and mental outcomes among Brazilian adolescents","type":"article-journal","volume":"15"},"uris":["http://www.mendeley.com/documents/?uuid=f8beee70-6636-34c6-9cb8-d77f4b25092a"]},{"id":"ITEM-2","itemData":{"DOI":"10.2147/PRBM.S220075","ISSN":"11791578","abstract":"Background and purpose: There are increasing concern about independent associations between physical activity, screen-based sedentary behavior (SSB), and psychological problems, but only a few studies have attempted to explore combined patterns of physical activity and SSB in adolescents and their correlations with psychological problems. This study was aimed at identifying combined patterns of moderate-to-vigorous physical activity (MVPA) and SSB and examining the prevalence of different combined patterns and their correlations with depression, anxiety, and self-injurious behavior among Chinese adolescents. Methods: Junior and senior high school students (N = 13,659; mean age 15.18±1.89) were recruited. Latent class analysis was conducted to identify combined patterns of MVPA and SSB. Associations between subgroups of MVPA and SSB and socio-demographic characteristics were assessed by logistic regression. Their correlation with depression, anxiety, and self-injurious behaviors was assessed by analysis of variance with analysis stratified by gender. Results: Four latent classes were identified: high MVPA/low SSB group (64.7%), low MVPA/low SSB (26.7%), low MVPA/high SSB (4.8%), and low MVPA/moderate SSB (3.9%). Generally, the high MVPA/low SSB class was a relatively healthy group. The low MVPA/high SSB class was at risk of enduring depression, anxiety, and self-injurious behavior, with boys being more at risk than girls. Conclusion: Four latent subgroups of MVPA and SSB were identified in Chinese adolescents. The findings highlight the potential role of concurrent MVPA and SSB, with gender-specific characteristics in the primary prevention of adolescent depression, anxiety, and self-injurious behaviors.","author":[{"dropping-particle":"","family":"Liu","given":"Mingli","non-dropping-particle":"","parse-names":false,"suffix":""},{"dropping-particle":"","family":"Zhang","given":"Jie","non-dropping-particle":"","parse-names":false,"suffix":""},{"dropping-particle":"","family":"Hu","given":"Elwin","non-dropping-particle":"","parse-names":false,"suffix":""},{"dropping-particle":"","family":"Yang","given":"Huilan","non-dropping-particle":"","parse-names":false,"suffix":""},{"dropping-particle":"","family":"Cheng","given":"Chang","non-dropping-particle":"","parse-names":false,"suffix":""},{"dropping-particle":"","family":"Yao","given":"Shuqiao","non-dropping-particle":"","parse-names":false,"suffix":""}],"container-title":"Psychology Research and Behavior Management","id":"ITEM-2","issued":{"date-parts":[["2019"]]},"page":"1041-1050","title":"Combined patterns of physical activity and screen-related sedentary behavior among chinese adolescents and their correlations with depression, anxiety and self-injurious behaviors","type":"article-journal","volume":"12"},"uris":["http://www.mendeley.com/documents/?uuid=5175cdf0-4423-3cd2-8933-76c73e3e6b37"]}],"mendeley":{"formattedCitation":"(47,48)","manualFormatting":"(50,51)","plainTextFormattedCitation":"(47,48)","previouslyFormattedCitation":"(47,48)"},"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E83661">
        <w:rPr>
          <w:rFonts w:ascii="Times New Roman" w:eastAsia="Times New Roman" w:hAnsi="Times New Roman" w:cs="Times New Roman"/>
          <w:noProof/>
          <w:sz w:val="24"/>
          <w:szCs w:val="24"/>
          <w:lang w:eastAsia="pt-BR"/>
        </w:rPr>
        <w:t xml:space="preserve">[42, </w:t>
      </w:r>
      <w:r>
        <w:rPr>
          <w:rFonts w:ascii="Times New Roman" w:eastAsia="Times New Roman" w:hAnsi="Times New Roman" w:cs="Times New Roman"/>
          <w:noProof/>
          <w:sz w:val="24"/>
          <w:szCs w:val="24"/>
          <w:lang w:eastAsia="pt-BR"/>
        </w:rPr>
        <w:t>50</w:t>
      </w:r>
      <w:r>
        <w:rPr>
          <w:rFonts w:ascii="Times New Roman" w:eastAsia="Times New Roman" w:hAnsi="Times New Roman" w:cs="Times New Roman"/>
          <w:sz w:val="24"/>
          <w:szCs w:val="24"/>
          <w:lang w:eastAsia="pt-BR"/>
        </w:rPr>
        <w:fldChar w:fldCharType="end"/>
      </w:r>
      <w:r w:rsidR="00E83661">
        <w:rPr>
          <w:rFonts w:ascii="Times New Roman" w:eastAsia="Times New Roman" w:hAnsi="Times New Roman" w:cs="Times New Roman"/>
          <w:sz w:val="24"/>
          <w:szCs w:val="24"/>
          <w:lang w:eastAsia="pt-BR"/>
        </w:rPr>
        <w:t>],</w:t>
      </w:r>
      <w:r w:rsidRPr="00431D51">
        <w:rPr>
          <w:rFonts w:ascii="Times New Roman" w:eastAsia="Times New Roman" w:hAnsi="Times New Roman" w:cs="Times New Roman"/>
          <w:sz w:val="24"/>
          <w:szCs w:val="24"/>
          <w:lang w:eastAsia="pt-BR"/>
        </w:rPr>
        <w:t xml:space="preserve"> sleep, physical activity, and screen time</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fldChar w:fldCharType="begin" w:fldLock="1"/>
      </w:r>
      <w:r>
        <w:rPr>
          <w:rFonts w:ascii="Times New Roman" w:eastAsia="Times New Roman" w:hAnsi="Times New Roman" w:cs="Times New Roman"/>
          <w:sz w:val="24"/>
          <w:szCs w:val="24"/>
          <w:lang w:eastAsia="pt-BR"/>
        </w:rPr>
        <w:instrText>ADDIN CSL_CITATION {"citationItems":[{"id":"ITEM-1","itemData":{"DOI":"10.1016/j.ypmed.2020.106352","ISSN":"10960260","PMID":"33259826","abstract":"Movement behaviour guideline adherence has been associated with lower depressive symptoms during adolescence, yet no studies have used person-centered approaches to examine this relationship. The purpose of the present study was to identify whether unique adolescent movement behaviour profiles exist, evaluate predictors of profile membership, and determine whether profile membership was associated with differences in depressive symptoms cross sectionally and longitudinally. This study involved secondary analysis of the public-use data from Wave 1 and Wave 2 of the National Study of Adolescent Health. Adolescents (N = 6436; 48% male) in grades 7 to 12 (Mage = 16.03 ± 1.75) completed measures to assess moderate-to-vigorous physical activity (MVPA), recreational screen time (ST), and sleep – collectively known as movement behaviours – and depressive symptoms. Latent profile analysis identified four profiles that had similar sleep patterns and were thus characterized by different levels of MVPA and ST: high MVPA/low ST (29%), high MVPA/high ST (4%), low MVPA/low ST (53%), and low MVPA/high ST (14%). Several socio-demographic variables were found to influence profile membership. After adjusting for covariates, findings revealed depressive symptoms were lowest among the high MVPA/low ST profile and this trend was evident one year later. Engaging in high levels of either MVPA or ST alone did not provide additive benefits for depressive symptoms compared to those who engaged in low levels of both MVPA and ST. These findings suggest intervention efforts should take an integrative approach to improve mental health outcomes among adolescents by considering each of the movement behaviours concurrently.","author":[{"dropping-particle":"","family":"Brown","given":"Denver M.Y.","non-dropping-particle":"","parse-names":false,"suffix":""},{"dropping-particle":"","family":"Kwan","given":"Matthew Y.","non-dropping-particle":"","parse-names":false,"suffix":""},{"dropping-particle":"","family":"Arbour-Nicitopoulos","given":"Kelly P.","non-dropping-particle":"","parse-names":false,"suffix":""},{"dropping-particle":"","family":"Cairney","given":"John","non-dropping-particle":"","parse-names":false,"suffix":""}],"container-title":"Preventive Medicine","id":"ITEM-1","issued":{"date-parts":[["2021","2","1"]]},"publisher":"Academic Press","title":"Identifying patterns of movement behaviours in relation to depressive symptoms during adolescence: A latent profile analysis approach","type":"article-journal","volume":"143"},"uris":["http://www.mendeley.com/documents/?uuid=17059847-a0e7-34f6-9074-78f90bffff3f"]},{"id":"ITEM-2","itemData":{"DOI":"10.1016/j.jad.2020.05.064","ISBN":"1780806248","ISSN":"15732517","PMID":"32664005","abstract":"Background: Previous studies have showed the independent associations between screen time, physical activity (PA), sleep duration, and depressive symptoms, but little is known about the influence of lifestyles on depressive symptoms. This study aimed to identify clustering patterns of health-related behavior in Chinese adolescents and their association with depressive symptoms. Methods: The sample consisted of 4178 adolescent students. Screen time, physical activity, and sleep time were self-reported. The level of depressive symptoms was measured using the Center for Epidemiologic Studies Depression Scale. A two-step cluster analysis was conducted to identify lifestyle patterns. Univariate and multivariate logistic regression were used to examine the associations between clusters and depressive symptoms. Results: About 28.1% of participants reported depressive symptoms. Four lifestyle clusters were identified: (1) active pattern (n = 865 [20.7%]); (2) high sleep duration pattern (n = 1263 [30.2%]); (3) high screen time pattern (n = 665 [15.9%]); and (4) low physical activity–low sleep duration pattern (n = 1385[33.1%]). Cluster 1 and 2 were relatively healthy groups. Cluster 3 and 4 were at a higher risk of developing depressive symptoms than cluster 1. Limitations: This was a cross-sectional study, and causal relations could not be identified. Self-reported questionnaire instruments were used to collect data, which might have led to some recall bias. Conclusions: Clusters of lifestyle behaviors were identified, and differences in depressive symptoms were found among clusters. Public mental illness prevention strategies should expand their capacity to focus on lifestyle patterns.","author":[{"dropping-particle":"","family":"Cao","given":"Ruilin","non-dropping-particle":"","parse-names":false,"suffix":""},{"dropping-particle":"","family":"Gao","given":"Tingting","non-dropping-particle":"","parse-names":false,"suffix":""},{"dropping-particle":"","family":"Hu","given":"Yueyang","non-dropping-particle":"","parse-names":false,"suffix":""},{"dropping-particle":"","family":"Qin","given":"Zeying","non-dropping-particle":"","parse-names":false,"suffix":""},{"dropping-particle":"","family":"Ren","given":"Hui","non-dropping-particle":"","parse-names":false,"suffix":""},{"dropping-particle":"","family":"Liang","given":"Leilei","non-dropping-particle":"","parse-names":false,"suffix":""},{"dropping-particle":"","family":"Li","given":"Chuanen","non-dropping-particle":"","parse-names":false,"suffix":""},{"dropping-particle":"","family":"Mei","given":"Songli","non-dropping-particle":"","parse-names":false,"suffix":""}],"container-title":"Journal of Affective Disorders","id":"ITEM-2","issued":{"date-parts":[["2020"]]},"page":"704-710","publisher":"Elsevier B.V.","title":"Clustering of lifestyle factors and the relationship with depressive symptoms among adolescents in Northeastern China","type":"article-journal","volume":"274"},"uris":["http://www.mendeley.com/documents/?uuid=0f357252-2d28-4873-a86e-931092ebfc6e"]},{"id":"ITEM-3","itemData":{"DOI":"10.1016/j.mhpa.2020.100354","ISSN":"18780199","abstract":"Problem: Mental well-being can be conceptualized as two intersecting continua: mental illness (presence/absence of psychopathology) and mental health (flourishing/languishing). Together, mental illness and mental health combine to form an individual's complete mental health status (CMHS). The purpose of this study was to examine if CMHS is associated with adherence to the guidelines for moderate-to-vigorous physical activity (MVPA; 60 min), sleep (8–10 h) and recreational screen time (ST; ≤2 h) represented in the Canadian 24-h Movement Guidelines for Children and Youth (“Guidelines”) in adolescents. Methods: This study reports cross-sectional student-level data from Year 6 (2017–18) of the COMPASS study. Canadian secondary school students (grades 9–12) completed questionnaires assessing their movement behaviours, flourishing/languishing (F/L), and high/low depressive symptoms (+DS/-DS). Students were classified into one of four CMHS groups: F/-DS, F/+DS, L/-DS, L/+DS. Generalized linear models were used to compare adherence to the guidelines between groups. Results: A total of 29,133 students (49.8% female, Mage = 15.3yrs) were included. For ST and sleep, youth classified as L/+DS were less likely to meet Guidelines than youth categorized as L/-DS, F/+DS, and F/-DS. For MVPA, youth categorized as L/+DS were less likely to meet Guidelines than youth categorized as F/-DS or F/+DS. Individuals classified as L/-DS were less likely to meet the MVPA guidelines compared to L/+DS (ps &lt;.0001). Conclusion: This is the first study examining relationships between CMHS and Guideline adherence. CMHS was associated with both ST and sleep. Youth who self-report flourishing were more likely to achieve MVPA guidelines irrespective of depressive symptoms. Such findings reinforce the need</w:instrText>
      </w:r>
      <w:r w:rsidRPr="00F76655">
        <w:rPr>
          <w:rFonts w:ascii="Times New Roman" w:eastAsia="Times New Roman" w:hAnsi="Times New Roman" w:cs="Times New Roman"/>
          <w:sz w:val="24"/>
          <w:szCs w:val="24"/>
          <w:lang w:val="en-US" w:eastAsia="pt-BR"/>
        </w:rPr>
        <w:instrText xml:space="preserve"> for research considering both mental health and mental illness when examining associations with movement behaviours in youth.","author":[{"dropping-particle":"","family":"Weatherson","given":"Katie","non-dropping-particle":"","parse-names":false,"suffix":""},{"dropping-particle":"","family":"Gierc","given":"Madelaine","non-dropping-particle":"","parse-names":false,"suffix":""},{"dropping-particle":"","family":"Patte","given":"Karen","non-dropping-particle":"","parse-names":false,"suffix":""},{"dropping-particle":"","family":"Qian","given":"Wei","non-dropping-particle":"","parse-names":false,"suffix":""},{"dropping-particle":"","family":"Leatherdale","given":"Scott","non-dropping-particle":"","parse-names":false,"suffix":""},{"dropping-particle":"","family":"Faulkner","given":"Guy","non-dropping-particle":"","parse-names":false,"suffix":""}],"container-title":"Mental Health and Physical Activity","id":"ITEM-3","issued":{"date-parts":[["2020"]]},"publisher":"Elsevier Ltd","title":"Complete mental health status and associations with physical activity, screen time, and sleep in youth","type":"article-journal","volume":"19"},"uris":["http://www.mendeley.com/documents/?uuid=4bb52685-a220-4f51-9b96-4335e4d95825"]}],"mendeley":{"formattedCitation":"(49–51)","manualFormatting":"(52–54)","plainTextFormattedCitation":"(49–51)","previouslyFormattedCitation":"(49–51)"},"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C355B7">
        <w:rPr>
          <w:rFonts w:ascii="Times New Roman" w:eastAsia="Times New Roman" w:hAnsi="Times New Roman" w:cs="Times New Roman"/>
          <w:noProof/>
          <w:sz w:val="24"/>
          <w:szCs w:val="24"/>
          <w:lang w:val="en-US" w:eastAsia="pt-BR"/>
        </w:rPr>
        <w:t xml:space="preserve">[31, </w:t>
      </w:r>
      <w:r w:rsidR="002B7BD5">
        <w:rPr>
          <w:rFonts w:ascii="Times New Roman" w:eastAsia="Times New Roman" w:hAnsi="Times New Roman" w:cs="Times New Roman"/>
          <w:noProof/>
          <w:sz w:val="24"/>
          <w:szCs w:val="24"/>
          <w:lang w:val="en-US" w:eastAsia="pt-BR"/>
        </w:rPr>
        <w:t>45</w:t>
      </w:r>
      <w:r>
        <w:rPr>
          <w:rFonts w:ascii="Times New Roman" w:eastAsia="Times New Roman" w:hAnsi="Times New Roman" w:cs="Times New Roman"/>
          <w:sz w:val="24"/>
          <w:szCs w:val="24"/>
          <w:lang w:eastAsia="pt-BR"/>
        </w:rPr>
        <w:fldChar w:fldCharType="end"/>
      </w:r>
      <w:r w:rsidR="00C355B7" w:rsidRPr="00C355B7">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and another that stratified into profiles of different types of screen-based devices </w:t>
      </w:r>
      <w:r w:rsidR="00A66E44">
        <w:rPr>
          <w:rFonts w:ascii="Times New Roman" w:eastAsia="Times New Roman" w:hAnsi="Times New Roman" w:cs="Times New Roman"/>
          <w:sz w:val="24"/>
          <w:szCs w:val="24"/>
          <w:lang w:val="en-US" w:eastAsia="pt-BR"/>
        </w:rPr>
        <w:t>[68]</w:t>
      </w:r>
      <w:r w:rsidRPr="00F76655">
        <w:rPr>
          <w:rFonts w:ascii="Times New Roman" w:eastAsia="Times New Roman" w:hAnsi="Times New Roman" w:cs="Times New Roman"/>
          <w:sz w:val="24"/>
          <w:szCs w:val="24"/>
          <w:lang w:val="en-US" w:eastAsia="pt-BR"/>
        </w:rPr>
        <w:t>.</w:t>
      </w:r>
    </w:p>
    <w:p w14:paraId="46F48883" w14:textId="3DFE7CB1" w:rsidR="00F76655" w:rsidRPr="00F76655" w:rsidRDefault="00F76655" w:rsidP="00F76655">
      <w:pPr>
        <w:spacing w:after="0" w:line="480" w:lineRule="auto"/>
        <w:ind w:left="-2" w:hanging="2"/>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b/>
          <w:bCs/>
          <w:sz w:val="24"/>
          <w:szCs w:val="24"/>
          <w:lang w:val="en-US" w:eastAsia="pt-BR"/>
        </w:rPr>
        <w:t xml:space="preserve">Mental Health </w:t>
      </w:r>
      <w:r w:rsidR="00C664D0">
        <w:rPr>
          <w:rFonts w:ascii="Times New Roman" w:eastAsia="Times New Roman" w:hAnsi="Times New Roman" w:cs="Times New Roman"/>
          <w:b/>
          <w:bCs/>
          <w:sz w:val="24"/>
          <w:szCs w:val="24"/>
          <w:lang w:val="en-US" w:eastAsia="pt-BR"/>
        </w:rPr>
        <w:t>A</w:t>
      </w:r>
      <w:r w:rsidRPr="00F76655">
        <w:rPr>
          <w:rFonts w:ascii="Times New Roman" w:eastAsia="Times New Roman" w:hAnsi="Times New Roman" w:cs="Times New Roman"/>
          <w:b/>
          <w:bCs/>
          <w:sz w:val="24"/>
          <w:szCs w:val="24"/>
          <w:lang w:val="en-US" w:eastAsia="pt-BR"/>
        </w:rPr>
        <w:t>ssessment</w:t>
      </w:r>
    </w:p>
    <w:p w14:paraId="2E25D904" w14:textId="0671D613" w:rsidR="00F76655" w:rsidRPr="00F76655" w:rsidRDefault="00F76655" w:rsidP="00F76655">
      <w:pPr>
        <w:spacing w:after="0" w:line="480" w:lineRule="auto"/>
        <w:ind w:firstLine="708"/>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sz w:val="24"/>
          <w:szCs w:val="24"/>
          <w:lang w:val="en-US" w:eastAsia="pt-BR"/>
        </w:rPr>
        <w:t xml:space="preserve">Other outcomes were evaluated in addition to mental health aspects, such as school performance or even physical performance; however, we focused on the mental health-evaluation. </w:t>
      </w:r>
      <w:r w:rsidR="00664768" w:rsidRPr="00664768">
        <w:rPr>
          <w:rFonts w:ascii="Times New Roman" w:eastAsia="Times New Roman" w:hAnsi="Times New Roman" w:cs="Times New Roman"/>
          <w:sz w:val="24"/>
          <w:szCs w:val="24"/>
          <w:lang w:val="en-US" w:eastAsia="pt-BR"/>
        </w:rPr>
        <w:t>Of the 50 articles reviewed, the sy</w:t>
      </w:r>
      <w:r w:rsidRPr="00F76655">
        <w:rPr>
          <w:rFonts w:ascii="Times New Roman" w:eastAsia="Times New Roman" w:hAnsi="Times New Roman" w:cs="Times New Roman"/>
          <w:sz w:val="24"/>
          <w:szCs w:val="24"/>
          <w:lang w:val="en-US" w:eastAsia="pt-BR"/>
        </w:rPr>
        <w:t>mptoms evaluated were depression (n=</w:t>
      </w:r>
      <w:r w:rsidR="00066B2E">
        <w:rPr>
          <w:rFonts w:ascii="Times New Roman" w:eastAsia="Times New Roman" w:hAnsi="Times New Roman" w:cs="Times New Roman"/>
          <w:sz w:val="24"/>
          <w:szCs w:val="24"/>
          <w:lang w:val="en-US" w:eastAsia="pt-BR"/>
        </w:rPr>
        <w:t>10</w:t>
      </w:r>
      <w:r w:rsidRPr="00F76655">
        <w:rPr>
          <w:rFonts w:ascii="Times New Roman" w:eastAsia="Times New Roman" w:hAnsi="Times New Roman" w:cs="Times New Roman"/>
          <w:sz w:val="24"/>
          <w:szCs w:val="24"/>
          <w:lang w:val="en-US" w:eastAsia="pt-BR"/>
        </w:rPr>
        <w:t>), depressive symptoms (n=</w:t>
      </w:r>
      <w:r w:rsidR="00754165">
        <w:rPr>
          <w:rFonts w:ascii="Times New Roman" w:eastAsia="Times New Roman" w:hAnsi="Times New Roman" w:cs="Times New Roman"/>
          <w:sz w:val="24"/>
          <w:szCs w:val="24"/>
          <w:lang w:val="en-US" w:eastAsia="pt-BR"/>
        </w:rPr>
        <w:t>22</w:t>
      </w:r>
      <w:r w:rsidRPr="00F76655">
        <w:rPr>
          <w:rFonts w:ascii="Times New Roman" w:eastAsia="Times New Roman" w:hAnsi="Times New Roman" w:cs="Times New Roman"/>
          <w:sz w:val="24"/>
          <w:szCs w:val="24"/>
          <w:lang w:val="en-US" w:eastAsia="pt-BR"/>
        </w:rPr>
        <w:t>), anxiety (n=1</w:t>
      </w:r>
      <w:r w:rsidR="00C76601">
        <w:rPr>
          <w:rFonts w:ascii="Times New Roman" w:eastAsia="Times New Roman" w:hAnsi="Times New Roman" w:cs="Times New Roman"/>
          <w:sz w:val="24"/>
          <w:szCs w:val="24"/>
          <w:lang w:val="en-US" w:eastAsia="pt-BR"/>
        </w:rPr>
        <w:t>6</w:t>
      </w:r>
      <w:r w:rsidRPr="00F76655">
        <w:rPr>
          <w:rFonts w:ascii="Times New Roman" w:eastAsia="Times New Roman" w:hAnsi="Times New Roman" w:cs="Times New Roman"/>
          <w:sz w:val="24"/>
          <w:szCs w:val="24"/>
          <w:lang w:val="en-US" w:eastAsia="pt-BR"/>
        </w:rPr>
        <w:t>), and self-esteem (n=9). Some studies focused on positive aspects of mental health, highlighting mental well-being, and evaluating dimensions such as adolescent flourishing (n=5) and resilience (n=1).</w:t>
      </w:r>
    </w:p>
    <w:p w14:paraId="7D03369B" w14:textId="7C4C7F0A" w:rsidR="00F76655" w:rsidRPr="00F76655" w:rsidRDefault="00F76655" w:rsidP="00E802BB">
      <w:pPr>
        <w:spacing w:after="0" w:line="480" w:lineRule="auto"/>
        <w:ind w:firstLine="708"/>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sz w:val="24"/>
          <w:szCs w:val="24"/>
          <w:lang w:val="en-US" w:eastAsia="pt-BR"/>
        </w:rPr>
        <w:t>Some studies evaluated dimensions that reflect the general state of mental health, such as life satisfaction (n=5), self-efficacy (n=2), physical self-concept (n=3), social difficulties (n=3), psychosocial difficulties (n=1) and stress (n=</w:t>
      </w:r>
      <w:r w:rsidR="00C76601">
        <w:rPr>
          <w:rFonts w:ascii="Times New Roman" w:eastAsia="Times New Roman" w:hAnsi="Times New Roman" w:cs="Times New Roman"/>
          <w:sz w:val="24"/>
          <w:szCs w:val="24"/>
          <w:lang w:val="en-US" w:eastAsia="pt-BR"/>
        </w:rPr>
        <w:t>2</w:t>
      </w:r>
      <w:r w:rsidRPr="00F76655">
        <w:rPr>
          <w:rFonts w:ascii="Times New Roman" w:eastAsia="Times New Roman" w:hAnsi="Times New Roman" w:cs="Times New Roman"/>
          <w:sz w:val="24"/>
          <w:szCs w:val="24"/>
          <w:lang w:val="en-US" w:eastAsia="pt-BR"/>
        </w:rPr>
        <w:t xml:space="preserve">). In addition to emotional symptoms, some studies have evaluated behavioral symptoms, including conduct problems, hyperactivity/inattention, and pro-social behavior (n=4). Engagement in self-harm behavior was addressed in some articles (n=6) and suicidal ideation was assessed in two studies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{"citationItems":[{"id":"ITEM-1","itemData":{"DOI":"10.1177/2167702617723376","ISSN":"21677034","abstract":"In two nationally representative surveys of U.S. adolescents in grades 8 through 12 (N = 506,820) and national statistics on suicide deaths for those ages 13 to 18, adolescents’ depressive symptoms, suicide-related outcomes, and suicide rates increased between 2010 and 2015, especially among females. Adolescents who spent more time on new media (including social media and electronic devices such as smartphones) were more likely to report mental health issues, and adolescents who spent more time on nonscreen activities (in-person social interaction, sports/exercise, homework, print media, and attending religious services) were less likely. Since 2010, iGen adolescents have spent more time on new media screen activities and less time on nonscreen activities, which may account for the increases in depression and suicide. In contrast, cyclical economic factors such as unemployment and the Dow Jones Index were not linked to depressive symptoms or suicide rates when matched by year.","author":[{"dropping-particle":"","family":"Twenge","given":"Jean M.","non-dropping-particle":"","parse-names":false,"suffix":""},{"dropping-particle":"","family":"Joiner","given":"Thomas E.","non-dropping-particle":"","parse-names":false,"suffix":""},{"dropping-particle":"","family":"Rogers","given":"Megan L.","non-dropping-particle":"","parse-names":false,"suffix":""},{"dropping-particle":"","family":"Martin","given":"Gabrielle N.","non-dropping-particle":"","parse-names":false,"suffix":""}],"container-title":"Clinical Psychological Science","id":"ITEM-1","issue":"1","issued":{"date-parts":[["2018"]]},"page":"3-17","title":"Increases in Depressive Symptoms, Suicide-Related Outcomes, and Suicide Rates Among U.S. Adolescents After 2010 and Links to Increased New Media Screen Time","type":"article-journal","volume":"6"},"uris":["http://www.mendeley.com/documents/?uuid=e76ea70a-88fa-4771-8ce0-e778020697cf"]},{"id":"ITEM-2","itemData":{"DOI":"10.1038/s41562-018-0506-1","ISBN":"4156201805","ISSN":"23973374","PMID":"30944443","abstract":"The widespread use of digital technologies by young people has spurred speculation that their regular use negatively impacts psychological well-being. Current empirical evidence supporting this idea is largely based on secondary analyses of large-scale social datasets. Though these datasets provi</w:instrText>
      </w:r>
      <w:r>
        <w:rPr>
          <w:rFonts w:ascii="Times New Roman" w:eastAsia="Times New Roman" w:hAnsi="Times New Roman" w:cs="Times New Roman"/>
          <w:sz w:val="24"/>
          <w:szCs w:val="24"/>
          <w:lang w:eastAsia="pt-BR"/>
        </w:rPr>
        <w:instrText>de a valuable resource for highly powered investigations, their many variables and observations are often explored with an analytical flexibility that marks small effects as statistically s</w:instrText>
      </w:r>
      <w:r w:rsidRPr="00F76655">
        <w:rPr>
          <w:rFonts w:ascii="Times New Roman" w:eastAsia="Times New Roman" w:hAnsi="Times New Roman" w:cs="Times New Roman"/>
          <w:sz w:val="24"/>
          <w:szCs w:val="24"/>
          <w:lang w:val="en-US" w:eastAsia="pt-BR"/>
        </w:rPr>
        <w:instrText>ignificant, thereby leading to potential false positives and conflicting results. Here we address these methodological challenges by applying specification curve analysis (SCA) across three large-scale social datasets (total n = 355,358) to rigorously examine correlational evidence for the effects of digital technology on adolescents. The association we find between digital technology use and adolescent well-being is negative but small, explaining at most 0.4% of the variation in well-being. Taking the broader context of the data into account suggests that these effects are too small to warrant policy change.","author":[{"dropping-particle":"","family":"Orben","given":"Amy","non-dropping-particle":"","parse-names":false,"suffix":""},{"dropping-particle":"","family":"Przybylski","given":"Andrew K.","non-dropping-particle":"","parse-names":false,"suffix":""}],"container-title":"Nature Human Behaviour","id":"ITEM-2","issue":"2","issued":{"date-parts":[["2019"]]},"page":"173-182","publisher":"Springer US","title":"The association between adolescent well-being and digital technology use","type":"article-journal","volume":"3"},"uris":["http://www.mendeley.com/documents/?uuid=b019b79d-52be-4453-a2b5-c3784f26ab0a"]}],"mendeley":{"formattedCitation":"(52,53)","manualFormatting":"(55,56)","plainTextFormattedCitation":"(52,53)","previouslyFormattedCitation":"(52,53)"},"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2D43A6">
        <w:rPr>
          <w:rFonts w:ascii="Times New Roman" w:eastAsia="Times New Roman" w:hAnsi="Times New Roman" w:cs="Times New Roman"/>
          <w:noProof/>
          <w:sz w:val="24"/>
          <w:szCs w:val="24"/>
          <w:lang w:val="en-US" w:eastAsia="pt-BR"/>
        </w:rPr>
        <w:t xml:space="preserve">[47, </w:t>
      </w:r>
      <w:r w:rsidRPr="00F76655">
        <w:rPr>
          <w:rFonts w:ascii="Times New Roman" w:eastAsia="Times New Roman" w:hAnsi="Times New Roman" w:cs="Times New Roman"/>
          <w:noProof/>
          <w:sz w:val="24"/>
          <w:szCs w:val="24"/>
          <w:lang w:val="en-US" w:eastAsia="pt-BR"/>
        </w:rPr>
        <w:t>5</w:t>
      </w:r>
      <w:r w:rsidR="002D43A6">
        <w:rPr>
          <w:rFonts w:ascii="Times New Roman" w:eastAsia="Times New Roman" w:hAnsi="Times New Roman" w:cs="Times New Roman"/>
          <w:noProof/>
          <w:sz w:val="24"/>
          <w:szCs w:val="24"/>
          <w:lang w:val="en-US" w:eastAsia="pt-BR"/>
        </w:rPr>
        <w:t>6</w:t>
      </w:r>
      <w:r>
        <w:rPr>
          <w:rFonts w:ascii="Times New Roman" w:eastAsia="Times New Roman" w:hAnsi="Times New Roman" w:cs="Times New Roman"/>
          <w:sz w:val="24"/>
          <w:szCs w:val="24"/>
          <w:lang w:eastAsia="pt-BR"/>
        </w:rPr>
        <w:fldChar w:fldCharType="end"/>
      </w:r>
      <w:r w:rsidR="002D43A6" w:rsidRPr="00CF3337">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One study evaluated mental disorders defined by the criteria of the Diagnostic and Statistical Manual of Mental Disorder (DSM IV), for a major depressive episode, generalized anxiety disorder, social phobia, and specific phobia </w:t>
      </w:r>
      <w:r w:rsidR="00CF3337">
        <w:rPr>
          <w:rFonts w:ascii="Times New Roman" w:eastAsia="Times New Roman" w:hAnsi="Times New Roman" w:cs="Times New Roman"/>
          <w:sz w:val="24"/>
          <w:szCs w:val="24"/>
          <w:lang w:val="en-US" w:eastAsia="pt-BR"/>
        </w:rPr>
        <w:t>[44]</w:t>
      </w:r>
      <w:r w:rsidRPr="00F76655">
        <w:rPr>
          <w:rFonts w:ascii="Times New Roman" w:eastAsia="Times New Roman" w:hAnsi="Times New Roman" w:cs="Times New Roman"/>
          <w:sz w:val="24"/>
          <w:szCs w:val="24"/>
          <w:lang w:val="en-US" w:eastAsia="pt-BR"/>
        </w:rPr>
        <w:t xml:space="preserve">. </w:t>
      </w:r>
      <w:r w:rsidR="009C2C83" w:rsidRPr="009C2C83">
        <w:rPr>
          <w:rFonts w:ascii="Times New Roman" w:eastAsia="Times New Roman" w:hAnsi="Times New Roman" w:cs="Times New Roman"/>
          <w:sz w:val="24"/>
          <w:szCs w:val="24"/>
          <w:lang w:val="en-US" w:eastAsia="pt-BR"/>
        </w:rPr>
        <w:t>One study assessed overall mental health using the adapted version of the Diagnostic and Statistical Manual of Mental Disorders, Fifth Edition (DSM-5) and also assessed loneliness using the (University of California, Los Angeles) Loneliness Scale- UCL</w:t>
      </w:r>
      <w:r w:rsidR="00E802BB">
        <w:rPr>
          <w:rFonts w:ascii="Times New Roman" w:eastAsia="Times New Roman" w:hAnsi="Times New Roman" w:cs="Times New Roman"/>
          <w:sz w:val="24"/>
          <w:szCs w:val="24"/>
          <w:lang w:val="en-US" w:eastAsia="pt-BR"/>
        </w:rPr>
        <w:t xml:space="preserve">A </w:t>
      </w:r>
      <w:r w:rsidR="00CF3337">
        <w:rPr>
          <w:rFonts w:ascii="Times New Roman" w:eastAsia="Times New Roman" w:hAnsi="Times New Roman" w:cs="Times New Roman"/>
          <w:sz w:val="24"/>
          <w:szCs w:val="24"/>
          <w:lang w:val="en-US" w:eastAsia="pt-BR"/>
        </w:rPr>
        <w:t>[</w:t>
      </w:r>
      <w:r w:rsidR="00E66F40">
        <w:rPr>
          <w:rFonts w:ascii="Times New Roman" w:eastAsia="Times New Roman" w:hAnsi="Times New Roman" w:cs="Times New Roman"/>
          <w:sz w:val="24"/>
          <w:szCs w:val="24"/>
          <w:lang w:val="en-US" w:eastAsia="pt-BR"/>
        </w:rPr>
        <w:t>26</w:t>
      </w:r>
      <w:r w:rsidR="00CF3337">
        <w:rPr>
          <w:rFonts w:ascii="Times New Roman" w:eastAsia="Times New Roman" w:hAnsi="Times New Roman" w:cs="Times New Roman"/>
          <w:sz w:val="24"/>
          <w:szCs w:val="24"/>
          <w:lang w:val="en-US" w:eastAsia="pt-BR"/>
        </w:rPr>
        <w:t>]</w:t>
      </w:r>
      <w:r w:rsidR="000B3AA7">
        <w:rPr>
          <w:rFonts w:ascii="Times New Roman" w:eastAsia="Times New Roman" w:hAnsi="Times New Roman" w:cs="Times New Roman"/>
          <w:sz w:val="24"/>
          <w:szCs w:val="24"/>
          <w:lang w:val="en-US" w:eastAsia="pt-BR"/>
        </w:rPr>
        <w:t>.</w:t>
      </w:r>
      <w:r w:rsidR="007B0C5D">
        <w:rPr>
          <w:rFonts w:ascii="Times New Roman" w:eastAsia="Times New Roman" w:hAnsi="Times New Roman" w:cs="Times New Roman"/>
          <w:sz w:val="24"/>
          <w:szCs w:val="24"/>
          <w:lang w:val="en-US" w:eastAsia="pt-BR"/>
        </w:rPr>
        <w:t xml:space="preserve"> </w:t>
      </w:r>
      <w:r w:rsidRPr="00F76655">
        <w:rPr>
          <w:rFonts w:ascii="Times New Roman" w:eastAsia="Times New Roman" w:hAnsi="Times New Roman" w:cs="Times New Roman"/>
          <w:sz w:val="24"/>
          <w:szCs w:val="24"/>
          <w:lang w:val="en-US" w:eastAsia="pt-BR"/>
        </w:rPr>
        <w:t xml:space="preserve">Studies that referred to mood disorders </w:t>
      </w:r>
      <w:r w:rsidR="00641BB6">
        <w:rPr>
          <w:rFonts w:ascii="Times New Roman" w:eastAsia="Times New Roman" w:hAnsi="Times New Roman" w:cs="Times New Roman"/>
          <w:sz w:val="24"/>
          <w:szCs w:val="24"/>
          <w:lang w:val="en-US" w:eastAsia="pt-BR"/>
        </w:rPr>
        <w:t>[30,</w:t>
      </w:r>
      <w:r w:rsidR="00400A3C">
        <w:rPr>
          <w:rFonts w:ascii="Times New Roman" w:eastAsia="Times New Roman" w:hAnsi="Times New Roman" w:cs="Times New Roman"/>
          <w:sz w:val="24"/>
          <w:szCs w:val="24"/>
          <w:lang w:val="en-US" w:eastAsia="pt-BR"/>
        </w:rPr>
        <w:t>37,</w:t>
      </w:r>
      <w:r w:rsidR="00641BB6">
        <w:rPr>
          <w:rFonts w:ascii="Times New Roman" w:eastAsia="Times New Roman" w:hAnsi="Times New Roman" w:cs="Times New Roman"/>
          <w:sz w:val="24"/>
          <w:szCs w:val="24"/>
          <w:lang w:val="en-US" w:eastAsia="pt-BR"/>
        </w:rPr>
        <w:t xml:space="preserve"> 44</w:t>
      </w:r>
      <w:r w:rsidR="0004512B">
        <w:rPr>
          <w:rFonts w:ascii="Times New Roman" w:eastAsia="Times New Roman" w:hAnsi="Times New Roman" w:cs="Times New Roman"/>
          <w:sz w:val="24"/>
          <w:szCs w:val="24"/>
          <w:lang w:val="en-US" w:eastAsia="pt-BR"/>
        </w:rPr>
        <w:t>]</w:t>
      </w:r>
      <w:r w:rsidRPr="00F76655">
        <w:rPr>
          <w:rFonts w:ascii="Times New Roman" w:eastAsia="Times New Roman" w:hAnsi="Times New Roman" w:cs="Times New Roman"/>
          <w:sz w:val="24"/>
          <w:szCs w:val="24"/>
          <w:lang w:val="en-US" w:eastAsia="pt-BR"/>
        </w:rPr>
        <w:t xml:space="preserve"> evaluated anxiety and depression. </w:t>
      </w:r>
      <w:r w:rsidRPr="00A22936">
        <w:rPr>
          <w:rFonts w:ascii="Times New Roman" w:eastAsia="Times New Roman" w:hAnsi="Times New Roman" w:cs="Times New Roman"/>
          <w:sz w:val="24"/>
          <w:szCs w:val="24"/>
          <w:lang w:val="en-US" w:eastAsia="pt-BR"/>
        </w:rPr>
        <w:t xml:space="preserve">Two studies assessed psychological distress </w:t>
      </w:r>
      <w:r>
        <w:rPr>
          <w:rFonts w:ascii="Times New Roman" w:eastAsia="Times New Roman" w:hAnsi="Times New Roman" w:cs="Times New Roman"/>
          <w:sz w:val="24"/>
          <w:szCs w:val="24"/>
          <w:lang w:eastAsia="pt-BR"/>
        </w:rPr>
        <w:fldChar w:fldCharType="begin" w:fldLock="1"/>
      </w:r>
      <w:r w:rsidRPr="00A22936">
        <w:rPr>
          <w:rFonts w:ascii="Times New Roman" w:eastAsia="Times New Roman" w:hAnsi="Times New Roman" w:cs="Times New Roman"/>
          <w:sz w:val="24"/>
          <w:szCs w:val="24"/>
          <w:lang w:val="en-US" w:eastAsia="pt-BR"/>
        </w:rPr>
        <w:instrText>ADDIN CSL_CITATION {"citationItems":[{"id":"ITEM-1","itemData":{"ISSN":"17198429","PMID":"26336376","abstract":"Objective: Few studies have addressed the links between sedentary behaviour (SED) and mental health in youth. Most studies on physical activity (PA) and SED examine their independent effects on mental health, or fail to account for PA in this relationship. The purpose of this study is to examine the independent effects of PA and screen time on mental health, school connectedness and academic achievement, and potential interactions between PA and screen time in such associations. Methods: Data was obtained through 2,660 adolescents who completed the self-administered Ontario Student Drug Use and Health Survey (OSDUHS) in 2009. Self-reported variables of demographics, PA, screen time, and mental health indicators were also collected. Results: Using logistic regression, screen time was inversely associated with all mental health indicators (p&lt;.05). Although meeting PA guidelines was associated with lower school disconnectedness in males, the effects of high screen time were greater than the independent associations of PA among mental health indicators. An interaction between screen time and PA with low self-esteem was found only in males. Higher screen time was associated with lower self-esteem in males, independent of PA (p&lt;.001). Conclusion: High screen time was associated with poorer mental health and academic outcomes. B</w:instrText>
      </w:r>
      <w:r>
        <w:rPr>
          <w:rFonts w:ascii="Times New Roman" w:eastAsia="Times New Roman" w:hAnsi="Times New Roman" w:cs="Times New Roman"/>
          <w:sz w:val="24"/>
          <w:szCs w:val="24"/>
          <w:lang w:eastAsia="pt-BR"/>
        </w:rPr>
        <w:instrText>eing physically active did not result in higher self-esteem in the presence of high screen time among males. These results confirm the value in distinguishing the independent and interactive effects of PA and SED on mental health. Future research should promote PA and reduce screen time to improve mental health outcomes among youth.","author":[{"dropping-particle":"","family":"Trinh","given":"Linda","non-dropping-particle":"","parse-names":false,"suffix":""},{"dropping-particle":"","family":"Wong","given":"Bonny","non-dropping-particle":"","parse-names":false,"suffix":""},{"dropping-particle":"","family":"Faulkner","given":"Guy E.","non-dropping-particle":"","parse-names":false,"suffix":""}],"container-title":"Journal of the Canadian Academy of Child and Adolescent Psychiatry","id":"ITEM-1","issue":"1","issued":{"date-parts":[["2015"]]},"page":"17-24","title":"The independent and interactive associations of screen time and physical activity on mental health, school connectedness and academic achievement among a population-based sample of youth","type":"article-journal","volume":"24"},"uris":["http://www.mendeley.com/documents/?uuid=fcf727e2-ae63-3362-9cd5-19e75e5cfab9"]},{"id":"ITEM-2","itemData":{"ISSN":"17198429","PMID":"22876262","abstract":"Objective: To examine the prevalence and correlates of psychological distress in a school-based sample of Canadian adolescents. Method: Self-reported data of demographics, weight status, physical activity, screen-time, diet, substance use, and psychological distress were derived from a representative sample of 2935 students in grades 9 to 12 (Mage = 15.9 years) from the 2009 Ontario Student Drug Use a</w:instrText>
      </w:r>
      <w:r w:rsidRPr="00F04730">
        <w:rPr>
          <w:rFonts w:ascii="Times New Roman" w:eastAsia="Times New Roman" w:hAnsi="Times New Roman" w:cs="Times New Roman"/>
          <w:sz w:val="24"/>
          <w:szCs w:val="24"/>
          <w:lang w:val="en-US" w:eastAsia="pt-BR"/>
        </w:rPr>
        <w:instrText>nd Health Survey. Results: Overall prevalence of psychological distress was 35.1%. Significant associations were shown between psychological distress and the following: being female, tobacco use, not meeting physical activity and screen-time recommendations, and inadequate consumption of breakfast and vegetables. Conclusions: These findings highlight the need for targeting greater physical health promotion for adolescents at risk of mental health problems.","author":[{"dropping-particle":"","family":"Arbour-Nicitopoulos","given":"Kelly P","non-dropping-particle":"","parse-names":false,"suffix":""},{"dropping-particle":"","family":"Faulkner","given":"Guy E.","non-dropping-particle":"","parse-names":false,"suffix":""},{"dropping-particle":"","family":"Irving","given":"Hyacinth M.","non-dropping-particle":"","parse-names":false,"suffix":""}],"container-title":"Journal of the Canadian Academy of Child and Adolescent Psychiatry","id":"ITEM-2","issue":"3","issued":{"date-parts":[["2012"]]},"page":"171-178","title":"Multiple health-risk behaviour and psychological distress in adolescence","type":"article-journal","volume":"21"},"uris":["http://www.mendeley.com/documents/?uuid=77009edf-73c5-3741-923a-cd66fff492ed"]}],"mendeley":{"formattedCitation":"(54,55)","manualFormatting":"(57,58)","plainTextFormattedCitation":"(54,55)","previouslyFormattedCitation":"(54,55)"},"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4A58C9">
        <w:rPr>
          <w:rFonts w:ascii="Times New Roman" w:eastAsia="Times New Roman" w:hAnsi="Times New Roman" w:cs="Times New Roman"/>
          <w:noProof/>
          <w:sz w:val="24"/>
          <w:szCs w:val="24"/>
          <w:lang w:val="en-US" w:eastAsia="pt-BR"/>
        </w:rPr>
        <w:t>[64</w:t>
      </w:r>
      <w:r w:rsidRPr="00F04730">
        <w:rPr>
          <w:rFonts w:ascii="Times New Roman" w:eastAsia="Times New Roman" w:hAnsi="Times New Roman" w:cs="Times New Roman"/>
          <w:noProof/>
          <w:sz w:val="24"/>
          <w:szCs w:val="24"/>
          <w:lang w:val="en-US" w:eastAsia="pt-BR"/>
        </w:rPr>
        <w:t>,</w:t>
      </w:r>
      <w:r w:rsidR="0004512B">
        <w:rPr>
          <w:rFonts w:ascii="Times New Roman" w:eastAsia="Times New Roman" w:hAnsi="Times New Roman" w:cs="Times New Roman"/>
          <w:noProof/>
          <w:sz w:val="24"/>
          <w:szCs w:val="24"/>
          <w:lang w:val="en-US" w:eastAsia="pt-BR"/>
        </w:rPr>
        <w:t>69</w:t>
      </w:r>
      <w:r>
        <w:rPr>
          <w:rFonts w:ascii="Times New Roman" w:eastAsia="Times New Roman" w:hAnsi="Times New Roman" w:cs="Times New Roman"/>
          <w:sz w:val="24"/>
          <w:szCs w:val="24"/>
          <w:lang w:eastAsia="pt-BR"/>
        </w:rPr>
        <w:fldChar w:fldCharType="end"/>
      </w:r>
      <w:r w:rsidR="0004512B" w:rsidRPr="004A58C9">
        <w:rPr>
          <w:rFonts w:ascii="Times New Roman" w:eastAsia="Times New Roman" w:hAnsi="Times New Roman" w:cs="Times New Roman"/>
          <w:sz w:val="24"/>
          <w:szCs w:val="24"/>
          <w:lang w:val="en-US" w:eastAsia="pt-BR"/>
        </w:rPr>
        <w:t>]</w:t>
      </w:r>
      <w:r w:rsidR="008B09CA" w:rsidRPr="00F04730">
        <w:rPr>
          <w:rFonts w:ascii="Times New Roman" w:eastAsia="Times New Roman" w:hAnsi="Times New Roman" w:cs="Times New Roman"/>
          <w:sz w:val="24"/>
          <w:szCs w:val="24"/>
          <w:lang w:val="en-US" w:eastAsia="pt-BR"/>
        </w:rPr>
        <w:t xml:space="preserve">, </w:t>
      </w:r>
      <w:r w:rsidR="00F04730" w:rsidRPr="00F04730">
        <w:rPr>
          <w:rFonts w:ascii="Times New Roman" w:eastAsia="Times New Roman" w:hAnsi="Times New Roman" w:cs="Times New Roman"/>
          <w:sz w:val="24"/>
          <w:szCs w:val="24"/>
          <w:lang w:val="en-US" w:eastAsia="pt-BR"/>
        </w:rPr>
        <w:t>and one em</w:t>
      </w:r>
      <w:r w:rsidR="00F04730">
        <w:rPr>
          <w:rFonts w:ascii="Times New Roman" w:eastAsia="Times New Roman" w:hAnsi="Times New Roman" w:cs="Times New Roman"/>
          <w:sz w:val="24"/>
          <w:szCs w:val="24"/>
          <w:lang w:val="en-US" w:eastAsia="pt-BR"/>
        </w:rPr>
        <w:t>otional distress</w:t>
      </w:r>
      <w:r w:rsidR="004028F5">
        <w:rPr>
          <w:rFonts w:ascii="Times New Roman" w:eastAsia="Times New Roman" w:hAnsi="Times New Roman" w:cs="Times New Roman"/>
          <w:sz w:val="24"/>
          <w:szCs w:val="24"/>
          <w:lang w:val="en-US" w:eastAsia="pt-BR"/>
        </w:rPr>
        <w:t xml:space="preserve"> (Kandola et al., 2022)</w:t>
      </w:r>
      <w:r w:rsidR="001D0718">
        <w:rPr>
          <w:rFonts w:ascii="Times New Roman" w:eastAsia="Times New Roman" w:hAnsi="Times New Roman" w:cs="Times New Roman"/>
          <w:sz w:val="24"/>
          <w:szCs w:val="24"/>
          <w:lang w:val="en-US" w:eastAsia="pt-BR"/>
        </w:rPr>
        <w:t>.</w:t>
      </w:r>
      <w:r w:rsidRPr="00F04730">
        <w:rPr>
          <w:rFonts w:ascii="Times New Roman" w:eastAsia="Times New Roman" w:hAnsi="Times New Roman" w:cs="Times New Roman"/>
          <w:sz w:val="24"/>
          <w:szCs w:val="24"/>
          <w:lang w:val="en-US" w:eastAsia="pt-BR"/>
        </w:rPr>
        <w:t xml:space="preserve"> Two studies evaluated internalizing and externalizing symptoms </w:t>
      </w:r>
      <w:r>
        <w:rPr>
          <w:rFonts w:ascii="Times New Roman" w:eastAsia="Times New Roman" w:hAnsi="Times New Roman" w:cs="Times New Roman"/>
          <w:sz w:val="24"/>
          <w:szCs w:val="24"/>
          <w:lang w:eastAsia="pt-BR"/>
        </w:rPr>
        <w:fldChar w:fldCharType="begin" w:fldLock="1"/>
      </w:r>
      <w:r w:rsidRPr="00F04730">
        <w:rPr>
          <w:rFonts w:ascii="Times New Roman" w:eastAsia="Times New Roman" w:hAnsi="Times New Roman" w:cs="Times New Roman"/>
          <w:sz w:val="24"/>
          <w:szCs w:val="24"/>
          <w:lang w:val="en-US" w:eastAsia="pt-BR"/>
        </w:rPr>
        <w:instrText>ADDIN CSL_CITATION {"citationItems":[{"id":"ITEM-1","itemData":{"DOI":"10.1016/j.neuroimage.2018.10.040","ISBN":"9185025135","ISSN":"10959572","PMID":"30339913","abstract":"The adolescent brain undergoes profound structural changes which is influenced by many factors. Screen media activity (SMA; e.g., watching television or videos, playing video games, or using social media) is a common recreational activity in children and adolescents; however, its effect on brain structure is not well understood. A multivariate approach with the first cross-sectional data release from the Adolescent Brain Cognitive Development (ABCD) study was used to test the maturational coupling hypothesis, i.e. the notion that coordinated patterns of structural change related to specific behaviors. Moreover, the utility of this approach was tested by determining the association between these structural correlation networks and psychopathology or cognition. ABCD participants with usable structural imaging and SMA data (N = 4277 of 4524) were subjected to a Group Factor Analysis (GFA) to identify latent variables that relate SMA to cortical thickness, sulcal depth, and gray matter volume. Subject scores from these latent variables were used in generalized linear mixed-effect models to investigate associations between SMA and internalizing and externalizing psychopathology, as well as fluid and crystalized intelligence. Fo</w:instrText>
      </w:r>
      <w:r w:rsidRPr="004028F5">
        <w:rPr>
          <w:rFonts w:ascii="Times New Roman" w:eastAsia="Times New Roman" w:hAnsi="Times New Roman" w:cs="Times New Roman"/>
          <w:sz w:val="24"/>
          <w:szCs w:val="24"/>
          <w:lang w:val="en-US" w:eastAsia="pt-BR"/>
        </w:rPr>
        <w:instrText>ur SMA-related GFA</w:instrText>
      </w:r>
      <w:r w:rsidRPr="001D0718">
        <w:rPr>
          <w:rFonts w:ascii="Times New Roman" w:eastAsia="Times New Roman" w:hAnsi="Times New Roman" w:cs="Times New Roman"/>
          <w:sz w:val="24"/>
          <w:szCs w:val="24"/>
          <w:lang w:val="en-US" w:eastAsia="pt-BR"/>
        </w:rPr>
        <w:instrText>s e</w:instrText>
      </w:r>
      <w:r>
        <w:rPr>
          <w:rFonts w:ascii="Times New Roman" w:eastAsia="Times New Roman" w:hAnsi="Times New Roman" w:cs="Times New Roman"/>
          <w:sz w:val="24"/>
          <w:szCs w:val="24"/>
          <w:lang w:eastAsia="pt-BR"/>
        </w:rPr>
        <w:instrText>xplained 37% of the variance between SMA and structural brain indices. SMA-related GFAs correlated with brain areas that support homologous functions. Some but not all SMA-related factors corresponded with higher externalizing (Cohen's d effect size (ES) 0.06–0.1) but not internalizing psychopathology and lower crystalized (ES: 0.08–0.1) and fluid intelligence (ES: 0.04–0.09). Taken together, these findings support the notion of SMA related maturational coupling or structural correlation networks in the brain and provides evidence that individual differences of these networks have mixed consequences for psychopathology and cognitive performance.","author":[{"dropping-particle":"","family":"Paulus","given":"Martin P","non-dropping-particle":"","parse-names":false,"suffix":""},{"dropping-particle":"","family":"Squeglia","given":"Lindsay M","non-dropping-particle":"","parse-names":false,"suffix":""},{"dropping-particle":"","family":"Bagot","given":"Kara","non-dropping-particle":"","parse-names":false,"suffix":""},{"dropping-particle":"","family":"Jacobus","given":"Joanna","non-dropping-particle":"","parse-names"</w:instrText>
      </w:r>
      <w:r w:rsidRPr="00F76655">
        <w:rPr>
          <w:rFonts w:ascii="Times New Roman" w:eastAsia="Times New Roman" w:hAnsi="Times New Roman" w:cs="Times New Roman"/>
          <w:sz w:val="24"/>
          <w:szCs w:val="24"/>
          <w:lang w:val="en-US" w:eastAsia="pt-BR"/>
        </w:rPr>
        <w:instrText>:false,"suffix":""},{"dropping-particle":"","family":"Kuplicki","given":"Rayus","non-dropping-particle":"","parse-names":false,"suffix":""},{"dropping-particle":"","family":"Breslin","given":"Florence J","non-dropping-particle":"","parse-names":false,"suffix":""},{"dropping-particle":"","family":"Bodurka","given":"Jerzy","non-dropping-particle":"","parse-names":false,"suffix":""},{"dropping-particle":"","family":"Morris","given":"Amanda Sheffield","non-dropping-particle":"","parse-names":false,"suffix":""},{"dropping-particle":"","family":"Thompson","given":"Wesley K","non-dropping-particle":"","parse-names":false,"suffix":""},{"dropping-particle":"","family":"Bartsch","given":"Hauke","non-dropping-particle":"","parse-names":false,"suffix":""},{"dropping-particle":"","family":"Tapert","given":"Susan F","non-dropping-particle":"","parse-names":false,"suffix":""}],"container-title":"NeuroImage","id":"ITEM-1","issued":{"date-parts":[["2019"]]},"page":"140-153","title":"Screen media activity and brain structure in youth: Evidence for diverse structural correlation networks from the ABCD study","type":"article-journal","volume":"185"},"uris":["http://www.mendeley.com/documents/?uuid=e2b65906-0f90-3b1c-a275-aeb3b991e5e8"]}],"mendeley":{"formattedCitation":"(56)","manualFormatting":"(42,59)","plainTextFormattedCitation":"(56)","previouslyFormattedCitation":"(56)"},"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971CE1">
        <w:rPr>
          <w:rFonts w:ascii="Times New Roman" w:eastAsia="Times New Roman" w:hAnsi="Times New Roman" w:cs="Times New Roman"/>
          <w:noProof/>
          <w:sz w:val="24"/>
          <w:szCs w:val="24"/>
          <w:lang w:val="en-US" w:eastAsia="pt-BR"/>
        </w:rPr>
        <w:t>[</w:t>
      </w:r>
      <w:r w:rsidR="00174A28">
        <w:rPr>
          <w:rFonts w:ascii="Times New Roman" w:eastAsia="Times New Roman" w:hAnsi="Times New Roman" w:cs="Times New Roman"/>
          <w:noProof/>
          <w:sz w:val="24"/>
          <w:szCs w:val="24"/>
          <w:lang w:val="en-US" w:eastAsia="pt-BR"/>
        </w:rPr>
        <w:t>51,</w:t>
      </w:r>
      <w:r w:rsidR="004A58C9">
        <w:rPr>
          <w:rFonts w:ascii="Times New Roman" w:eastAsia="Times New Roman" w:hAnsi="Times New Roman" w:cs="Times New Roman"/>
          <w:noProof/>
          <w:sz w:val="24"/>
          <w:szCs w:val="24"/>
          <w:lang w:val="en-US" w:eastAsia="pt-BR"/>
        </w:rPr>
        <w:t>68</w:t>
      </w:r>
      <w:r w:rsidR="00174A28">
        <w:rPr>
          <w:rFonts w:ascii="Times New Roman" w:eastAsia="Times New Roman" w:hAnsi="Times New Roman" w:cs="Times New Roman"/>
          <w:noProof/>
          <w:sz w:val="24"/>
          <w:szCs w:val="24"/>
          <w:lang w:val="en-US" w:eastAsia="pt-BR"/>
        </w:rPr>
        <w:t>]</w:t>
      </w:r>
      <w:r>
        <w:rPr>
          <w:rFonts w:ascii="Times New Roman" w:eastAsia="Times New Roman" w:hAnsi="Times New Roman" w:cs="Times New Roman"/>
          <w:sz w:val="24"/>
          <w:szCs w:val="24"/>
          <w:lang w:eastAsia="pt-BR"/>
        </w:rPr>
        <w:fldChar w:fldCharType="end"/>
      </w:r>
      <w:r w:rsidR="00971CE1" w:rsidRPr="00971CE1">
        <w:rPr>
          <w:rFonts w:ascii="Times New Roman" w:eastAsia="Times New Roman" w:hAnsi="Times New Roman" w:cs="Times New Roman"/>
          <w:sz w:val="24"/>
          <w:szCs w:val="24"/>
          <w:lang w:val="en-US" w:eastAsia="pt-BR"/>
        </w:rPr>
        <w:t xml:space="preserve"> </w:t>
      </w:r>
      <w:r w:rsidRPr="00F76655">
        <w:rPr>
          <w:rFonts w:ascii="Times New Roman" w:eastAsia="Times New Roman" w:hAnsi="Times New Roman" w:cs="Times New Roman"/>
          <w:sz w:val="24"/>
          <w:szCs w:val="24"/>
          <w:lang w:val="en-US" w:eastAsia="pt-BR"/>
        </w:rPr>
        <w:t xml:space="preserve">and </w:t>
      </w:r>
      <w:r w:rsidRPr="00F76655">
        <w:rPr>
          <w:rFonts w:ascii="Times New Roman" w:eastAsia="Times New Roman" w:hAnsi="Times New Roman" w:cs="Times New Roman"/>
          <w:sz w:val="24"/>
          <w:szCs w:val="24"/>
          <w:lang w:val="en-US" w:eastAsia="pt-BR"/>
        </w:rPr>
        <w:lastRenderedPageBreak/>
        <w:t xml:space="preserve">one study (47) evaluated only depression as an internalizing symptom. Exposure to alcohol and tobacco, as a determinant of mental health, was also addressed in a study </w:t>
      </w:r>
      <w:r w:rsidR="00971CE1">
        <w:rPr>
          <w:rFonts w:ascii="Times New Roman" w:eastAsia="Times New Roman" w:hAnsi="Times New Roman" w:cs="Times New Roman"/>
          <w:sz w:val="24"/>
          <w:szCs w:val="24"/>
          <w:lang w:val="en-US" w:eastAsia="pt-BR"/>
        </w:rPr>
        <w:t>[42]</w:t>
      </w:r>
      <w:r w:rsidRPr="00F76655">
        <w:rPr>
          <w:rFonts w:ascii="Times New Roman" w:eastAsia="Times New Roman" w:hAnsi="Times New Roman" w:cs="Times New Roman"/>
          <w:sz w:val="24"/>
          <w:szCs w:val="24"/>
          <w:lang w:val="en-US" w:eastAsia="pt-BR"/>
        </w:rPr>
        <w:t xml:space="preserve">. On the other hand, some studies have focused their efforts on capturing positive aspects of adolescent mental health, such as positive mental health </w:t>
      </w:r>
      <w:r>
        <w:rPr>
          <w:rFonts w:ascii="Times New Roman" w:eastAsia="Times New Roman" w:hAnsi="Times New Roman" w:cs="Times New Roman"/>
          <w:sz w:val="24"/>
          <w:szCs w:val="24"/>
          <w:lang w:eastAsia="pt-BR"/>
        </w:rPr>
        <w:fldChar w:fldCharType="begin" w:fldLock="1"/>
      </w:r>
      <w:r w:rsidRPr="00F76655">
        <w:rPr>
          <w:rFonts w:ascii="Times New Roman" w:eastAsia="Times New Roman" w:hAnsi="Times New Roman" w:cs="Times New Roman"/>
          <w:sz w:val="24"/>
          <w:szCs w:val="24"/>
          <w:lang w:val="en-US" w:eastAsia="pt-BR"/>
        </w:rPr>
        <w:instrText>ADDIN CSL_CITATION {"citationItems":[{"id":"ITEM-1","itemData":{"DOI":"10.1016/j.ypmed.2020.106179","ISSN":"10960260","PMID":"32592793","abstract":"Movement behaviours (e.g., physical inactivity, short sleep duration, high screen time) are associated with mental illness but less is known about the relationship between health behaviours and positive mental health constructs such as flourishing. This study examines if changes in adherence to the Canadian 24-Hour Movement Behaviour Guidelines for Children and Youth (moderate-to-vigorous physical activity (MVPA), total screen time (ST), sleep) are associated with changes in youth flourishing over one year. Students (N = 2292) were recruited from 12 secondary schools in Canada participating in the COMPASS study. Conditional change models were used to analyze two waves of longitudinal questionnaire data from 2016–17 to 2017–18. One-year change in adherence to the MVPA, ST, and sleep duration guidelines were modeled as predictors of flourishing adjusting for covariates. Models were stratified by sex. For males only, meeting MVPA guidelines both years was associated with higher flourishing compared to males not meeting guidelines (Est:0.87, SE:0.36, p =.01). Reducing ST was associated with higher flourishing for males only relative to other males who continued to exceed the ST guideline</w:instrText>
      </w:r>
      <w:r>
        <w:rPr>
          <w:rFonts w:ascii="Times New Roman" w:eastAsia="Times New Roman" w:hAnsi="Times New Roman" w:cs="Times New Roman"/>
          <w:sz w:val="24"/>
          <w:szCs w:val="24"/>
          <w:lang w:eastAsia="pt-BR"/>
        </w:rPr>
        <w:instrText>s (Est:2.23, SE:1.04, p &lt;.03). Longer sleep duration had the most consistent association with greater flourishing among females (Est:1.02, SE:0.3, p &lt;.001) and males (Est:0.93, SE:0.34, p &lt;.006), highlighting sleep as a public health priority in the context of 24-hour movement behaviours. These findings contribute to increasing calls for research examining positive mental health constructs independent of mental illness.","author":[{"dropping-particle":"","family":"Faulkner","given":"Guy","non-dropping-particle":"","parse-names":false,"suffix":""},{"dropping-particle":"","family":"Weatherson","given":"Katie","non-dropping-particle":"","parse-names":false,"suffix":""},{"dropping-particle":"","family":"Patte","given":"Karen","non-dropping-particle":"","parse-names":false,"suffix":""},{"dropping-particle":"","family":"Qian","given":"Wei","non-dropping-particle":"","parse-names":false,"suffix":""},{"dropping-particle":"","family":"Leatherdale","given":"Scott T.","non-dropping-particle":"","parse-names":false,"suffix":""}],"container-title":"Preventive Medicine","id":"ITEM-1","issued":{"date-parts":[["2020","10","1"]]},"publisher":"Academic Press","title":"Are one-year changes in adherence to the 24-hour movement guidelines associated with flourishing among Canadian youth?","type":"article-journal","volume":"139"},"uris":["http://www.mendeley.com/documents/?uuid=6d77bc37-8090-3874-9e11-537693e1f02d"]}],"mendeley":{"formattedCitation":"(57)","manualFormatting":"(60)","plainTextFormattedCitation":"(57)","previouslyFormattedCitation":"(57)"},"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6F1A2D">
        <w:rPr>
          <w:rFonts w:ascii="Times New Roman" w:eastAsia="Times New Roman" w:hAnsi="Times New Roman" w:cs="Times New Roman"/>
          <w:noProof/>
          <w:sz w:val="24"/>
          <w:szCs w:val="24"/>
          <w:lang w:eastAsia="pt-BR"/>
        </w:rPr>
        <w:t>[43</w:t>
      </w:r>
      <w:r>
        <w:rPr>
          <w:rFonts w:ascii="Times New Roman" w:eastAsia="Times New Roman" w:hAnsi="Times New Roman" w:cs="Times New Roman"/>
          <w:sz w:val="24"/>
          <w:szCs w:val="24"/>
          <w:lang w:eastAsia="pt-BR"/>
        </w:rPr>
        <w:fldChar w:fldCharType="end"/>
      </w:r>
      <w:r w:rsidR="006F1A2D">
        <w:rPr>
          <w:rFonts w:ascii="Times New Roman" w:eastAsia="Times New Roman" w:hAnsi="Times New Roman" w:cs="Times New Roman"/>
          <w:sz w:val="24"/>
          <w:szCs w:val="24"/>
          <w:lang w:eastAsia="pt-BR"/>
        </w:rPr>
        <w:t>]</w:t>
      </w:r>
      <w:r w:rsidRPr="00431D51">
        <w:rPr>
          <w:rFonts w:ascii="Times New Roman" w:eastAsia="Times New Roman" w:hAnsi="Times New Roman" w:cs="Times New Roman"/>
          <w:sz w:val="24"/>
          <w:szCs w:val="24"/>
          <w:lang w:eastAsia="pt-BR"/>
        </w:rPr>
        <w:t xml:space="preserve">, psychological </w:t>
      </w:r>
      <w:r w:rsidR="00DB2568" w:rsidRPr="00431D51">
        <w:rPr>
          <w:rFonts w:ascii="Times New Roman" w:eastAsia="Times New Roman" w:hAnsi="Times New Roman" w:cs="Times New Roman"/>
          <w:sz w:val="24"/>
          <w:szCs w:val="24"/>
          <w:lang w:eastAsia="pt-BR"/>
        </w:rPr>
        <w:t>Well-Being</w:t>
      </w:r>
      <w:r>
        <w:rPr>
          <w:rFonts w:ascii="Times New Roman" w:eastAsia="Times New Roman" w:hAnsi="Times New Roman" w:cs="Times New Roman"/>
          <w:sz w:val="24"/>
          <w:szCs w:val="24"/>
          <w:lang w:eastAsia="pt-BR"/>
        </w:rPr>
        <w:t xml:space="preserve"> (38)</w:t>
      </w:r>
      <w:r w:rsidRPr="00431D51">
        <w:rPr>
          <w:rFonts w:ascii="Times New Roman" w:eastAsia="Times New Roman" w:hAnsi="Times New Roman" w:cs="Times New Roman"/>
          <w:sz w:val="24"/>
          <w:szCs w:val="24"/>
          <w:lang w:eastAsia="pt-BR"/>
        </w:rPr>
        <w:t xml:space="preserve">, </w:t>
      </w:r>
      <w:r w:rsidR="00DB2568" w:rsidRPr="00431D51">
        <w:rPr>
          <w:rFonts w:ascii="Times New Roman" w:eastAsia="Times New Roman" w:hAnsi="Times New Roman" w:cs="Times New Roman"/>
          <w:sz w:val="24"/>
          <w:szCs w:val="24"/>
          <w:lang w:eastAsia="pt-BR"/>
        </w:rPr>
        <w:t>Well-Being</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fldChar w:fldCharType="begin" w:fldLock="1"/>
      </w:r>
      <w:r>
        <w:rPr>
          <w:rFonts w:ascii="Times New Roman" w:eastAsia="Times New Roman" w:hAnsi="Times New Roman" w:cs="Times New Roman"/>
          <w:sz w:val="24"/>
          <w:szCs w:val="24"/>
          <w:lang w:eastAsia="pt-BR"/>
        </w:rPr>
        <w:instrText xml:space="preserve">ADDIN CSL_CITATION {"citationItems":[{"id":"ITEM-1","itemData":{"DOI":"10.3389/fnbeh.2021.736587","ISSN":"16625153","abstract":"Background: Studies have shown reallocating screen time for healthy movement behaviors such as physical activity and sleep can provide important benefits for mental health. However, the focus on positive aspects of mental health such as wellbeing has received limited attention, particularly among adolescents. The purpose of this study was to examine the effects of reallocating physical activity, screen time, and sleep on mental wellbeing in adolescents. Methods: This study involved cross-sectional analysis of data from Wave 1 of the ADAPT study. A total of 1,118 Canadian adolescents enrolled in grade 11 classes (MAGE = 15.92; 54.5% female) self-reported their movement behaviors using the International Physical Activity Questionnaire – Short Form to assess moderate-to-vigorous physical activity and daily recall questionnaires to assess recreational screen time and sleep. Participants also completed three measures of mental wellbeing: the Flourishing Scale, Rosenberg Self-Esteem Scale, and a brief Resiliency scale from the Canadian Campus Wellbeing Survey. Results: Isotemporal substitution analysis revealed replacing 60 min of screen time with either moderate-to-vigorous physical activity or sleep has significant benefits for mental wellbeing. Comparatively, reallocating 60 min between moderate-to-vigorous physical activity and sleep does not impact mental wellbeing. Discussion: Findings suggest healthy movement behaviors confer similar beneficial effects for adolescent’s mental wellbeing. Health promotion campaigns targeted toward adolescents should consider highlighting that reallocation of screen time to either sleep or moderate-to-vigorous physical activity may provide important benefits for mental wellbeing.","author":[{"dropping-particle":"","family":"Brown","given":"Denver M.Y.","non-dropping-particle":"","parse-names":false,"suffix":""},{"dropping-particle":"","family":"Kwan","given":"Matthew Y.W.","non-dropping-particle":"","parse-names":false,"suffix":""}],"container-title":"Frontiers in Behavioral Neuroscience","id":"ITEM-1","issued":{"date-parts":[["2021","10","5"]]},"publisher":"Frontiers Media S.A.","title":"Movement Behaviors and Mental Wellbeing: A Cross-Sectional Isotemporal Substitution Analysis of Canadian Adolescents","type":"article-journal","volume":"15"},"uris":["http://www.mendeley.com/documents/?uuid=220d8d60-3178-32d7-9f4e-04a3b829f534"]},{"id":"ITEM-2","itemData":{"DOI":"10.1136/bmjpo-2018-000335","ISSN":"23999772","abstract":"Objective To determine the modifiable factors influencing well-being in boys and girls by accounting for deprivation, ethnicity and clustering within local authorities. Methods We used data from a very large nationally representative survey, the What About Youth study involving 120 115 adolescents aged 15 years. Our outcome measure of mental well-being was the Warwick-Edinburgh Mental Wellbeing Scale (WEMWBS). Potential explanatory factors included substance abuse, screen time, eating habits, reading, bullying, sleeping pattern, physical activity and area-level deprivation. We ran unadjusted and adjusted multilevel models for each explanatory factor, after adjusting for ethnicity, deprivation and including a random effect for the local authority. Results Boys had a higher overall mean WEMWBS score than girls (p&lt;0.0001). In the adjusted model, each of multiple risk behaviours, eating habits, sleep, bullying, physical activity, screen-time and reading were independently associated with mental well-being in both boy and girls (p&lt;0.0001 for both). Sleep and eating behaviours had a stronger association in both sexes than bullying, physical activity and screen time. Young people from black ethnic groups had significantly higher well-being in both sexes. Deprivation was not associated with </w:instrText>
      </w:r>
      <w:r w:rsidRPr="00F76655">
        <w:rPr>
          <w:rFonts w:ascii="Times New Roman" w:eastAsia="Times New Roman" w:hAnsi="Times New Roman" w:cs="Times New Roman"/>
          <w:sz w:val="24"/>
          <w:szCs w:val="24"/>
          <w:lang w:val="en-US" w:eastAsia="pt-BR"/>
        </w:rPr>
        <w:instrText>well-being among boys but was among girls. Conclusion The largest contributors to adolescent well-being appear to be sleep, eating behaviours and bullying when considered in a multivariable framework. While adolescents from black ethnic groups had higher overall well-being scores, area deprivation did not affect male well-being but had a small effect on female well-being. Future longitudinal studies and health policies need to consider a range of behavioural factors to drive improvements in adolescent well-being.","author":[{"dropping-particle":"","family":"Gireesh","given":"Aswathikutty","non-dropping-particle":"","parse-names":false,"suffix":""},{"dropping-particle":"","family":"Das","given":"Shikta","non-dropping-particle":"","parse-names":false,"suffix":""},{"dropping-particle":"","family":"Viner","given":"Russell M","non-dropping-particle":"","parse-names":false,"suffix":""}],"container-title":"BMJ Paediatrics Open","id":"ITEM-2","issued":{"date-parts":[["2018"]]},"title":"Impact of health behaviours and deprivation on well-being in a national sample of English young people","type":"article-journal","volume":"2"},"uris":["http://www.mendeley.com/documents/?uuid=73ce6722-7f26-3a1e-a382-545664ffd81d"]}],"mendeley":{"formattedCitation":"(58,59)","manualFormatting":"(35,61,62)","plainTextFormattedCitation":"(58,59)","previouslyFormattedCitation":"(58,59)"},"properties":{"noteIndex":0},"schema":"https://github.com/citation-style-language/schema/raw/master/csl-citation.json"}</w:instrText>
      </w:r>
      <w:r>
        <w:rPr>
          <w:rFonts w:ascii="Times New Roman" w:eastAsia="Times New Roman" w:hAnsi="Times New Roman" w:cs="Times New Roman"/>
          <w:sz w:val="24"/>
          <w:szCs w:val="24"/>
          <w:lang w:eastAsia="pt-BR"/>
        </w:rPr>
        <w:fldChar w:fldCharType="separate"/>
      </w:r>
      <w:r w:rsidR="00A36D3F">
        <w:rPr>
          <w:rFonts w:ascii="Times New Roman" w:eastAsia="Times New Roman" w:hAnsi="Times New Roman" w:cs="Times New Roman"/>
          <w:noProof/>
          <w:sz w:val="24"/>
          <w:szCs w:val="24"/>
          <w:lang w:val="en-US" w:eastAsia="pt-BR"/>
        </w:rPr>
        <w:t>[32,54</w:t>
      </w:r>
      <w:r w:rsidR="002B3412">
        <w:rPr>
          <w:rFonts w:ascii="Times New Roman" w:eastAsia="Times New Roman" w:hAnsi="Times New Roman" w:cs="Times New Roman"/>
          <w:noProof/>
          <w:sz w:val="24"/>
          <w:szCs w:val="24"/>
          <w:lang w:val="en-US" w:eastAsia="pt-BR"/>
        </w:rPr>
        <w:t>,</w:t>
      </w:r>
      <w:r w:rsidR="00A36D3F">
        <w:rPr>
          <w:rFonts w:ascii="Times New Roman" w:eastAsia="Times New Roman" w:hAnsi="Times New Roman" w:cs="Times New Roman"/>
          <w:noProof/>
          <w:sz w:val="24"/>
          <w:szCs w:val="24"/>
          <w:lang w:val="en-US" w:eastAsia="pt-BR"/>
        </w:rPr>
        <w:t>59</w:t>
      </w:r>
      <w:r w:rsidR="002B3412">
        <w:rPr>
          <w:rFonts w:ascii="Times New Roman" w:eastAsia="Times New Roman" w:hAnsi="Times New Roman" w:cs="Times New Roman"/>
          <w:noProof/>
          <w:sz w:val="24"/>
          <w:szCs w:val="24"/>
          <w:lang w:val="en-US" w:eastAsia="pt-BR"/>
        </w:rPr>
        <w:t>]</w:t>
      </w:r>
      <w:r w:rsidR="00A36D3F">
        <w:rPr>
          <w:rFonts w:ascii="Times New Roman" w:eastAsia="Times New Roman" w:hAnsi="Times New Roman" w:cs="Times New Roman"/>
          <w:noProof/>
          <w:sz w:val="24"/>
          <w:szCs w:val="24"/>
          <w:lang w:val="en-US" w:eastAsia="pt-BR"/>
        </w:rPr>
        <w:t xml:space="preserve"> </w:t>
      </w:r>
      <w:r>
        <w:rPr>
          <w:rFonts w:ascii="Times New Roman" w:eastAsia="Times New Roman" w:hAnsi="Times New Roman" w:cs="Times New Roman"/>
          <w:sz w:val="24"/>
          <w:szCs w:val="24"/>
          <w:lang w:eastAsia="pt-BR"/>
        </w:rPr>
        <w:fldChar w:fldCharType="end"/>
      </w:r>
      <w:r w:rsidRPr="00F76655">
        <w:rPr>
          <w:rFonts w:ascii="Times New Roman" w:eastAsia="Times New Roman" w:hAnsi="Times New Roman" w:cs="Times New Roman"/>
          <w:sz w:val="24"/>
          <w:szCs w:val="24"/>
          <w:lang w:val="en-US" w:eastAsia="pt-BR"/>
        </w:rPr>
        <w:t>.</w:t>
      </w:r>
    </w:p>
    <w:p w14:paraId="7F52D56F" w14:textId="77777777" w:rsidR="00F76655" w:rsidRPr="00F76655" w:rsidRDefault="00F76655" w:rsidP="00F76655">
      <w:pPr>
        <w:spacing w:after="0" w:line="480" w:lineRule="auto"/>
        <w:ind w:firstLine="708"/>
        <w:jc w:val="both"/>
        <w:rPr>
          <w:rFonts w:ascii="Times New Roman" w:eastAsia="Times New Roman" w:hAnsi="Times New Roman" w:cs="Times New Roman"/>
          <w:sz w:val="24"/>
          <w:szCs w:val="24"/>
          <w:lang w:val="en-US" w:eastAsia="pt-BR"/>
        </w:rPr>
      </w:pPr>
      <w:r w:rsidRPr="00F76655">
        <w:rPr>
          <w:rFonts w:ascii="Times New Roman" w:eastAsia="Times New Roman" w:hAnsi="Times New Roman" w:cs="Times New Roman"/>
          <w:sz w:val="24"/>
          <w:szCs w:val="24"/>
          <w:lang w:val="en-US" w:eastAsia="pt-BR"/>
        </w:rPr>
        <w:t>Due to the geographic and methodological diversity of the included studies, 42 scales used to assess the mental health of adolescents were identified. The most used scales were the 10-item Center for Epidemiologic Studies Depression Scale Revised−10 (CESD-R-10), Rosenberg Self-Esteem Scale, Strengths and Difficulties Questionnaire (SDQ), Short Form of the Mood and Feelings Questionnaire (SMFQ) and the Diener's Flourishing Scale.</w:t>
      </w:r>
    </w:p>
    <w:p w14:paraId="70533C2C" w14:textId="77777777" w:rsidR="00F76655" w:rsidRPr="00F76655" w:rsidRDefault="00F76655">
      <w:pPr>
        <w:rPr>
          <w:lang w:val="en-US"/>
        </w:rPr>
      </w:pPr>
    </w:p>
    <w:sectPr w:rsidR="00F76655" w:rsidRPr="00F766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55"/>
    <w:rsid w:val="0004512B"/>
    <w:rsid w:val="00066B2E"/>
    <w:rsid w:val="000742B3"/>
    <w:rsid w:val="000B3AA7"/>
    <w:rsid w:val="00107EC7"/>
    <w:rsid w:val="00154E31"/>
    <w:rsid w:val="00174A28"/>
    <w:rsid w:val="001D0718"/>
    <w:rsid w:val="002536AA"/>
    <w:rsid w:val="002B3412"/>
    <w:rsid w:val="002B7BD5"/>
    <w:rsid w:val="002D43A6"/>
    <w:rsid w:val="003014BE"/>
    <w:rsid w:val="00400A3C"/>
    <w:rsid w:val="004028F5"/>
    <w:rsid w:val="004A58C9"/>
    <w:rsid w:val="00641BB6"/>
    <w:rsid w:val="00654184"/>
    <w:rsid w:val="00664768"/>
    <w:rsid w:val="006D54A1"/>
    <w:rsid w:val="006F1A2D"/>
    <w:rsid w:val="00754165"/>
    <w:rsid w:val="00755EE5"/>
    <w:rsid w:val="007B0C5D"/>
    <w:rsid w:val="00816580"/>
    <w:rsid w:val="008B09CA"/>
    <w:rsid w:val="00971CE1"/>
    <w:rsid w:val="00987D96"/>
    <w:rsid w:val="009A2EAD"/>
    <w:rsid w:val="009C2C83"/>
    <w:rsid w:val="00A22936"/>
    <w:rsid w:val="00A24A55"/>
    <w:rsid w:val="00A36D3F"/>
    <w:rsid w:val="00A66E44"/>
    <w:rsid w:val="00B131F0"/>
    <w:rsid w:val="00B23D52"/>
    <w:rsid w:val="00B45131"/>
    <w:rsid w:val="00B477CF"/>
    <w:rsid w:val="00BB0DB0"/>
    <w:rsid w:val="00BC5B19"/>
    <w:rsid w:val="00BF0E25"/>
    <w:rsid w:val="00C355B7"/>
    <w:rsid w:val="00C664D0"/>
    <w:rsid w:val="00C76601"/>
    <w:rsid w:val="00C8680C"/>
    <w:rsid w:val="00CF072A"/>
    <w:rsid w:val="00CF3337"/>
    <w:rsid w:val="00D40D1E"/>
    <w:rsid w:val="00D65F51"/>
    <w:rsid w:val="00D9294E"/>
    <w:rsid w:val="00DB2568"/>
    <w:rsid w:val="00DE3713"/>
    <w:rsid w:val="00E27DCC"/>
    <w:rsid w:val="00E66F40"/>
    <w:rsid w:val="00E802BB"/>
    <w:rsid w:val="00E83661"/>
    <w:rsid w:val="00F04730"/>
    <w:rsid w:val="00F76655"/>
    <w:rsid w:val="00FB5A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C1D3"/>
  <w15:chartTrackingRefBased/>
  <w15:docId w15:val="{BD626D22-EA63-47E7-AF6F-C0A3146B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665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9271</Words>
  <Characters>50069</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Maria</dc:creator>
  <cp:keywords/>
  <dc:description/>
  <cp:lastModifiedBy>Renata Maria</cp:lastModifiedBy>
  <cp:revision>58</cp:revision>
  <dcterms:created xsi:type="dcterms:W3CDTF">2023-01-16T14:33:00Z</dcterms:created>
  <dcterms:modified xsi:type="dcterms:W3CDTF">2023-01-29T14:15:00Z</dcterms:modified>
</cp:coreProperties>
</file>