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81440B" w14:textId="3C11B2A4" w:rsidR="00C60ED6" w:rsidRPr="00C60ED6" w:rsidRDefault="00C60ED6" w:rsidP="00C60ED6">
      <w:pPr>
        <w:rPr>
          <w:b/>
          <w:sz w:val="28"/>
        </w:rPr>
      </w:pPr>
      <w:r w:rsidRPr="00C60ED6">
        <w:rPr>
          <w:b/>
          <w:sz w:val="28"/>
        </w:rPr>
        <w:t xml:space="preserve">Experiences of parents of children with rare neurogenetic conditions during the COVID-19 pandemic: an interpretative phenomenological analysis, Additional File 1. </w:t>
      </w:r>
    </w:p>
    <w:p w14:paraId="20BDD3DC" w14:textId="44433EF4" w:rsidR="00C60ED6" w:rsidRDefault="00C60ED6" w:rsidP="00C60ED6">
      <w:pPr>
        <w:rPr>
          <w:b/>
          <w:sz w:val="28"/>
        </w:rPr>
      </w:pPr>
      <w:bookmarkStart w:id="0" w:name="_Toc108528721"/>
    </w:p>
    <w:p w14:paraId="6A1CFC9A" w14:textId="33CED493" w:rsidR="004A203A" w:rsidRPr="00C60ED6" w:rsidRDefault="0086507B" w:rsidP="00C60ED6">
      <w:pPr>
        <w:rPr>
          <w:rFonts w:cstheme="minorHAnsi"/>
          <w:b/>
          <w:sz w:val="28"/>
        </w:rPr>
      </w:pPr>
      <w:r w:rsidRPr="00C60ED6">
        <w:rPr>
          <w:b/>
          <w:sz w:val="28"/>
        </w:rPr>
        <w:t>Supplementary Information</w:t>
      </w:r>
      <w:bookmarkEnd w:id="0"/>
      <w:r w:rsidRPr="00C60ED6">
        <w:rPr>
          <w:b/>
          <w:sz w:val="28"/>
        </w:rPr>
        <w:t xml:space="preserve"> </w:t>
      </w:r>
    </w:p>
    <w:p w14:paraId="3C98CF0E" w14:textId="77777777" w:rsidR="00AA4825" w:rsidRDefault="00AA4825" w:rsidP="00C60ED6">
      <w:pPr>
        <w:pStyle w:val="Heading3"/>
      </w:pPr>
      <w:bookmarkStart w:id="1" w:name="_Toc108528722"/>
    </w:p>
    <w:p w14:paraId="3BE5F67A" w14:textId="27CB4813" w:rsidR="00AA4825" w:rsidRPr="00C60ED6" w:rsidRDefault="00C14841" w:rsidP="00C60ED6">
      <w:pPr>
        <w:rPr>
          <w:b/>
        </w:rPr>
      </w:pPr>
      <w:r w:rsidRPr="00C60ED6">
        <w:rPr>
          <w:b/>
        </w:rPr>
        <w:t>Reflexivity Statement</w:t>
      </w:r>
      <w:bookmarkEnd w:id="1"/>
      <w:r w:rsidRPr="00C60ED6">
        <w:rPr>
          <w:b/>
        </w:rPr>
        <w:t xml:space="preserve"> </w:t>
      </w:r>
    </w:p>
    <w:p w14:paraId="0769737B" w14:textId="13D270D7" w:rsidR="00AA4825" w:rsidRDefault="0018232E" w:rsidP="00C60ED6">
      <w:pPr>
        <w:rPr>
          <w:sz w:val="22"/>
        </w:rPr>
      </w:pPr>
      <w:r w:rsidRPr="00AA4825">
        <w:rPr>
          <w:sz w:val="22"/>
        </w:rPr>
        <w:t>Reflexivity is an essential component of qualitative research and involves ‘self-monitoring of, and a self-responding to, our t</w:t>
      </w:r>
      <w:r w:rsidR="00F03EB8" w:rsidRPr="00AA4825">
        <w:rPr>
          <w:sz w:val="22"/>
        </w:rPr>
        <w:t xml:space="preserve">houghts, feelings and actions’ </w:t>
      </w:r>
      <w:r w:rsidR="003C573F" w:rsidRPr="00AA4825">
        <w:rPr>
          <w:noProof/>
          <w:sz w:val="22"/>
        </w:rPr>
        <w:t>(1, p. 337)</w:t>
      </w:r>
      <w:r w:rsidR="003C573F" w:rsidRPr="00AA4825">
        <w:rPr>
          <w:sz w:val="22"/>
        </w:rPr>
        <w:t xml:space="preserve">. </w:t>
      </w:r>
    </w:p>
    <w:p w14:paraId="51B79669" w14:textId="77777777" w:rsidR="00AA4825" w:rsidRDefault="00AA4825" w:rsidP="00C60ED6">
      <w:pPr>
        <w:pStyle w:val="Heading3"/>
      </w:pPr>
    </w:p>
    <w:p w14:paraId="2A542292" w14:textId="569CA01F" w:rsidR="00C14841" w:rsidRPr="00C60ED6" w:rsidRDefault="00C14841" w:rsidP="00C60ED6">
      <w:pPr>
        <w:rPr>
          <w:b/>
          <w:sz w:val="22"/>
        </w:rPr>
      </w:pPr>
      <w:r w:rsidRPr="00C60ED6">
        <w:rPr>
          <w:b/>
        </w:rPr>
        <w:t>Prior assumptions and experience</w:t>
      </w:r>
    </w:p>
    <w:p w14:paraId="7A0F8098" w14:textId="7BE465D4" w:rsidR="00BA0DBE" w:rsidRDefault="00BA0DBE" w:rsidP="00BA0DBE">
      <w:pPr>
        <w:rPr>
          <w:sz w:val="22"/>
          <w:szCs w:val="22"/>
        </w:rPr>
      </w:pPr>
      <w:r>
        <w:rPr>
          <w:sz w:val="22"/>
          <w:szCs w:val="22"/>
        </w:rPr>
        <w:t xml:space="preserve">Authors who were involved in the collection, pre-processing and analysis of data, needed to take in to account the ways in which their interactions with participants and participants’ data could be shaped by their own professional and personal background, experience, and prior assumptions. The two researchers (JM and KR) who had face-to-face contact with the participants during their interviews, which were conducted remotely using video conferencing software, were both early career researchers in psychology. The interviews were conducted by JM and over half were observed by KR. Verbatim transcription was completed by KR. IPA analysis was completed by JM. During data collection and transcription, </w:t>
      </w:r>
      <w:r w:rsidRPr="00B304B4">
        <w:rPr>
          <w:sz w:val="22"/>
          <w:szCs w:val="22"/>
        </w:rPr>
        <w:t>JM was a research assistant and KR was an honorary research assistant</w:t>
      </w:r>
      <w:r>
        <w:rPr>
          <w:sz w:val="22"/>
          <w:szCs w:val="22"/>
        </w:rPr>
        <w:t xml:space="preserve">. Whilst analysing the data and preparing the manuscript, </w:t>
      </w:r>
      <w:r w:rsidRPr="00B304B4">
        <w:rPr>
          <w:sz w:val="22"/>
          <w:szCs w:val="22"/>
        </w:rPr>
        <w:t xml:space="preserve">JM </w:t>
      </w:r>
      <w:r>
        <w:rPr>
          <w:sz w:val="22"/>
          <w:szCs w:val="22"/>
        </w:rPr>
        <w:t xml:space="preserve">was a </w:t>
      </w:r>
      <w:r w:rsidRPr="00B304B4">
        <w:rPr>
          <w:sz w:val="22"/>
          <w:szCs w:val="22"/>
        </w:rPr>
        <w:t xml:space="preserve">PhD student in medical sciences and KR </w:t>
      </w:r>
      <w:r>
        <w:rPr>
          <w:sz w:val="22"/>
          <w:szCs w:val="22"/>
        </w:rPr>
        <w:t>was</w:t>
      </w:r>
      <w:r w:rsidRPr="00B304B4">
        <w:rPr>
          <w:sz w:val="22"/>
          <w:szCs w:val="22"/>
        </w:rPr>
        <w:t xml:space="preserve"> a</w:t>
      </w:r>
      <w:r>
        <w:rPr>
          <w:sz w:val="22"/>
          <w:szCs w:val="22"/>
        </w:rPr>
        <w:t xml:space="preserve"> graduate in </w:t>
      </w:r>
      <w:r w:rsidRPr="00B304B4">
        <w:rPr>
          <w:sz w:val="22"/>
          <w:szCs w:val="22"/>
        </w:rPr>
        <w:t>psychology</w:t>
      </w:r>
      <w:r>
        <w:rPr>
          <w:sz w:val="22"/>
          <w:szCs w:val="22"/>
        </w:rPr>
        <w:t xml:space="preserve">. </w:t>
      </w:r>
    </w:p>
    <w:p w14:paraId="61D9B961" w14:textId="77777777" w:rsidR="00AA4825" w:rsidRDefault="00AA4825" w:rsidP="00C60ED6"/>
    <w:p w14:paraId="2F3295D4" w14:textId="12CD1CE2" w:rsidR="0018232E" w:rsidRPr="00C60ED6" w:rsidRDefault="0018232E" w:rsidP="00C60ED6">
      <w:pPr>
        <w:rPr>
          <w:b/>
          <w:sz w:val="22"/>
          <w:szCs w:val="22"/>
        </w:rPr>
      </w:pPr>
      <w:r w:rsidRPr="00C60ED6">
        <w:rPr>
          <w:b/>
        </w:rPr>
        <w:t>Relationship with Participants</w:t>
      </w:r>
    </w:p>
    <w:p w14:paraId="30FCEFA1" w14:textId="415C7DF1" w:rsidR="0086507B" w:rsidRDefault="0016478A" w:rsidP="00C60ED6">
      <w:pPr>
        <w:rPr>
          <w:sz w:val="22"/>
          <w:szCs w:val="22"/>
        </w:rPr>
      </w:pPr>
      <w:r>
        <w:rPr>
          <w:sz w:val="22"/>
          <w:szCs w:val="22"/>
        </w:rPr>
        <w:t>No members of the research team</w:t>
      </w:r>
      <w:r w:rsidR="00582704" w:rsidRPr="00B304B4">
        <w:rPr>
          <w:sz w:val="22"/>
          <w:szCs w:val="22"/>
        </w:rPr>
        <w:t xml:space="preserve"> </w:t>
      </w:r>
      <w:r>
        <w:rPr>
          <w:sz w:val="22"/>
          <w:szCs w:val="22"/>
        </w:rPr>
        <w:t xml:space="preserve">had </w:t>
      </w:r>
      <w:r w:rsidR="00582704" w:rsidRPr="00B304B4">
        <w:rPr>
          <w:sz w:val="22"/>
          <w:szCs w:val="22"/>
        </w:rPr>
        <w:t>a prior relationship with participants</w:t>
      </w:r>
      <w:r w:rsidR="00582704">
        <w:rPr>
          <w:sz w:val="22"/>
          <w:szCs w:val="22"/>
        </w:rPr>
        <w:t>.</w:t>
      </w:r>
    </w:p>
    <w:p w14:paraId="14584C77" w14:textId="6FA77016" w:rsidR="006518A2" w:rsidRDefault="006518A2" w:rsidP="00C60ED6">
      <w:pPr>
        <w:rPr>
          <w:sz w:val="22"/>
          <w:szCs w:val="22"/>
        </w:rPr>
      </w:pPr>
    </w:p>
    <w:p w14:paraId="64341539" w14:textId="0DD56771" w:rsidR="006518A2" w:rsidRDefault="006518A2" w:rsidP="006518A2">
      <w:pPr>
        <w:rPr>
          <w:b/>
          <w:szCs w:val="22"/>
        </w:rPr>
      </w:pPr>
      <w:r w:rsidRPr="00702F99">
        <w:rPr>
          <w:b/>
          <w:szCs w:val="22"/>
        </w:rPr>
        <w:t>IPA Analysis Steps</w:t>
      </w:r>
    </w:p>
    <w:p w14:paraId="4EEE0535" w14:textId="226B92DD" w:rsidR="00702F99" w:rsidRPr="00702F99" w:rsidRDefault="00702F99" w:rsidP="006518A2">
      <w:pPr>
        <w:rPr>
          <w:b/>
          <w:sz w:val="22"/>
          <w:szCs w:val="22"/>
        </w:rPr>
      </w:pPr>
      <w:r w:rsidRPr="00702F99">
        <w:rPr>
          <w:sz w:val="22"/>
        </w:rPr>
        <w:t xml:space="preserve">Lead author (JM) flexibly employed the processes and principles of IPA outlined in Smith, Flowers and Larkin’s </w:t>
      </w:r>
      <w:r w:rsidRPr="00702F99">
        <w:rPr>
          <w:noProof/>
          <w:sz w:val="22"/>
        </w:rPr>
        <w:t>(2)</w:t>
      </w:r>
      <w:r w:rsidRPr="00702F99">
        <w:rPr>
          <w:sz w:val="22"/>
        </w:rPr>
        <w:t xml:space="preserve"> guide for completing high quality IPA. Analysis steps are outlined below: </w:t>
      </w:r>
    </w:p>
    <w:p w14:paraId="3D1F0F5D" w14:textId="77777777" w:rsidR="006518A2" w:rsidRPr="006518A2" w:rsidRDefault="006518A2" w:rsidP="006518A2">
      <w:pPr>
        <w:numPr>
          <w:ilvl w:val="0"/>
          <w:numId w:val="1"/>
        </w:numPr>
        <w:rPr>
          <w:sz w:val="22"/>
          <w:szCs w:val="22"/>
        </w:rPr>
      </w:pPr>
      <w:r w:rsidRPr="006518A2">
        <w:rPr>
          <w:b/>
          <w:bCs/>
          <w:sz w:val="22"/>
          <w:szCs w:val="22"/>
        </w:rPr>
        <w:t>Reading and re-reading:</w:t>
      </w:r>
      <w:r w:rsidRPr="006518A2">
        <w:rPr>
          <w:sz w:val="22"/>
          <w:szCs w:val="22"/>
        </w:rPr>
        <w:t xml:space="preserve"> familiarisation with interview content, by watching recordings and reading transcripts. Initial thoughts were noted down separately and addressed in the next step. </w:t>
      </w:r>
    </w:p>
    <w:p w14:paraId="6B9D2C96" w14:textId="77777777" w:rsidR="006518A2" w:rsidRPr="006518A2" w:rsidRDefault="006518A2" w:rsidP="006518A2">
      <w:pPr>
        <w:numPr>
          <w:ilvl w:val="0"/>
          <w:numId w:val="1"/>
        </w:numPr>
        <w:rPr>
          <w:sz w:val="22"/>
          <w:szCs w:val="22"/>
        </w:rPr>
      </w:pPr>
      <w:r w:rsidRPr="006518A2">
        <w:rPr>
          <w:b/>
          <w:bCs/>
          <w:sz w:val="22"/>
          <w:szCs w:val="22"/>
        </w:rPr>
        <w:t>Initial noting:</w:t>
      </w:r>
      <w:r w:rsidRPr="006518A2">
        <w:rPr>
          <w:sz w:val="22"/>
          <w:szCs w:val="22"/>
        </w:rPr>
        <w:t xml:space="preserve"> the semantic content and use of language was explored using three levels of comments: (1) descriptive comments described the content of what the participant had said (i.e., things that mattered to the participant – key objects, events and experiences); (2) linguistic comments explored the use of language by the participant (e.g., pauses, laughter, tone, use of metaphors); and (3) conceptual comments examined abstract concepts which make sense of participants understanding of what they have described in the interview (e.g., if the participants descriptions of their experiences were embedded in time, it could suggest they have come to terms with it now, or they experienced periods where they were more vulnerable). These comments were written next to the transcript. </w:t>
      </w:r>
    </w:p>
    <w:p w14:paraId="07C4737A" w14:textId="77777777" w:rsidR="006518A2" w:rsidRPr="006518A2" w:rsidRDefault="006518A2" w:rsidP="006518A2">
      <w:pPr>
        <w:numPr>
          <w:ilvl w:val="0"/>
          <w:numId w:val="1"/>
        </w:numPr>
        <w:rPr>
          <w:sz w:val="22"/>
          <w:szCs w:val="22"/>
        </w:rPr>
      </w:pPr>
      <w:r w:rsidRPr="006518A2">
        <w:rPr>
          <w:b/>
          <w:bCs/>
          <w:sz w:val="22"/>
          <w:szCs w:val="22"/>
        </w:rPr>
        <w:t>Developing emergent themes:</w:t>
      </w:r>
      <w:r w:rsidRPr="006518A2">
        <w:rPr>
          <w:sz w:val="22"/>
          <w:szCs w:val="22"/>
        </w:rPr>
        <w:t xml:space="preserve"> initial notes were summarised into pithy statements in the context of discrete sections of the interview and the interview as a whole, and commented on the transcript alongside initial notes. </w:t>
      </w:r>
    </w:p>
    <w:p w14:paraId="168EC1E6" w14:textId="293F608E" w:rsidR="006518A2" w:rsidRPr="006518A2" w:rsidRDefault="006518A2" w:rsidP="006518A2">
      <w:pPr>
        <w:numPr>
          <w:ilvl w:val="0"/>
          <w:numId w:val="1"/>
        </w:numPr>
        <w:rPr>
          <w:sz w:val="22"/>
          <w:szCs w:val="22"/>
        </w:rPr>
      </w:pPr>
      <w:r w:rsidRPr="006518A2">
        <w:rPr>
          <w:b/>
          <w:bCs/>
          <w:sz w:val="22"/>
          <w:szCs w:val="22"/>
        </w:rPr>
        <w:t>Searching for connections across emergent themes:</w:t>
      </w:r>
      <w:r w:rsidRPr="006518A2">
        <w:rPr>
          <w:sz w:val="22"/>
          <w:szCs w:val="22"/>
        </w:rPr>
        <w:t xml:space="preserve"> a chronological list of emergent themes was generated and eyeballed to generate clusters using multiple grouping techniques (see </w:t>
      </w:r>
      <w:r w:rsidR="00702F99" w:rsidRPr="00702F99">
        <w:rPr>
          <w:noProof/>
          <w:sz w:val="22"/>
          <w:szCs w:val="22"/>
        </w:rPr>
        <w:t>(2)</w:t>
      </w:r>
      <w:r w:rsidR="00DB77A0">
        <w:rPr>
          <w:sz w:val="22"/>
          <w:szCs w:val="22"/>
        </w:rPr>
        <w:t>)</w:t>
      </w:r>
      <w:r w:rsidRPr="006518A2">
        <w:rPr>
          <w:sz w:val="22"/>
          <w:szCs w:val="22"/>
        </w:rPr>
        <w:t xml:space="preserve">. Each cluster was given a gestalt title and then evidence from the transcript was extracted for each emergent theme within the cluster (‘superordinate theme’). </w:t>
      </w:r>
    </w:p>
    <w:p w14:paraId="7DB15F54" w14:textId="77777777" w:rsidR="006518A2" w:rsidRPr="006518A2" w:rsidRDefault="006518A2" w:rsidP="006518A2">
      <w:pPr>
        <w:numPr>
          <w:ilvl w:val="0"/>
          <w:numId w:val="1"/>
        </w:numPr>
        <w:rPr>
          <w:sz w:val="22"/>
          <w:szCs w:val="22"/>
        </w:rPr>
      </w:pPr>
      <w:r w:rsidRPr="006518A2">
        <w:rPr>
          <w:b/>
          <w:bCs/>
          <w:sz w:val="22"/>
          <w:szCs w:val="22"/>
        </w:rPr>
        <w:t>Moving to the next case:</w:t>
      </w:r>
      <w:r w:rsidRPr="006518A2">
        <w:rPr>
          <w:sz w:val="22"/>
          <w:szCs w:val="22"/>
        </w:rPr>
        <w:t xml:space="preserve"> a break was taken between analysis of each transcript to facilitate separation between cases and the emergence of novel themes. </w:t>
      </w:r>
    </w:p>
    <w:p w14:paraId="18A3245C" w14:textId="4FE34039" w:rsidR="006518A2" w:rsidRDefault="006518A2" w:rsidP="006518A2">
      <w:pPr>
        <w:numPr>
          <w:ilvl w:val="0"/>
          <w:numId w:val="1"/>
        </w:numPr>
        <w:rPr>
          <w:sz w:val="22"/>
          <w:szCs w:val="22"/>
        </w:rPr>
      </w:pPr>
      <w:r w:rsidRPr="006518A2">
        <w:rPr>
          <w:b/>
          <w:bCs/>
          <w:sz w:val="22"/>
          <w:szCs w:val="22"/>
        </w:rPr>
        <w:lastRenderedPageBreak/>
        <w:t>Looking for patterns across cases:</w:t>
      </w:r>
      <w:r w:rsidRPr="006518A2">
        <w:rPr>
          <w:sz w:val="22"/>
          <w:szCs w:val="22"/>
        </w:rPr>
        <w:t xml:space="preserve"> a list of superordinate themes was generated for each case and examined for commonalities, by exploring how themes echoed and resonated across cases. An inductive approach to the examination of patterns, in which researchers hypothesised themes and revisited how they were experienced by each case, was adopted to increase the validity of theme generation across cases. </w:t>
      </w:r>
    </w:p>
    <w:p w14:paraId="1868D679" w14:textId="70541F50" w:rsidR="00E04EBB" w:rsidRPr="006518A2" w:rsidRDefault="00E04EBB" w:rsidP="00E04EBB">
      <w:pPr>
        <w:rPr>
          <w:sz w:val="22"/>
          <w:szCs w:val="22"/>
        </w:rPr>
      </w:pPr>
    </w:p>
    <w:p w14:paraId="4E40B15F" w14:textId="77777777" w:rsidR="000901DF" w:rsidRPr="00E04EBB" w:rsidRDefault="000901DF" w:rsidP="000901DF">
      <w:pPr>
        <w:rPr>
          <w:b/>
          <w:sz w:val="22"/>
          <w:szCs w:val="22"/>
        </w:rPr>
      </w:pPr>
      <w:proofErr w:type="spellStart"/>
      <w:r>
        <w:rPr>
          <w:b/>
          <w:sz w:val="22"/>
          <w:szCs w:val="22"/>
        </w:rPr>
        <w:t>CoIN</w:t>
      </w:r>
      <w:proofErr w:type="spellEnd"/>
      <w:r>
        <w:rPr>
          <w:b/>
          <w:sz w:val="22"/>
          <w:szCs w:val="22"/>
        </w:rPr>
        <w:t xml:space="preserve"> </w:t>
      </w:r>
      <w:r w:rsidRPr="00E04EBB">
        <w:rPr>
          <w:b/>
          <w:sz w:val="22"/>
          <w:szCs w:val="22"/>
        </w:rPr>
        <w:t>Study group</w:t>
      </w:r>
    </w:p>
    <w:p w14:paraId="22E1653A" w14:textId="77777777" w:rsidR="000901DF" w:rsidRPr="00E04EBB" w:rsidRDefault="000901DF" w:rsidP="000901DF">
      <w:pPr>
        <w:rPr>
          <w:sz w:val="22"/>
          <w:szCs w:val="22"/>
        </w:rPr>
      </w:pPr>
      <w:r w:rsidRPr="00E04EBB">
        <w:rPr>
          <w:sz w:val="22"/>
          <w:szCs w:val="22"/>
        </w:rPr>
        <w:t>Michael Absoud</w:t>
      </w:r>
      <w:r>
        <w:rPr>
          <w:sz w:val="22"/>
          <w:szCs w:val="22"/>
          <w:vertAlign w:val="superscript"/>
        </w:rPr>
        <w:t>1</w:t>
      </w:r>
      <w:r w:rsidRPr="00E04EBB">
        <w:rPr>
          <w:sz w:val="22"/>
          <w:szCs w:val="22"/>
        </w:rPr>
        <w:t>, Kate Baker</w:t>
      </w:r>
      <w:r w:rsidRPr="00E04EBB">
        <w:rPr>
          <w:sz w:val="22"/>
          <w:szCs w:val="22"/>
          <w:vertAlign w:val="superscript"/>
        </w:rPr>
        <w:t>2</w:t>
      </w:r>
      <w:r w:rsidRPr="00E04EBB">
        <w:rPr>
          <w:sz w:val="22"/>
          <w:szCs w:val="22"/>
        </w:rPr>
        <w:t>, Ted Barker</w:t>
      </w:r>
      <w:r>
        <w:rPr>
          <w:sz w:val="22"/>
          <w:szCs w:val="22"/>
          <w:vertAlign w:val="superscript"/>
        </w:rPr>
        <w:t>3</w:t>
      </w:r>
      <w:r w:rsidRPr="00E04EBB">
        <w:rPr>
          <w:sz w:val="22"/>
          <w:szCs w:val="22"/>
        </w:rPr>
        <w:t>, Patrick Bolton</w:t>
      </w:r>
      <w:r>
        <w:rPr>
          <w:sz w:val="22"/>
          <w:szCs w:val="22"/>
          <w:vertAlign w:val="superscript"/>
        </w:rPr>
        <w:t>4</w:t>
      </w:r>
      <w:r w:rsidRPr="00E04EBB">
        <w:rPr>
          <w:sz w:val="22"/>
          <w:szCs w:val="22"/>
        </w:rPr>
        <w:t>, Sarah Charles</w:t>
      </w:r>
      <w:r>
        <w:rPr>
          <w:sz w:val="22"/>
          <w:szCs w:val="22"/>
          <w:vertAlign w:val="superscript"/>
        </w:rPr>
        <w:t>3</w:t>
      </w:r>
      <w:r w:rsidRPr="00E04EBB">
        <w:rPr>
          <w:sz w:val="22"/>
          <w:szCs w:val="22"/>
        </w:rPr>
        <w:t>, Hayley Crawford</w:t>
      </w:r>
      <w:r>
        <w:rPr>
          <w:sz w:val="22"/>
          <w:szCs w:val="22"/>
          <w:vertAlign w:val="superscript"/>
        </w:rPr>
        <w:t>5</w:t>
      </w:r>
      <w:r w:rsidRPr="00E04EBB">
        <w:rPr>
          <w:sz w:val="22"/>
          <w:szCs w:val="22"/>
        </w:rPr>
        <w:t>, Emily Farran</w:t>
      </w:r>
      <w:r>
        <w:rPr>
          <w:sz w:val="22"/>
          <w:szCs w:val="22"/>
          <w:vertAlign w:val="superscript"/>
        </w:rPr>
        <w:t>6</w:t>
      </w:r>
      <w:r w:rsidRPr="00E04EBB">
        <w:rPr>
          <w:sz w:val="22"/>
          <w:szCs w:val="22"/>
        </w:rPr>
        <w:t>, Megan Freeth</w:t>
      </w:r>
      <w:r>
        <w:rPr>
          <w:sz w:val="22"/>
          <w:szCs w:val="22"/>
          <w:vertAlign w:val="superscript"/>
        </w:rPr>
        <w:t>7</w:t>
      </w:r>
      <w:r w:rsidRPr="00E04EBB">
        <w:rPr>
          <w:sz w:val="22"/>
          <w:szCs w:val="22"/>
        </w:rPr>
        <w:t>, Emily Jones</w:t>
      </w:r>
      <w:r>
        <w:rPr>
          <w:sz w:val="22"/>
          <w:szCs w:val="22"/>
          <w:vertAlign w:val="superscript"/>
        </w:rPr>
        <w:t>8</w:t>
      </w:r>
      <w:r w:rsidRPr="00E04EBB">
        <w:rPr>
          <w:sz w:val="22"/>
          <w:szCs w:val="22"/>
        </w:rPr>
        <w:t>, Jessica Martin</w:t>
      </w:r>
      <w:r>
        <w:rPr>
          <w:sz w:val="22"/>
          <w:szCs w:val="22"/>
          <w:vertAlign w:val="superscript"/>
        </w:rPr>
        <w:t>3</w:t>
      </w:r>
      <w:r w:rsidRPr="00E04EBB">
        <w:rPr>
          <w:sz w:val="22"/>
          <w:szCs w:val="22"/>
          <w:vertAlign w:val="superscript"/>
        </w:rPr>
        <w:t>,2</w:t>
      </w:r>
      <w:r w:rsidRPr="00E04EBB">
        <w:rPr>
          <w:sz w:val="22"/>
          <w:szCs w:val="22"/>
        </w:rPr>
        <w:t>, Jo Moss</w:t>
      </w:r>
      <w:r>
        <w:rPr>
          <w:sz w:val="22"/>
          <w:szCs w:val="22"/>
          <w:vertAlign w:val="superscript"/>
        </w:rPr>
        <w:t>6</w:t>
      </w:r>
      <w:r w:rsidRPr="00E04EBB">
        <w:rPr>
          <w:sz w:val="22"/>
          <w:szCs w:val="22"/>
        </w:rPr>
        <w:t>, Sinead Rhodes</w:t>
      </w:r>
      <w:r>
        <w:rPr>
          <w:sz w:val="22"/>
          <w:szCs w:val="22"/>
          <w:vertAlign w:val="superscript"/>
        </w:rPr>
        <w:t>9</w:t>
      </w:r>
      <w:r w:rsidRPr="00E04EBB">
        <w:rPr>
          <w:sz w:val="22"/>
          <w:szCs w:val="22"/>
        </w:rPr>
        <w:t>, Deborah Riby</w:t>
      </w:r>
      <w:r>
        <w:rPr>
          <w:sz w:val="22"/>
          <w:szCs w:val="22"/>
          <w:vertAlign w:val="superscript"/>
        </w:rPr>
        <w:t>10</w:t>
      </w:r>
      <w:r w:rsidRPr="00E04EBB">
        <w:rPr>
          <w:sz w:val="22"/>
          <w:szCs w:val="22"/>
        </w:rPr>
        <w:t>, Caroline Richards</w:t>
      </w:r>
      <w:r>
        <w:rPr>
          <w:sz w:val="22"/>
          <w:szCs w:val="22"/>
          <w:vertAlign w:val="superscript"/>
        </w:rPr>
        <w:t>11</w:t>
      </w:r>
      <w:r w:rsidRPr="00E04EBB">
        <w:rPr>
          <w:sz w:val="22"/>
          <w:szCs w:val="22"/>
        </w:rPr>
        <w:t>, Kathryn Robertson</w:t>
      </w:r>
      <w:r>
        <w:rPr>
          <w:sz w:val="22"/>
          <w:szCs w:val="22"/>
          <w:vertAlign w:val="superscript"/>
        </w:rPr>
        <w:t>3</w:t>
      </w:r>
      <w:r w:rsidRPr="00E04EBB">
        <w:rPr>
          <w:sz w:val="22"/>
          <w:szCs w:val="22"/>
        </w:rPr>
        <w:t>, Abigail Runicles</w:t>
      </w:r>
      <w:r>
        <w:rPr>
          <w:sz w:val="22"/>
          <w:szCs w:val="22"/>
          <w:vertAlign w:val="superscript"/>
        </w:rPr>
        <w:t>3</w:t>
      </w:r>
      <w:r w:rsidRPr="00E04EBB">
        <w:rPr>
          <w:sz w:val="22"/>
          <w:szCs w:val="22"/>
        </w:rPr>
        <w:t>, Gaia Scerif</w:t>
      </w:r>
      <w:r>
        <w:rPr>
          <w:sz w:val="22"/>
          <w:szCs w:val="22"/>
          <w:vertAlign w:val="superscript"/>
        </w:rPr>
        <w:t>12</w:t>
      </w:r>
      <w:r w:rsidRPr="00E04EBB">
        <w:rPr>
          <w:sz w:val="22"/>
          <w:szCs w:val="22"/>
        </w:rPr>
        <w:t>, Emily Simonoff</w:t>
      </w:r>
      <w:r>
        <w:rPr>
          <w:sz w:val="22"/>
          <w:szCs w:val="22"/>
          <w:vertAlign w:val="superscript"/>
        </w:rPr>
        <w:t>4</w:t>
      </w:r>
      <w:r w:rsidRPr="00E04EBB">
        <w:rPr>
          <w:sz w:val="22"/>
          <w:szCs w:val="22"/>
        </w:rPr>
        <w:t>, David Skuse</w:t>
      </w:r>
      <w:r w:rsidRPr="00E04EBB">
        <w:rPr>
          <w:sz w:val="22"/>
          <w:szCs w:val="22"/>
          <w:vertAlign w:val="superscript"/>
        </w:rPr>
        <w:t>13</w:t>
      </w:r>
      <w:r w:rsidRPr="00E04EBB">
        <w:rPr>
          <w:sz w:val="22"/>
          <w:szCs w:val="22"/>
        </w:rPr>
        <w:t>, Jo Traver</w:t>
      </w:r>
      <w:r>
        <w:rPr>
          <w:sz w:val="22"/>
          <w:szCs w:val="22"/>
          <w:vertAlign w:val="superscript"/>
        </w:rPr>
        <w:t>14</w:t>
      </w:r>
      <w:r w:rsidRPr="00E04EBB">
        <w:rPr>
          <w:sz w:val="22"/>
          <w:szCs w:val="22"/>
        </w:rPr>
        <w:t>, Charlotte Tye</w:t>
      </w:r>
      <w:r>
        <w:rPr>
          <w:sz w:val="22"/>
          <w:szCs w:val="22"/>
          <w:vertAlign w:val="superscript"/>
        </w:rPr>
        <w:t>3</w:t>
      </w:r>
      <w:r w:rsidRPr="00E04EBB">
        <w:rPr>
          <w:sz w:val="22"/>
          <w:szCs w:val="22"/>
        </w:rPr>
        <w:t>, Jo van Herwegen</w:t>
      </w:r>
      <w:r w:rsidRPr="00E04EBB">
        <w:rPr>
          <w:sz w:val="22"/>
          <w:szCs w:val="22"/>
          <w:vertAlign w:val="superscript"/>
        </w:rPr>
        <w:t>15</w:t>
      </w:r>
      <w:r w:rsidRPr="00E04EBB">
        <w:rPr>
          <w:sz w:val="22"/>
          <w:szCs w:val="22"/>
        </w:rPr>
        <w:t>, Jane Waite</w:t>
      </w:r>
      <w:r w:rsidRPr="00E04EBB">
        <w:rPr>
          <w:sz w:val="22"/>
          <w:szCs w:val="22"/>
          <w:vertAlign w:val="superscript"/>
        </w:rPr>
        <w:t>14</w:t>
      </w:r>
      <w:r w:rsidRPr="00E04EBB">
        <w:rPr>
          <w:sz w:val="22"/>
          <w:szCs w:val="22"/>
        </w:rPr>
        <w:t>, and Jeanne Wolstencroft</w:t>
      </w:r>
      <w:r w:rsidRPr="00E04EBB">
        <w:rPr>
          <w:sz w:val="22"/>
          <w:szCs w:val="22"/>
          <w:vertAlign w:val="superscript"/>
        </w:rPr>
        <w:t>13</w:t>
      </w:r>
      <w:r w:rsidRPr="00E04EBB">
        <w:rPr>
          <w:sz w:val="22"/>
          <w:szCs w:val="22"/>
        </w:rPr>
        <w:t xml:space="preserve">. </w:t>
      </w:r>
    </w:p>
    <w:p w14:paraId="3BF52222" w14:textId="77777777" w:rsidR="000901DF" w:rsidRDefault="000901DF" w:rsidP="000901DF">
      <w:pPr>
        <w:rPr>
          <w:sz w:val="22"/>
          <w:szCs w:val="22"/>
          <w:vertAlign w:val="superscript"/>
        </w:rPr>
      </w:pPr>
    </w:p>
    <w:p w14:paraId="462B57CE" w14:textId="77777777" w:rsidR="000901DF" w:rsidRPr="00E04EBB" w:rsidRDefault="000901DF" w:rsidP="000901DF">
      <w:pPr>
        <w:rPr>
          <w:sz w:val="22"/>
          <w:szCs w:val="22"/>
        </w:rPr>
      </w:pPr>
      <w:r>
        <w:rPr>
          <w:sz w:val="22"/>
          <w:szCs w:val="22"/>
          <w:vertAlign w:val="superscript"/>
        </w:rPr>
        <w:t>1</w:t>
      </w:r>
      <w:r w:rsidRPr="00E04EBB">
        <w:rPr>
          <w:sz w:val="22"/>
          <w:szCs w:val="22"/>
          <w:vertAlign w:val="superscript"/>
        </w:rPr>
        <w:t xml:space="preserve"> </w:t>
      </w:r>
      <w:r w:rsidRPr="00E04EBB">
        <w:rPr>
          <w:sz w:val="22"/>
          <w:szCs w:val="22"/>
        </w:rPr>
        <w:t>Department of Women and Children’s Health, King’s College, London, United Kingdom</w:t>
      </w:r>
    </w:p>
    <w:p w14:paraId="07D4516E" w14:textId="77777777" w:rsidR="000901DF" w:rsidRDefault="000901DF" w:rsidP="000901DF">
      <w:pPr>
        <w:rPr>
          <w:sz w:val="22"/>
          <w:szCs w:val="22"/>
          <w:vertAlign w:val="superscript"/>
        </w:rPr>
      </w:pPr>
      <w:r w:rsidRPr="00E04EBB">
        <w:rPr>
          <w:sz w:val="22"/>
          <w:szCs w:val="22"/>
          <w:vertAlign w:val="superscript"/>
        </w:rPr>
        <w:t xml:space="preserve">2 </w:t>
      </w:r>
      <w:r w:rsidRPr="00E04EBB">
        <w:rPr>
          <w:sz w:val="22"/>
          <w:szCs w:val="22"/>
        </w:rPr>
        <w:t>MRC Cognition and Brain Sciences Unit, University of Cambridge, United Kingdom</w:t>
      </w:r>
    </w:p>
    <w:p w14:paraId="7744A965" w14:textId="77777777" w:rsidR="000901DF" w:rsidRDefault="000901DF" w:rsidP="000901DF">
      <w:pPr>
        <w:rPr>
          <w:sz w:val="22"/>
          <w:szCs w:val="22"/>
        </w:rPr>
      </w:pPr>
      <w:r>
        <w:rPr>
          <w:sz w:val="22"/>
          <w:szCs w:val="22"/>
          <w:vertAlign w:val="superscript"/>
        </w:rPr>
        <w:t>3</w:t>
      </w:r>
      <w:r w:rsidRPr="00E04EBB">
        <w:rPr>
          <w:sz w:val="22"/>
          <w:szCs w:val="22"/>
          <w:vertAlign w:val="superscript"/>
        </w:rPr>
        <w:t xml:space="preserve"> </w:t>
      </w:r>
      <w:r w:rsidRPr="00E04EBB">
        <w:rPr>
          <w:sz w:val="22"/>
          <w:szCs w:val="22"/>
        </w:rPr>
        <w:t>Department of Psychology, Institute of Psychiatry, Psychology &amp; Neuroscience, King’s College, London, United Kingdom</w:t>
      </w:r>
    </w:p>
    <w:p w14:paraId="20238FFD" w14:textId="77777777" w:rsidR="000901DF" w:rsidRPr="00E04EBB" w:rsidRDefault="000901DF" w:rsidP="000901DF">
      <w:pPr>
        <w:rPr>
          <w:sz w:val="22"/>
          <w:szCs w:val="22"/>
        </w:rPr>
      </w:pPr>
      <w:r>
        <w:rPr>
          <w:sz w:val="22"/>
          <w:szCs w:val="22"/>
          <w:vertAlign w:val="superscript"/>
        </w:rPr>
        <w:t>4</w:t>
      </w:r>
      <w:r w:rsidRPr="00E04EBB">
        <w:rPr>
          <w:sz w:val="22"/>
          <w:szCs w:val="22"/>
          <w:vertAlign w:val="superscript"/>
        </w:rPr>
        <w:t xml:space="preserve"> </w:t>
      </w:r>
      <w:r w:rsidRPr="00E04EBB">
        <w:rPr>
          <w:sz w:val="22"/>
          <w:szCs w:val="22"/>
        </w:rPr>
        <w:t>Department of Child and Adolescent Psychiatry, Institute of Psychiatry, Psychology &amp; Neuroscience, King’s College, London, United Kingdom</w:t>
      </w:r>
    </w:p>
    <w:p w14:paraId="0F579FF9" w14:textId="77777777" w:rsidR="000901DF" w:rsidRDefault="000901DF" w:rsidP="000901DF">
      <w:pPr>
        <w:rPr>
          <w:sz w:val="22"/>
          <w:szCs w:val="22"/>
        </w:rPr>
      </w:pPr>
      <w:r>
        <w:rPr>
          <w:sz w:val="22"/>
          <w:szCs w:val="22"/>
          <w:vertAlign w:val="superscript"/>
        </w:rPr>
        <w:t>5</w:t>
      </w:r>
      <w:r w:rsidRPr="00E04EBB">
        <w:rPr>
          <w:sz w:val="22"/>
          <w:szCs w:val="22"/>
          <w:vertAlign w:val="superscript"/>
        </w:rPr>
        <w:t xml:space="preserve"> </w:t>
      </w:r>
      <w:r w:rsidRPr="00E04EBB">
        <w:rPr>
          <w:sz w:val="22"/>
          <w:szCs w:val="22"/>
        </w:rPr>
        <w:t>Warwick Medical School, University of Warwick, United Kingdom</w:t>
      </w:r>
    </w:p>
    <w:p w14:paraId="2FA0DCBD" w14:textId="77777777" w:rsidR="000901DF" w:rsidRPr="00E04EBB" w:rsidRDefault="000901DF" w:rsidP="000901DF">
      <w:pPr>
        <w:rPr>
          <w:sz w:val="22"/>
          <w:szCs w:val="22"/>
        </w:rPr>
      </w:pPr>
      <w:r>
        <w:rPr>
          <w:sz w:val="22"/>
          <w:szCs w:val="22"/>
          <w:vertAlign w:val="superscript"/>
        </w:rPr>
        <w:t>6</w:t>
      </w:r>
      <w:r w:rsidRPr="00E04EBB">
        <w:rPr>
          <w:sz w:val="22"/>
          <w:szCs w:val="22"/>
        </w:rPr>
        <w:t xml:space="preserve"> School of Psychology, University of Surrey, United Kingdom </w:t>
      </w:r>
    </w:p>
    <w:p w14:paraId="49410ADD" w14:textId="77777777" w:rsidR="000901DF" w:rsidRPr="00E04EBB" w:rsidRDefault="000901DF" w:rsidP="000901DF">
      <w:pPr>
        <w:rPr>
          <w:sz w:val="22"/>
          <w:szCs w:val="22"/>
        </w:rPr>
      </w:pPr>
      <w:r>
        <w:rPr>
          <w:sz w:val="22"/>
          <w:szCs w:val="22"/>
          <w:vertAlign w:val="superscript"/>
        </w:rPr>
        <w:t>7</w:t>
      </w:r>
      <w:r w:rsidRPr="00E04EBB">
        <w:rPr>
          <w:sz w:val="22"/>
          <w:szCs w:val="22"/>
        </w:rPr>
        <w:t xml:space="preserve"> Department of Psychology, University of Sheffield, United Kingdom</w:t>
      </w:r>
    </w:p>
    <w:p w14:paraId="5F4A8FB5" w14:textId="77777777" w:rsidR="000901DF" w:rsidRPr="00E04EBB" w:rsidRDefault="000901DF" w:rsidP="000901DF">
      <w:pPr>
        <w:rPr>
          <w:sz w:val="22"/>
          <w:szCs w:val="22"/>
        </w:rPr>
      </w:pPr>
      <w:r>
        <w:rPr>
          <w:sz w:val="22"/>
          <w:szCs w:val="22"/>
          <w:vertAlign w:val="superscript"/>
        </w:rPr>
        <w:t>8</w:t>
      </w:r>
      <w:r w:rsidRPr="00E04EBB">
        <w:rPr>
          <w:sz w:val="22"/>
          <w:szCs w:val="22"/>
        </w:rPr>
        <w:t xml:space="preserve"> Department of Psychological Sciences, </w:t>
      </w:r>
      <w:proofErr w:type="spellStart"/>
      <w:r w:rsidRPr="00E04EBB">
        <w:rPr>
          <w:sz w:val="22"/>
          <w:szCs w:val="22"/>
        </w:rPr>
        <w:t>Birkbeck</w:t>
      </w:r>
      <w:proofErr w:type="spellEnd"/>
      <w:r w:rsidRPr="00E04EBB">
        <w:rPr>
          <w:sz w:val="22"/>
          <w:szCs w:val="22"/>
        </w:rPr>
        <w:t xml:space="preserve"> University of London, United Kingdom</w:t>
      </w:r>
    </w:p>
    <w:p w14:paraId="4A780146" w14:textId="77777777" w:rsidR="000901DF" w:rsidRPr="00E04EBB" w:rsidRDefault="000901DF" w:rsidP="000901DF">
      <w:pPr>
        <w:rPr>
          <w:sz w:val="22"/>
          <w:szCs w:val="22"/>
        </w:rPr>
      </w:pPr>
      <w:r>
        <w:rPr>
          <w:sz w:val="22"/>
          <w:szCs w:val="22"/>
          <w:vertAlign w:val="superscript"/>
        </w:rPr>
        <w:t>9</w:t>
      </w:r>
      <w:r w:rsidRPr="00E04EBB">
        <w:rPr>
          <w:sz w:val="22"/>
          <w:szCs w:val="22"/>
          <w:vertAlign w:val="superscript"/>
        </w:rPr>
        <w:t xml:space="preserve"> </w:t>
      </w:r>
      <w:r w:rsidRPr="00E04EBB">
        <w:rPr>
          <w:sz w:val="22"/>
          <w:szCs w:val="22"/>
        </w:rPr>
        <w:t xml:space="preserve">Centre for Clinical Brain Sciences, </w:t>
      </w:r>
      <w:proofErr w:type="gramStart"/>
      <w:r w:rsidRPr="00E04EBB">
        <w:rPr>
          <w:sz w:val="22"/>
          <w:szCs w:val="22"/>
        </w:rPr>
        <w:t>The</w:t>
      </w:r>
      <w:proofErr w:type="gramEnd"/>
      <w:r w:rsidRPr="00E04EBB">
        <w:rPr>
          <w:sz w:val="22"/>
          <w:szCs w:val="22"/>
        </w:rPr>
        <w:t xml:space="preserve"> University of Edinburgh, United Kingdom </w:t>
      </w:r>
    </w:p>
    <w:p w14:paraId="78D5B132" w14:textId="77777777" w:rsidR="000901DF" w:rsidRDefault="000901DF" w:rsidP="000901DF">
      <w:pPr>
        <w:rPr>
          <w:sz w:val="22"/>
          <w:szCs w:val="22"/>
        </w:rPr>
      </w:pPr>
      <w:r>
        <w:rPr>
          <w:sz w:val="22"/>
          <w:szCs w:val="22"/>
          <w:vertAlign w:val="superscript"/>
        </w:rPr>
        <w:t>10</w:t>
      </w:r>
      <w:r w:rsidRPr="00E04EBB">
        <w:rPr>
          <w:sz w:val="22"/>
          <w:szCs w:val="22"/>
          <w:vertAlign w:val="superscript"/>
        </w:rPr>
        <w:t xml:space="preserve"> </w:t>
      </w:r>
      <w:r w:rsidRPr="00E04EBB">
        <w:rPr>
          <w:sz w:val="22"/>
          <w:szCs w:val="22"/>
        </w:rPr>
        <w:t>Department of Psychology, Durham University, United Kingdom</w:t>
      </w:r>
    </w:p>
    <w:p w14:paraId="38FBB20B" w14:textId="77777777" w:rsidR="000901DF" w:rsidRDefault="000901DF" w:rsidP="000901DF">
      <w:pPr>
        <w:rPr>
          <w:sz w:val="22"/>
          <w:szCs w:val="22"/>
        </w:rPr>
      </w:pPr>
      <w:r>
        <w:rPr>
          <w:sz w:val="22"/>
          <w:szCs w:val="22"/>
          <w:vertAlign w:val="superscript"/>
        </w:rPr>
        <w:t>11</w:t>
      </w:r>
      <w:r w:rsidRPr="00E04EBB">
        <w:rPr>
          <w:sz w:val="22"/>
          <w:szCs w:val="22"/>
        </w:rPr>
        <w:t xml:space="preserve"> Cerebra Centre for Neurodevelopmental Disorders, School of Psychology, University of Birmingham, United Kingdom</w:t>
      </w:r>
    </w:p>
    <w:p w14:paraId="2AEA129C" w14:textId="77777777" w:rsidR="000901DF" w:rsidRPr="00E04EBB" w:rsidRDefault="000901DF" w:rsidP="000901DF">
      <w:pPr>
        <w:rPr>
          <w:sz w:val="22"/>
          <w:szCs w:val="22"/>
        </w:rPr>
      </w:pPr>
      <w:r>
        <w:rPr>
          <w:sz w:val="22"/>
          <w:szCs w:val="22"/>
          <w:vertAlign w:val="superscript"/>
        </w:rPr>
        <w:t>12</w:t>
      </w:r>
      <w:r w:rsidRPr="00E04EBB">
        <w:rPr>
          <w:sz w:val="22"/>
          <w:szCs w:val="22"/>
        </w:rPr>
        <w:t xml:space="preserve"> Department of Experimental Psychology, University of Oxford, United Kingdom</w:t>
      </w:r>
    </w:p>
    <w:p w14:paraId="70D8B081" w14:textId="77777777" w:rsidR="000901DF" w:rsidRPr="00E04EBB" w:rsidRDefault="000901DF" w:rsidP="000901DF">
      <w:pPr>
        <w:rPr>
          <w:sz w:val="22"/>
          <w:szCs w:val="22"/>
        </w:rPr>
      </w:pPr>
      <w:r w:rsidRPr="00E04EBB">
        <w:rPr>
          <w:sz w:val="22"/>
          <w:szCs w:val="22"/>
          <w:vertAlign w:val="superscript"/>
        </w:rPr>
        <w:t>13</w:t>
      </w:r>
      <w:r w:rsidRPr="00E04EBB">
        <w:rPr>
          <w:sz w:val="22"/>
          <w:szCs w:val="22"/>
        </w:rPr>
        <w:t> Institute of Child Health, University College London, United Kingdom</w:t>
      </w:r>
    </w:p>
    <w:p w14:paraId="43F829CB" w14:textId="77777777" w:rsidR="000901DF" w:rsidRPr="00E04EBB" w:rsidRDefault="000901DF" w:rsidP="000901DF">
      <w:pPr>
        <w:rPr>
          <w:sz w:val="22"/>
          <w:szCs w:val="22"/>
        </w:rPr>
      </w:pPr>
      <w:r w:rsidRPr="00E04EBB">
        <w:rPr>
          <w:sz w:val="22"/>
          <w:szCs w:val="22"/>
          <w:vertAlign w:val="superscript"/>
        </w:rPr>
        <w:t>14</w:t>
      </w:r>
      <w:r w:rsidRPr="00E04EBB">
        <w:rPr>
          <w:sz w:val="22"/>
          <w:szCs w:val="22"/>
        </w:rPr>
        <w:t xml:space="preserve"> School of Psychology, Aston University, United Kingdom </w:t>
      </w:r>
    </w:p>
    <w:p w14:paraId="7B088ACF" w14:textId="79E62DAB" w:rsidR="00E04EBB" w:rsidRDefault="000901DF" w:rsidP="00C60ED6">
      <w:pPr>
        <w:rPr>
          <w:sz w:val="22"/>
          <w:szCs w:val="22"/>
        </w:rPr>
      </w:pPr>
      <w:r w:rsidRPr="00E04EBB">
        <w:rPr>
          <w:sz w:val="22"/>
          <w:szCs w:val="22"/>
          <w:vertAlign w:val="superscript"/>
        </w:rPr>
        <w:t>15</w:t>
      </w:r>
      <w:r w:rsidRPr="00E04EBB">
        <w:rPr>
          <w:sz w:val="22"/>
          <w:szCs w:val="22"/>
        </w:rPr>
        <w:t> Institute of</w:t>
      </w:r>
      <w:r>
        <w:rPr>
          <w:sz w:val="22"/>
          <w:szCs w:val="22"/>
        </w:rPr>
        <w:t xml:space="preserve"> Education</w:t>
      </w:r>
      <w:r w:rsidRPr="00E04EBB">
        <w:rPr>
          <w:sz w:val="22"/>
          <w:szCs w:val="22"/>
        </w:rPr>
        <w:t>, University College London, United Kingdom</w:t>
      </w:r>
    </w:p>
    <w:p w14:paraId="2A484740" w14:textId="2D0B154D" w:rsidR="00F03EB8" w:rsidRDefault="00F03EB8" w:rsidP="00C60ED6">
      <w:pPr>
        <w:rPr>
          <w:sz w:val="22"/>
          <w:szCs w:val="22"/>
        </w:rPr>
      </w:pPr>
    </w:p>
    <w:p w14:paraId="4A3FE88B" w14:textId="20EA91AE" w:rsidR="00F03EB8" w:rsidRPr="00C60ED6" w:rsidRDefault="00F03EB8" w:rsidP="00C60ED6">
      <w:pPr>
        <w:rPr>
          <w:b/>
        </w:rPr>
      </w:pPr>
      <w:bookmarkStart w:id="2" w:name="_Toc108528723"/>
      <w:r w:rsidRPr="00C60ED6">
        <w:rPr>
          <w:b/>
          <w:sz w:val="28"/>
        </w:rPr>
        <w:t>References</w:t>
      </w:r>
      <w:bookmarkEnd w:id="2"/>
      <w:r w:rsidRPr="00C60ED6">
        <w:rPr>
          <w:b/>
        </w:rPr>
        <w:t xml:space="preserve"> </w:t>
      </w:r>
    </w:p>
    <w:p w14:paraId="5C358A9A" w14:textId="4FC4558B" w:rsidR="00702F99" w:rsidRPr="00702F99" w:rsidRDefault="00702F99" w:rsidP="00702F99">
      <w:pPr>
        <w:widowControl w:val="0"/>
        <w:autoSpaceDE w:val="0"/>
        <w:autoSpaceDN w:val="0"/>
        <w:adjustRightInd w:val="0"/>
        <w:ind w:left="640" w:hanging="640"/>
        <w:rPr>
          <w:rFonts w:ascii="Calibri" w:hAnsi="Calibri" w:cs="Calibri"/>
          <w:noProof/>
          <w:sz w:val="22"/>
        </w:rPr>
      </w:pPr>
      <w:bookmarkStart w:id="3" w:name="_GoBack"/>
      <w:r w:rsidRPr="00702F99">
        <w:rPr>
          <w:rFonts w:ascii="Calibri" w:hAnsi="Calibri" w:cs="Calibri"/>
          <w:noProof/>
          <w:sz w:val="22"/>
        </w:rPr>
        <w:t xml:space="preserve">1. </w:t>
      </w:r>
      <w:r w:rsidRPr="00702F99">
        <w:rPr>
          <w:rFonts w:ascii="Calibri" w:hAnsi="Calibri" w:cs="Calibri"/>
          <w:noProof/>
          <w:sz w:val="22"/>
        </w:rPr>
        <w:tab/>
        <w:t xml:space="preserve">Corlett S, Mavin S. Reflexivity and Researcher Positionality. In: The Sage Handbook of Qualitative Business and Management Research Methods: History and Traditions. 2018. p. 377–98. </w:t>
      </w:r>
    </w:p>
    <w:p w14:paraId="0D130EBD" w14:textId="2F22467D" w:rsidR="00702F99" w:rsidRPr="00702F99" w:rsidRDefault="00702F99" w:rsidP="00702F99">
      <w:pPr>
        <w:widowControl w:val="0"/>
        <w:autoSpaceDE w:val="0"/>
        <w:autoSpaceDN w:val="0"/>
        <w:adjustRightInd w:val="0"/>
        <w:ind w:left="640" w:hanging="640"/>
        <w:rPr>
          <w:rFonts w:ascii="Calibri" w:hAnsi="Calibri" w:cs="Calibri"/>
          <w:noProof/>
          <w:sz w:val="22"/>
        </w:rPr>
      </w:pPr>
      <w:r w:rsidRPr="00702F99">
        <w:rPr>
          <w:rFonts w:ascii="Calibri" w:hAnsi="Calibri" w:cs="Calibri"/>
          <w:noProof/>
          <w:sz w:val="22"/>
        </w:rPr>
        <w:t xml:space="preserve">2. </w:t>
      </w:r>
      <w:r w:rsidRPr="00702F99">
        <w:rPr>
          <w:rFonts w:ascii="Calibri" w:hAnsi="Calibri" w:cs="Calibri"/>
          <w:noProof/>
          <w:sz w:val="22"/>
        </w:rPr>
        <w:tab/>
        <w:t xml:space="preserve">Smith JA, Flowers P, Larkin M. Interpretative Phenomenological Analysis: Theory, Method and Research. Th: SAGE Publications Limited; 2009. </w:t>
      </w:r>
    </w:p>
    <w:bookmarkEnd w:id="3"/>
    <w:p w14:paraId="76CE2D70" w14:textId="7F67E4E0" w:rsidR="008E1D78" w:rsidRPr="00AA4825" w:rsidRDefault="008E1D78" w:rsidP="00C60ED6">
      <w:pPr>
        <w:rPr>
          <w:sz w:val="22"/>
          <w:szCs w:val="22"/>
        </w:rPr>
      </w:pPr>
    </w:p>
    <w:sectPr w:rsidR="008E1D78" w:rsidRPr="00AA4825" w:rsidSect="00703A3E">
      <w:footerReference w:type="default" r:id="rId8"/>
      <w:pgSz w:w="11906" w:h="16838"/>
      <w:pgMar w:top="1440" w:right="1440" w:bottom="1440" w:left="1440"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AA6A70" w16cex:dateUtc="2022-02-06T15:40:00Z"/>
  <w16cex:commentExtensible w16cex:durableId="255B5615" w16cex:dateUtc="2021-12-08T16:04:00Z"/>
  <w16cex:commentExtensible w16cex:durableId="2566E336" w16cex:dateUtc="2021-12-17T10:21:00Z"/>
  <w16cex:commentExtensible w16cex:durableId="259A6A41" w16cex:dateUtc="2022-01-25T12:23:00Z"/>
  <w16cex:commentExtensible w16cex:durableId="2566E472" w16cex:dateUtc="2021-12-17T10: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D6F9643" w16cid:durableId="25AA6A70"/>
  <w16cid:commentId w16cid:paraId="44202427" w16cid:durableId="255B5615"/>
  <w16cid:commentId w16cid:paraId="6B15269D" w16cid:durableId="2566E336"/>
  <w16cid:commentId w16cid:paraId="50392685" w16cid:durableId="259A6A41"/>
  <w16cid:commentId w16cid:paraId="40B31094" w16cid:durableId="2566E47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4BAA36" w14:textId="77777777" w:rsidR="0058205C" w:rsidRDefault="0058205C" w:rsidP="0058205C">
      <w:r>
        <w:separator/>
      </w:r>
    </w:p>
  </w:endnote>
  <w:endnote w:type="continuationSeparator" w:id="0">
    <w:p w14:paraId="4E20A4FF" w14:textId="77777777" w:rsidR="0058205C" w:rsidRDefault="0058205C" w:rsidP="00582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6861275"/>
      <w:docPartObj>
        <w:docPartGallery w:val="Page Numbers (Bottom of Page)"/>
        <w:docPartUnique/>
      </w:docPartObj>
    </w:sdtPr>
    <w:sdtEndPr>
      <w:rPr>
        <w:noProof/>
      </w:rPr>
    </w:sdtEndPr>
    <w:sdtContent>
      <w:p w14:paraId="4698FBD3" w14:textId="7DDC00A6" w:rsidR="0058205C" w:rsidRDefault="0058205C">
        <w:pPr>
          <w:pStyle w:val="Footer"/>
          <w:jc w:val="right"/>
        </w:pPr>
        <w:r>
          <w:fldChar w:fldCharType="begin"/>
        </w:r>
        <w:r>
          <w:instrText xml:space="preserve"> PAGE   \* MERGEFORMAT </w:instrText>
        </w:r>
        <w:r>
          <w:fldChar w:fldCharType="separate"/>
        </w:r>
        <w:r w:rsidR="00703A3E">
          <w:rPr>
            <w:noProof/>
          </w:rPr>
          <w:t>1</w:t>
        </w:r>
        <w:r>
          <w:rPr>
            <w:noProof/>
          </w:rPr>
          <w:fldChar w:fldCharType="end"/>
        </w:r>
      </w:p>
    </w:sdtContent>
  </w:sdt>
  <w:p w14:paraId="13088C7F" w14:textId="77777777" w:rsidR="0058205C" w:rsidRDefault="005820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293013" w14:textId="77777777" w:rsidR="0058205C" w:rsidRDefault="0058205C" w:rsidP="0058205C">
      <w:r>
        <w:separator/>
      </w:r>
    </w:p>
  </w:footnote>
  <w:footnote w:type="continuationSeparator" w:id="0">
    <w:p w14:paraId="50A3BC13" w14:textId="77777777" w:rsidR="0058205C" w:rsidRDefault="0058205C" w:rsidP="005820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2DC61E8"/>
    <w:multiLevelType w:val="hybridMultilevel"/>
    <w:tmpl w:val="827C64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03A"/>
    <w:rsid w:val="00045465"/>
    <w:rsid w:val="00045EBE"/>
    <w:rsid w:val="000901DF"/>
    <w:rsid w:val="001002B8"/>
    <w:rsid w:val="0016478A"/>
    <w:rsid w:val="0018232E"/>
    <w:rsid w:val="00200702"/>
    <w:rsid w:val="002D6F46"/>
    <w:rsid w:val="003C573F"/>
    <w:rsid w:val="004A203A"/>
    <w:rsid w:val="004C4CB7"/>
    <w:rsid w:val="005174BA"/>
    <w:rsid w:val="00530098"/>
    <w:rsid w:val="00575DEB"/>
    <w:rsid w:val="0058205C"/>
    <w:rsid w:val="00582704"/>
    <w:rsid w:val="005A4CB8"/>
    <w:rsid w:val="006518A2"/>
    <w:rsid w:val="00702F99"/>
    <w:rsid w:val="00703A3E"/>
    <w:rsid w:val="0075585E"/>
    <w:rsid w:val="007B49B0"/>
    <w:rsid w:val="007C61AA"/>
    <w:rsid w:val="00813EBB"/>
    <w:rsid w:val="00830911"/>
    <w:rsid w:val="0086507B"/>
    <w:rsid w:val="00875D92"/>
    <w:rsid w:val="0088526A"/>
    <w:rsid w:val="008E1D78"/>
    <w:rsid w:val="008E73C8"/>
    <w:rsid w:val="00904FA4"/>
    <w:rsid w:val="009D3CFC"/>
    <w:rsid w:val="00A906CF"/>
    <w:rsid w:val="00AA4825"/>
    <w:rsid w:val="00B33516"/>
    <w:rsid w:val="00B7265F"/>
    <w:rsid w:val="00B810BA"/>
    <w:rsid w:val="00BA0DBE"/>
    <w:rsid w:val="00BC53A3"/>
    <w:rsid w:val="00BF2B36"/>
    <w:rsid w:val="00C000F2"/>
    <w:rsid w:val="00C14841"/>
    <w:rsid w:val="00C60ED6"/>
    <w:rsid w:val="00C902AE"/>
    <w:rsid w:val="00CD19E2"/>
    <w:rsid w:val="00CE4EDA"/>
    <w:rsid w:val="00D22671"/>
    <w:rsid w:val="00D80C98"/>
    <w:rsid w:val="00D836A0"/>
    <w:rsid w:val="00D87A5A"/>
    <w:rsid w:val="00DB77A0"/>
    <w:rsid w:val="00DD30AA"/>
    <w:rsid w:val="00E04EBB"/>
    <w:rsid w:val="00E15F35"/>
    <w:rsid w:val="00E20F4C"/>
    <w:rsid w:val="00E618C8"/>
    <w:rsid w:val="00E73C25"/>
    <w:rsid w:val="00EF7C62"/>
    <w:rsid w:val="00F03EB8"/>
    <w:rsid w:val="00FB3B49"/>
    <w:rsid w:val="00FE33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7B426"/>
  <w15:chartTrackingRefBased/>
  <w15:docId w15:val="{A534C8C0-B46E-D241-A7F3-0012F16F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A203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A203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A203A"/>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16478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203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A203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4A203A"/>
    <w:rPr>
      <w:rFonts w:asciiTheme="majorHAnsi" w:eastAsiaTheme="majorEastAsia" w:hAnsiTheme="majorHAnsi" w:cstheme="majorBidi"/>
      <w:color w:val="1F3763" w:themeColor="accent1" w:themeShade="7F"/>
    </w:rPr>
  </w:style>
  <w:style w:type="table" w:styleId="TableGrid">
    <w:name w:val="Table Grid"/>
    <w:basedOn w:val="TableNormal"/>
    <w:uiPriority w:val="39"/>
    <w:rsid w:val="004A203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A203A"/>
    <w:rPr>
      <w:sz w:val="16"/>
      <w:szCs w:val="16"/>
    </w:rPr>
  </w:style>
  <w:style w:type="paragraph" w:styleId="CommentText">
    <w:name w:val="annotation text"/>
    <w:basedOn w:val="Normal"/>
    <w:link w:val="CommentTextChar"/>
    <w:uiPriority w:val="99"/>
    <w:unhideWhenUsed/>
    <w:rsid w:val="004A203A"/>
    <w:pPr>
      <w:spacing w:after="160"/>
    </w:pPr>
    <w:rPr>
      <w:sz w:val="20"/>
      <w:szCs w:val="20"/>
    </w:rPr>
  </w:style>
  <w:style w:type="character" w:customStyle="1" w:styleId="CommentTextChar">
    <w:name w:val="Comment Text Char"/>
    <w:basedOn w:val="DefaultParagraphFont"/>
    <w:link w:val="CommentText"/>
    <w:uiPriority w:val="99"/>
    <w:rsid w:val="004A203A"/>
    <w:rPr>
      <w:sz w:val="20"/>
      <w:szCs w:val="20"/>
    </w:rPr>
  </w:style>
  <w:style w:type="character" w:styleId="Hyperlink">
    <w:name w:val="Hyperlink"/>
    <w:basedOn w:val="DefaultParagraphFont"/>
    <w:uiPriority w:val="99"/>
    <w:unhideWhenUsed/>
    <w:rsid w:val="00904FA4"/>
    <w:rPr>
      <w:color w:val="0563C1" w:themeColor="hyperlink"/>
      <w:u w:val="single"/>
    </w:rPr>
  </w:style>
  <w:style w:type="character" w:customStyle="1" w:styleId="UnresolvedMention">
    <w:name w:val="Unresolved Mention"/>
    <w:basedOn w:val="DefaultParagraphFont"/>
    <w:uiPriority w:val="99"/>
    <w:semiHidden/>
    <w:unhideWhenUsed/>
    <w:rsid w:val="00904FA4"/>
    <w:rPr>
      <w:color w:val="605E5C"/>
      <w:shd w:val="clear" w:color="auto" w:fill="E1DFDD"/>
    </w:rPr>
  </w:style>
  <w:style w:type="character" w:styleId="Emphasis">
    <w:name w:val="Emphasis"/>
    <w:basedOn w:val="DefaultParagraphFont"/>
    <w:uiPriority w:val="20"/>
    <w:qFormat/>
    <w:rsid w:val="00904FA4"/>
    <w:rPr>
      <w:i/>
      <w:iCs/>
    </w:rPr>
  </w:style>
  <w:style w:type="character" w:customStyle="1" w:styleId="apple-converted-space">
    <w:name w:val="apple-converted-space"/>
    <w:basedOn w:val="DefaultParagraphFont"/>
    <w:rsid w:val="00904FA4"/>
  </w:style>
  <w:style w:type="paragraph" w:styleId="CommentSubject">
    <w:name w:val="annotation subject"/>
    <w:basedOn w:val="CommentText"/>
    <w:next w:val="CommentText"/>
    <w:link w:val="CommentSubjectChar"/>
    <w:uiPriority w:val="99"/>
    <w:semiHidden/>
    <w:unhideWhenUsed/>
    <w:rsid w:val="00D22671"/>
    <w:pPr>
      <w:spacing w:after="0"/>
    </w:pPr>
    <w:rPr>
      <w:b/>
      <w:bCs/>
    </w:rPr>
  </w:style>
  <w:style w:type="character" w:customStyle="1" w:styleId="CommentSubjectChar">
    <w:name w:val="Comment Subject Char"/>
    <w:basedOn w:val="CommentTextChar"/>
    <w:link w:val="CommentSubject"/>
    <w:uiPriority w:val="99"/>
    <w:semiHidden/>
    <w:rsid w:val="00D22671"/>
    <w:rPr>
      <w:b/>
      <w:bCs/>
      <w:sz w:val="20"/>
      <w:szCs w:val="20"/>
    </w:rPr>
  </w:style>
  <w:style w:type="paragraph" w:styleId="TOCHeading">
    <w:name w:val="TOC Heading"/>
    <w:basedOn w:val="Heading1"/>
    <w:next w:val="Normal"/>
    <w:uiPriority w:val="39"/>
    <w:unhideWhenUsed/>
    <w:qFormat/>
    <w:rsid w:val="00D22671"/>
    <w:pPr>
      <w:spacing w:before="480" w:line="276" w:lineRule="auto"/>
      <w:outlineLvl w:val="9"/>
    </w:pPr>
    <w:rPr>
      <w:b/>
      <w:bCs/>
      <w:sz w:val="28"/>
      <w:szCs w:val="28"/>
      <w:lang w:val="en-US"/>
    </w:rPr>
  </w:style>
  <w:style w:type="paragraph" w:styleId="TOC1">
    <w:name w:val="toc 1"/>
    <w:basedOn w:val="Normal"/>
    <w:next w:val="Normal"/>
    <w:autoRedefine/>
    <w:uiPriority w:val="39"/>
    <w:unhideWhenUsed/>
    <w:rsid w:val="00D22671"/>
    <w:pPr>
      <w:spacing w:before="120"/>
    </w:pPr>
    <w:rPr>
      <w:rFonts w:cstheme="minorHAnsi"/>
      <w:b/>
      <w:bCs/>
      <w:i/>
      <w:iCs/>
    </w:rPr>
  </w:style>
  <w:style w:type="paragraph" w:styleId="TOC2">
    <w:name w:val="toc 2"/>
    <w:basedOn w:val="Normal"/>
    <w:next w:val="Normal"/>
    <w:autoRedefine/>
    <w:uiPriority w:val="39"/>
    <w:unhideWhenUsed/>
    <w:rsid w:val="00D22671"/>
    <w:pPr>
      <w:spacing w:before="120"/>
      <w:ind w:left="240"/>
    </w:pPr>
    <w:rPr>
      <w:rFonts w:cstheme="minorHAnsi"/>
      <w:b/>
      <w:bCs/>
      <w:sz w:val="22"/>
      <w:szCs w:val="22"/>
    </w:rPr>
  </w:style>
  <w:style w:type="paragraph" w:styleId="TOC3">
    <w:name w:val="toc 3"/>
    <w:basedOn w:val="Normal"/>
    <w:next w:val="Normal"/>
    <w:autoRedefine/>
    <w:uiPriority w:val="39"/>
    <w:unhideWhenUsed/>
    <w:rsid w:val="00D22671"/>
    <w:pPr>
      <w:ind w:left="480"/>
    </w:pPr>
    <w:rPr>
      <w:rFonts w:cstheme="minorHAnsi"/>
      <w:sz w:val="20"/>
      <w:szCs w:val="20"/>
    </w:rPr>
  </w:style>
  <w:style w:type="paragraph" w:styleId="TOC4">
    <w:name w:val="toc 4"/>
    <w:basedOn w:val="Normal"/>
    <w:next w:val="Normal"/>
    <w:autoRedefine/>
    <w:uiPriority w:val="39"/>
    <w:semiHidden/>
    <w:unhideWhenUsed/>
    <w:rsid w:val="00D22671"/>
    <w:pPr>
      <w:ind w:left="720"/>
    </w:pPr>
    <w:rPr>
      <w:rFonts w:cstheme="minorHAnsi"/>
      <w:sz w:val="20"/>
      <w:szCs w:val="20"/>
    </w:rPr>
  </w:style>
  <w:style w:type="paragraph" w:styleId="TOC5">
    <w:name w:val="toc 5"/>
    <w:basedOn w:val="Normal"/>
    <w:next w:val="Normal"/>
    <w:autoRedefine/>
    <w:uiPriority w:val="39"/>
    <w:semiHidden/>
    <w:unhideWhenUsed/>
    <w:rsid w:val="00D22671"/>
    <w:pPr>
      <w:ind w:left="960"/>
    </w:pPr>
    <w:rPr>
      <w:rFonts w:cstheme="minorHAnsi"/>
      <w:sz w:val="20"/>
      <w:szCs w:val="20"/>
    </w:rPr>
  </w:style>
  <w:style w:type="paragraph" w:styleId="TOC6">
    <w:name w:val="toc 6"/>
    <w:basedOn w:val="Normal"/>
    <w:next w:val="Normal"/>
    <w:autoRedefine/>
    <w:uiPriority w:val="39"/>
    <w:semiHidden/>
    <w:unhideWhenUsed/>
    <w:rsid w:val="00D22671"/>
    <w:pPr>
      <w:ind w:left="1200"/>
    </w:pPr>
    <w:rPr>
      <w:rFonts w:cstheme="minorHAnsi"/>
      <w:sz w:val="20"/>
      <w:szCs w:val="20"/>
    </w:rPr>
  </w:style>
  <w:style w:type="paragraph" w:styleId="TOC7">
    <w:name w:val="toc 7"/>
    <w:basedOn w:val="Normal"/>
    <w:next w:val="Normal"/>
    <w:autoRedefine/>
    <w:uiPriority w:val="39"/>
    <w:semiHidden/>
    <w:unhideWhenUsed/>
    <w:rsid w:val="00D22671"/>
    <w:pPr>
      <w:ind w:left="1440"/>
    </w:pPr>
    <w:rPr>
      <w:rFonts w:cstheme="minorHAnsi"/>
      <w:sz w:val="20"/>
      <w:szCs w:val="20"/>
    </w:rPr>
  </w:style>
  <w:style w:type="paragraph" w:styleId="TOC8">
    <w:name w:val="toc 8"/>
    <w:basedOn w:val="Normal"/>
    <w:next w:val="Normal"/>
    <w:autoRedefine/>
    <w:uiPriority w:val="39"/>
    <w:semiHidden/>
    <w:unhideWhenUsed/>
    <w:rsid w:val="00D22671"/>
    <w:pPr>
      <w:ind w:left="1680"/>
    </w:pPr>
    <w:rPr>
      <w:rFonts w:cstheme="minorHAnsi"/>
      <w:sz w:val="20"/>
      <w:szCs w:val="20"/>
    </w:rPr>
  </w:style>
  <w:style w:type="paragraph" w:styleId="TOC9">
    <w:name w:val="toc 9"/>
    <w:basedOn w:val="Normal"/>
    <w:next w:val="Normal"/>
    <w:autoRedefine/>
    <w:uiPriority w:val="39"/>
    <w:semiHidden/>
    <w:unhideWhenUsed/>
    <w:rsid w:val="00D22671"/>
    <w:pPr>
      <w:ind w:left="1920"/>
    </w:pPr>
    <w:rPr>
      <w:rFonts w:cstheme="minorHAnsi"/>
      <w:sz w:val="20"/>
      <w:szCs w:val="20"/>
    </w:rPr>
  </w:style>
  <w:style w:type="paragraph" w:styleId="BalloonText">
    <w:name w:val="Balloon Text"/>
    <w:basedOn w:val="Normal"/>
    <w:link w:val="BalloonTextChar"/>
    <w:uiPriority w:val="99"/>
    <w:semiHidden/>
    <w:unhideWhenUsed/>
    <w:rsid w:val="001002B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02B8"/>
    <w:rPr>
      <w:rFonts w:ascii="Segoe UI" w:hAnsi="Segoe UI" w:cs="Segoe UI"/>
      <w:sz w:val="18"/>
      <w:szCs w:val="18"/>
    </w:rPr>
  </w:style>
  <w:style w:type="character" w:customStyle="1" w:styleId="Heading4Char">
    <w:name w:val="Heading 4 Char"/>
    <w:basedOn w:val="DefaultParagraphFont"/>
    <w:link w:val="Heading4"/>
    <w:uiPriority w:val="9"/>
    <w:rsid w:val="0016478A"/>
    <w:rPr>
      <w:rFonts w:asciiTheme="majorHAnsi" w:eastAsiaTheme="majorEastAsia" w:hAnsiTheme="majorHAnsi" w:cstheme="majorBidi"/>
      <w:i/>
      <w:iCs/>
      <w:color w:val="2F5496" w:themeColor="accent1" w:themeShade="BF"/>
    </w:rPr>
  </w:style>
  <w:style w:type="character" w:styleId="LineNumber">
    <w:name w:val="line number"/>
    <w:basedOn w:val="DefaultParagraphFont"/>
    <w:uiPriority w:val="99"/>
    <w:semiHidden/>
    <w:unhideWhenUsed/>
    <w:rsid w:val="0058205C"/>
  </w:style>
  <w:style w:type="paragraph" w:styleId="Header">
    <w:name w:val="header"/>
    <w:basedOn w:val="Normal"/>
    <w:link w:val="HeaderChar"/>
    <w:uiPriority w:val="99"/>
    <w:unhideWhenUsed/>
    <w:rsid w:val="0058205C"/>
    <w:pPr>
      <w:tabs>
        <w:tab w:val="center" w:pos="4513"/>
        <w:tab w:val="right" w:pos="9026"/>
      </w:tabs>
    </w:pPr>
  </w:style>
  <w:style w:type="character" w:customStyle="1" w:styleId="HeaderChar">
    <w:name w:val="Header Char"/>
    <w:basedOn w:val="DefaultParagraphFont"/>
    <w:link w:val="Header"/>
    <w:uiPriority w:val="99"/>
    <w:rsid w:val="0058205C"/>
  </w:style>
  <w:style w:type="paragraph" w:styleId="Footer">
    <w:name w:val="footer"/>
    <w:basedOn w:val="Normal"/>
    <w:link w:val="FooterChar"/>
    <w:uiPriority w:val="99"/>
    <w:unhideWhenUsed/>
    <w:rsid w:val="0058205C"/>
    <w:pPr>
      <w:tabs>
        <w:tab w:val="center" w:pos="4513"/>
        <w:tab w:val="right" w:pos="9026"/>
      </w:tabs>
    </w:pPr>
  </w:style>
  <w:style w:type="character" w:customStyle="1" w:styleId="FooterChar">
    <w:name w:val="Footer Char"/>
    <w:basedOn w:val="DefaultParagraphFont"/>
    <w:link w:val="Footer"/>
    <w:uiPriority w:val="99"/>
    <w:rsid w:val="005820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8871276">
      <w:bodyDiv w:val="1"/>
      <w:marLeft w:val="0"/>
      <w:marRight w:val="0"/>
      <w:marTop w:val="0"/>
      <w:marBottom w:val="0"/>
      <w:divBdr>
        <w:top w:val="none" w:sz="0" w:space="0" w:color="auto"/>
        <w:left w:val="none" w:sz="0" w:space="0" w:color="auto"/>
        <w:bottom w:val="none" w:sz="0" w:space="0" w:color="auto"/>
        <w:right w:val="none" w:sz="0" w:space="0" w:color="auto"/>
      </w:divBdr>
    </w:div>
    <w:div w:id="1895266406">
      <w:bodyDiv w:val="1"/>
      <w:marLeft w:val="0"/>
      <w:marRight w:val="0"/>
      <w:marTop w:val="0"/>
      <w:marBottom w:val="0"/>
      <w:divBdr>
        <w:top w:val="none" w:sz="0" w:space="0" w:color="auto"/>
        <w:left w:val="none" w:sz="0" w:space="0" w:color="auto"/>
        <w:bottom w:val="none" w:sz="0" w:space="0" w:color="auto"/>
        <w:right w:val="none" w:sz="0" w:space="0" w:color="auto"/>
      </w:divBdr>
    </w:div>
    <w:div w:id="1946502727">
      <w:bodyDiv w:val="1"/>
      <w:marLeft w:val="0"/>
      <w:marRight w:val="0"/>
      <w:marTop w:val="0"/>
      <w:marBottom w:val="0"/>
      <w:divBdr>
        <w:top w:val="none" w:sz="0" w:space="0" w:color="auto"/>
        <w:left w:val="none" w:sz="0" w:space="0" w:color="auto"/>
        <w:bottom w:val="none" w:sz="0" w:space="0" w:color="auto"/>
        <w:right w:val="none" w:sz="0" w:space="0" w:color="auto"/>
      </w:divBdr>
    </w:div>
    <w:div w:id="1981617833">
      <w:bodyDiv w:val="1"/>
      <w:marLeft w:val="0"/>
      <w:marRight w:val="0"/>
      <w:marTop w:val="0"/>
      <w:marBottom w:val="0"/>
      <w:divBdr>
        <w:top w:val="none" w:sz="0" w:space="0" w:color="auto"/>
        <w:left w:val="none" w:sz="0" w:space="0" w:color="auto"/>
        <w:bottom w:val="none" w:sz="0" w:space="0" w:color="auto"/>
        <w:right w:val="none" w:sz="0" w:space="0" w:color="auto"/>
      </w:divBdr>
    </w:div>
    <w:div w:id="2100102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EF9A2F-A6B9-4010-84A5-8461665CC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859</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Martin</dc:creator>
  <cp:keywords/>
  <dc:description/>
  <cp:lastModifiedBy>Ziaur Rahman Bijli G.</cp:lastModifiedBy>
  <cp:revision>3</cp:revision>
  <dcterms:created xsi:type="dcterms:W3CDTF">2023-03-17T16:34:00Z</dcterms:created>
  <dcterms:modified xsi:type="dcterms:W3CDTF">2023-05-11T02:27:00Z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872522e1-8969-386f-912d-228a96528b46</vt:lpwstr>
  </property>
  <property fmtid="{D5CDD505-2E9C-101B-9397-08002B2CF9AE}" pid="24" name="Mendeley Citation Style_1">
    <vt:lpwstr>http://www.zotero.org/styles/vancouver</vt:lpwstr>
  </property>
</Properties>
</file>