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E86FB" w14:textId="5C4D314C" w:rsidR="00F529EE" w:rsidRDefault="00F529EE" w:rsidP="00F529EE">
      <w:pPr>
        <w:spacing w:line="480" w:lineRule="auto"/>
        <w:rPr>
          <w:rFonts w:ascii="Times New Roman" w:eastAsia="Times New Roman" w:hAnsi="Times New Roman" w:cs="Times New Roman"/>
          <w:b/>
          <w:sz w:val="22"/>
        </w:rPr>
      </w:pPr>
      <w:r>
        <w:rPr>
          <w:rFonts w:ascii="Times New Roman" w:eastAsia="Times New Roman" w:hAnsi="Times New Roman" w:cs="Times New Roman"/>
          <w:b/>
          <w:sz w:val="22"/>
        </w:rPr>
        <w:t>Supplementary Result (Salivary DHEA levels)</w:t>
      </w:r>
    </w:p>
    <w:p w14:paraId="6FCD2E03" w14:textId="3EB6FC29" w:rsidR="00F529EE" w:rsidRPr="00230FB2" w:rsidRDefault="00F529EE" w:rsidP="00F529EE">
      <w:pPr>
        <w:spacing w:line="480" w:lineRule="auto"/>
        <w:rPr>
          <w:rFonts w:ascii="Times New Roman" w:eastAsia="Times New Roman" w:hAnsi="Times New Roman" w:cs="Times New Roman"/>
          <w:sz w:val="22"/>
        </w:rPr>
      </w:pPr>
      <w:r>
        <w:rPr>
          <w:rFonts w:ascii="Times New Roman" w:eastAsia="Times New Roman" w:hAnsi="Times New Roman" w:cs="Times New Roman"/>
          <w:sz w:val="22"/>
        </w:rPr>
        <w:t>Six patients with values below the detection range were excluded from this analysis. Hence, 30 patients were analyzed from the LRLA (n</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9), LRHA (n</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5), HRLA (n</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5), and HRHA (n</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 xml:space="preserve">11) groups. </w:t>
      </w:r>
    </w:p>
    <w:p w14:paraId="2D6B1969" w14:textId="36F2C72F" w:rsidR="00F529EE" w:rsidRDefault="00F529EE" w:rsidP="00F529EE">
      <w:pPr>
        <w:spacing w:line="480" w:lineRule="auto"/>
        <w:rPr>
          <w:rFonts w:ascii="Times New Roman" w:eastAsia="Times New Roman" w:hAnsi="Times New Roman" w:cs="Times New Roman"/>
          <w:sz w:val="22"/>
        </w:rPr>
      </w:pPr>
      <w:r>
        <w:rPr>
          <w:rFonts w:ascii="Times New Roman" w:eastAsia="Times New Roman" w:hAnsi="Times New Roman" w:cs="Times New Roman"/>
          <w:sz w:val="22"/>
        </w:rPr>
        <w:t>Salivary DHEA levels in the four groups were analyzed using rmANOVA (total N</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 xml:space="preserve">30, </w:t>
      </w:r>
      <w:r w:rsidR="00C970ED">
        <w:rPr>
          <w:rFonts w:ascii="Times New Roman" w:eastAsia="Times New Roman" w:hAnsi="Times New Roman" w:cs="Times New Roman"/>
          <w:sz w:val="22"/>
        </w:rPr>
        <w:t xml:space="preserve">Supplementary </w:t>
      </w:r>
      <w:r>
        <w:rPr>
          <w:rFonts w:ascii="Times New Roman" w:eastAsia="Times New Roman" w:hAnsi="Times New Roman" w:cs="Times New Roman"/>
          <w:sz w:val="22"/>
        </w:rPr>
        <w:t xml:space="preserve">Fig. </w:t>
      </w:r>
      <w:r w:rsidR="00C970ED">
        <w:rPr>
          <w:rFonts w:ascii="Times New Roman" w:eastAsia="Times New Roman" w:hAnsi="Times New Roman" w:cs="Times New Roman"/>
          <w:sz w:val="22"/>
        </w:rPr>
        <w:t>1</w:t>
      </w:r>
      <w:r>
        <w:rPr>
          <w:rFonts w:ascii="Times New Roman" w:eastAsia="Times New Roman" w:hAnsi="Times New Roman" w:cs="Times New Roman"/>
          <w:sz w:val="22"/>
        </w:rPr>
        <w:t>). The main effects of group (</w:t>
      </w:r>
      <w:r>
        <w:rPr>
          <w:rFonts w:ascii="Times New Roman" w:eastAsia="Times New Roman" w:hAnsi="Times New Roman" w:cs="Times New Roman"/>
          <w:i/>
          <w:sz w:val="22"/>
        </w:rPr>
        <w:t>F</w:t>
      </w:r>
      <w:r w:rsidR="00C970ED">
        <w:rPr>
          <w:rFonts w:ascii="Times New Roman" w:eastAsia="Times New Roman" w:hAnsi="Times New Roman" w:cs="Times New Roman"/>
          <w:i/>
          <w:sz w:val="22"/>
        </w:rPr>
        <w:t xml:space="preserve"> </w:t>
      </w:r>
      <w:r>
        <w:rPr>
          <w:rFonts w:ascii="Times New Roman" w:eastAsia="Times New Roman" w:hAnsi="Times New Roman" w:cs="Times New Roman"/>
          <w:sz w:val="22"/>
        </w:rPr>
        <w:t>(3, 26)</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 xml:space="preserve">1.45, </w:t>
      </w:r>
      <w:r>
        <w:rPr>
          <w:rFonts w:ascii="Times New Roman" w:eastAsia="Times New Roman" w:hAnsi="Times New Roman" w:cs="Times New Roman"/>
          <w:i/>
          <w:sz w:val="22"/>
        </w:rPr>
        <w:t>p</w:t>
      </w:r>
      <w:r w:rsidR="00C970ED">
        <w:rPr>
          <w:rFonts w:ascii="Times New Roman" w:eastAsia="Times New Roman" w:hAnsi="Times New Roman" w:cs="Times New Roman"/>
          <w:i/>
          <w:sz w:val="22"/>
        </w:rPr>
        <w:t xml:space="preserve"> </w:t>
      </w:r>
      <w:r>
        <w:rPr>
          <w:rFonts w:ascii="Times New Roman" w:eastAsia="Times New Roman" w:hAnsi="Times New Roman" w:cs="Times New Roman"/>
          <w:i/>
          <w:sz w:val="22"/>
        </w:rPr>
        <w:t>=</w:t>
      </w:r>
      <w:r w:rsidR="00C970ED">
        <w:rPr>
          <w:rFonts w:ascii="Times New Roman" w:eastAsia="Times New Roman" w:hAnsi="Times New Roman" w:cs="Times New Roman"/>
          <w:i/>
          <w:sz w:val="22"/>
        </w:rPr>
        <w:t xml:space="preserve"> </w:t>
      </w:r>
      <w:r>
        <w:rPr>
          <w:rFonts w:ascii="Times New Roman" w:eastAsia="Times New Roman" w:hAnsi="Times New Roman" w:cs="Times New Roman"/>
          <w:sz w:val="22"/>
        </w:rPr>
        <w:t>.251, η</w:t>
      </w:r>
      <w:r>
        <w:rPr>
          <w:rFonts w:ascii="Times New Roman" w:eastAsia="Times New Roman" w:hAnsi="Times New Roman" w:cs="Times New Roman"/>
          <w:sz w:val="22"/>
          <w:vertAlign w:val="subscript"/>
        </w:rPr>
        <w:t>p</w:t>
      </w:r>
      <w:r>
        <w:rPr>
          <w:rFonts w:ascii="Times New Roman" w:eastAsia="Times New Roman" w:hAnsi="Times New Roman" w:cs="Times New Roman"/>
          <w:sz w:val="22"/>
          <w:vertAlign w:val="superscript"/>
        </w:rPr>
        <w:t>2</w:t>
      </w:r>
      <w:r w:rsidR="00C970ED">
        <w:rPr>
          <w:rFonts w:ascii="Times New Roman" w:eastAsia="Times New Roman" w:hAnsi="Times New Roman" w:cs="Times New Roman"/>
          <w:sz w:val="22"/>
          <w:vertAlign w:val="superscript"/>
        </w:rPr>
        <w:t xml:space="preserve"> </w:t>
      </w:r>
      <w:r>
        <w:rPr>
          <w:rFonts w:ascii="Times New Roman" w:eastAsia="Times New Roman" w:hAnsi="Times New Roman" w:cs="Times New Roman"/>
          <w:sz w:val="22"/>
        </w:rPr>
        <w:t>=</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.143) and interaction (</w:t>
      </w:r>
      <w:r>
        <w:rPr>
          <w:rFonts w:ascii="Times New Roman" w:eastAsia="Times New Roman" w:hAnsi="Times New Roman" w:cs="Times New Roman"/>
          <w:i/>
          <w:sz w:val="22"/>
        </w:rPr>
        <w:t>F</w:t>
      </w:r>
      <w:r w:rsidR="00C970ED">
        <w:rPr>
          <w:rFonts w:ascii="Times New Roman" w:eastAsia="Times New Roman" w:hAnsi="Times New Roman" w:cs="Times New Roman"/>
          <w:i/>
          <w:sz w:val="22"/>
        </w:rPr>
        <w:t xml:space="preserve"> </w:t>
      </w:r>
      <w:r>
        <w:rPr>
          <w:rFonts w:ascii="Times New Roman" w:eastAsia="Times New Roman" w:hAnsi="Times New Roman" w:cs="Times New Roman"/>
          <w:sz w:val="22"/>
        </w:rPr>
        <w:t>(18, 156)</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 xml:space="preserve">1.02, </w:t>
      </w:r>
      <w:r>
        <w:rPr>
          <w:rFonts w:ascii="Times New Roman" w:eastAsia="Times New Roman" w:hAnsi="Times New Roman" w:cs="Times New Roman"/>
          <w:i/>
          <w:sz w:val="22"/>
        </w:rPr>
        <w:t>p</w:t>
      </w:r>
      <w:r w:rsidR="00C970ED">
        <w:rPr>
          <w:rFonts w:ascii="Times New Roman" w:eastAsia="Times New Roman" w:hAnsi="Times New Roman" w:cs="Times New Roman"/>
          <w:i/>
          <w:sz w:val="22"/>
        </w:rPr>
        <w:t xml:space="preserve"> </w:t>
      </w:r>
      <w:r>
        <w:rPr>
          <w:rFonts w:ascii="Times New Roman" w:eastAsia="Times New Roman" w:hAnsi="Times New Roman" w:cs="Times New Roman"/>
          <w:i/>
          <w:sz w:val="22"/>
        </w:rPr>
        <w:t>=</w:t>
      </w:r>
      <w:r w:rsidR="00C970ED">
        <w:rPr>
          <w:rFonts w:ascii="Times New Roman" w:eastAsia="Times New Roman" w:hAnsi="Times New Roman" w:cs="Times New Roman"/>
          <w:i/>
          <w:sz w:val="22"/>
        </w:rPr>
        <w:t xml:space="preserve"> </w:t>
      </w:r>
      <w:r>
        <w:rPr>
          <w:rFonts w:ascii="Times New Roman" w:eastAsia="Times New Roman" w:hAnsi="Times New Roman" w:cs="Times New Roman"/>
          <w:sz w:val="22"/>
        </w:rPr>
        <w:t>.441, η</w:t>
      </w:r>
      <w:r>
        <w:rPr>
          <w:rFonts w:ascii="Times New Roman" w:eastAsia="Times New Roman" w:hAnsi="Times New Roman" w:cs="Times New Roman"/>
          <w:sz w:val="22"/>
          <w:vertAlign w:val="subscript"/>
        </w:rPr>
        <w:t>p</w:t>
      </w:r>
      <w:r>
        <w:rPr>
          <w:rFonts w:ascii="Times New Roman" w:eastAsia="Times New Roman" w:hAnsi="Times New Roman" w:cs="Times New Roman"/>
          <w:sz w:val="22"/>
          <w:vertAlign w:val="superscript"/>
        </w:rPr>
        <w:t>2</w:t>
      </w:r>
      <w:r w:rsidR="00C970ED">
        <w:rPr>
          <w:rFonts w:ascii="Times New Roman" w:eastAsia="Times New Roman" w:hAnsi="Times New Roman" w:cs="Times New Roman"/>
          <w:sz w:val="22"/>
          <w:vertAlign w:val="superscript"/>
        </w:rPr>
        <w:t xml:space="preserve"> </w:t>
      </w:r>
      <w:r>
        <w:rPr>
          <w:rFonts w:ascii="Times New Roman" w:eastAsia="Times New Roman" w:hAnsi="Times New Roman" w:cs="Times New Roman"/>
          <w:sz w:val="22"/>
        </w:rPr>
        <w:t>=</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.105) were not significant. There was a significant main effect of the time point (</w:t>
      </w:r>
      <w:r>
        <w:rPr>
          <w:rFonts w:ascii="Times New Roman" w:eastAsia="Times New Roman" w:hAnsi="Times New Roman" w:cs="Times New Roman"/>
          <w:i/>
          <w:sz w:val="22"/>
        </w:rPr>
        <w:t>F</w:t>
      </w:r>
      <w:r w:rsidR="00C970ED">
        <w:rPr>
          <w:rFonts w:ascii="Times New Roman" w:eastAsia="Times New Roman" w:hAnsi="Times New Roman" w:cs="Times New Roman"/>
          <w:i/>
          <w:sz w:val="22"/>
        </w:rPr>
        <w:t xml:space="preserve"> </w:t>
      </w:r>
      <w:r>
        <w:rPr>
          <w:rFonts w:ascii="Times New Roman" w:eastAsia="Times New Roman" w:hAnsi="Times New Roman" w:cs="Times New Roman"/>
          <w:sz w:val="22"/>
        </w:rPr>
        <w:t>(6, 156)</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 xml:space="preserve">4.54, </w:t>
      </w:r>
      <w:r>
        <w:rPr>
          <w:rFonts w:ascii="Times New Roman" w:eastAsia="Times New Roman" w:hAnsi="Times New Roman" w:cs="Times New Roman"/>
          <w:i/>
          <w:sz w:val="22"/>
        </w:rPr>
        <w:t>p</w:t>
      </w:r>
      <w:r w:rsidR="00C970ED">
        <w:rPr>
          <w:rFonts w:ascii="Times New Roman" w:eastAsia="Times New Roman" w:hAnsi="Times New Roman" w:cs="Times New Roman"/>
          <w:i/>
          <w:sz w:val="22"/>
        </w:rPr>
        <w:t xml:space="preserve"> </w:t>
      </w:r>
      <w:r>
        <w:rPr>
          <w:rFonts w:ascii="Times New Roman" w:eastAsia="Times New Roman" w:hAnsi="Times New Roman" w:cs="Times New Roman"/>
          <w:sz w:val="22"/>
        </w:rPr>
        <w:t>&lt;</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.001, η</w:t>
      </w:r>
      <w:r>
        <w:rPr>
          <w:rFonts w:ascii="Times New Roman" w:eastAsia="Times New Roman" w:hAnsi="Times New Roman" w:cs="Times New Roman"/>
          <w:sz w:val="22"/>
          <w:vertAlign w:val="subscript"/>
        </w:rPr>
        <w:t>p</w:t>
      </w:r>
      <w:r>
        <w:rPr>
          <w:rFonts w:ascii="Times New Roman" w:eastAsia="Times New Roman" w:hAnsi="Times New Roman" w:cs="Times New Roman"/>
          <w:sz w:val="22"/>
          <w:vertAlign w:val="superscript"/>
        </w:rPr>
        <w:t>2</w:t>
      </w:r>
      <w:r w:rsidR="00C970ED">
        <w:rPr>
          <w:rFonts w:ascii="Times New Roman" w:eastAsia="Times New Roman" w:hAnsi="Times New Roman" w:cs="Times New Roman"/>
          <w:sz w:val="22"/>
          <w:vertAlign w:val="superscript"/>
        </w:rPr>
        <w:t xml:space="preserve"> </w:t>
      </w:r>
      <w:r>
        <w:rPr>
          <w:rFonts w:ascii="Times New Roman" w:eastAsia="Times New Roman" w:hAnsi="Times New Roman" w:cs="Times New Roman"/>
          <w:sz w:val="22"/>
        </w:rPr>
        <w:t>=</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.149). Multiple comparisons showed that DHEA levels increased at T5 compared to those at T2 (</w:t>
      </w:r>
      <w:r>
        <w:rPr>
          <w:rFonts w:ascii="Times New Roman" w:eastAsia="Times New Roman" w:hAnsi="Times New Roman" w:cs="Times New Roman"/>
          <w:i/>
          <w:sz w:val="22"/>
        </w:rPr>
        <w:t>p</w:t>
      </w:r>
      <w:r w:rsidR="00C970ED">
        <w:rPr>
          <w:rFonts w:ascii="Times New Roman" w:eastAsia="Times New Roman" w:hAnsi="Times New Roman" w:cs="Times New Roman"/>
          <w:i/>
          <w:sz w:val="22"/>
        </w:rPr>
        <w:t xml:space="preserve"> </w:t>
      </w:r>
      <w:r>
        <w:rPr>
          <w:rFonts w:ascii="Times New Roman" w:eastAsia="Times New Roman" w:hAnsi="Times New Roman" w:cs="Times New Roman"/>
          <w:sz w:val="22"/>
        </w:rPr>
        <w:t>&lt;</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.05), and values at T3 were lower compared to those at T1, T4, and T5 (</w:t>
      </w:r>
      <w:r>
        <w:rPr>
          <w:rFonts w:ascii="Times New Roman" w:eastAsia="Times New Roman" w:hAnsi="Times New Roman" w:cs="Times New Roman"/>
          <w:i/>
          <w:sz w:val="22"/>
        </w:rPr>
        <w:t>p</w:t>
      </w:r>
      <w:r w:rsidR="00C970ED">
        <w:rPr>
          <w:rFonts w:ascii="Times New Roman" w:eastAsia="Times New Roman" w:hAnsi="Times New Roman" w:cs="Times New Roman"/>
          <w:i/>
          <w:sz w:val="22"/>
        </w:rPr>
        <w:t xml:space="preserve"> </w:t>
      </w:r>
      <w:r>
        <w:rPr>
          <w:rFonts w:ascii="Times New Roman" w:eastAsia="Times New Roman" w:hAnsi="Times New Roman" w:cs="Times New Roman"/>
          <w:sz w:val="22"/>
        </w:rPr>
        <w:t>&lt;</w:t>
      </w:r>
      <w:r w:rsidR="00C970ED">
        <w:rPr>
          <w:rFonts w:ascii="Times New Roman" w:eastAsia="Times New Roman" w:hAnsi="Times New Roman" w:cs="Times New Roman"/>
          <w:sz w:val="22"/>
        </w:rPr>
        <w:t xml:space="preserve"> </w:t>
      </w:r>
      <w:r>
        <w:rPr>
          <w:rFonts w:ascii="Times New Roman" w:eastAsia="Times New Roman" w:hAnsi="Times New Roman" w:cs="Times New Roman"/>
          <w:sz w:val="22"/>
        </w:rPr>
        <w:t xml:space="preserve">.05). </w:t>
      </w:r>
      <w:r w:rsidR="00C970ED">
        <w:rPr>
          <w:rFonts w:ascii="Times New Roman" w:eastAsia="Times New Roman" w:hAnsi="Times New Roman" w:cs="Times New Roman"/>
          <w:sz w:val="22"/>
        </w:rPr>
        <w:t xml:space="preserve">Supplementary </w:t>
      </w:r>
      <w:r>
        <w:rPr>
          <w:rFonts w:ascii="Times New Roman" w:eastAsia="Times New Roman" w:hAnsi="Times New Roman" w:cs="Times New Roman"/>
          <w:sz w:val="22"/>
        </w:rPr>
        <w:t xml:space="preserve">Fig. </w:t>
      </w:r>
      <w:r w:rsidR="00C970ED">
        <w:rPr>
          <w:rFonts w:ascii="Times New Roman" w:eastAsia="Times New Roman" w:hAnsi="Times New Roman" w:cs="Times New Roman"/>
          <w:sz w:val="22"/>
        </w:rPr>
        <w:t>1</w:t>
      </w:r>
      <w:r>
        <w:rPr>
          <w:rFonts w:ascii="Times New Roman" w:eastAsia="Times New Roman" w:hAnsi="Times New Roman" w:cs="Times New Roman"/>
          <w:sz w:val="22"/>
        </w:rPr>
        <w:t xml:space="preserve"> shows that DHEA decreased from the resting period (T1) to the stress period (T3) in the LRLA and HRLA groups, whereas no such tendency was observed in the LRHR and HRHA groups. In addition, DHEA increased from T2 to T5 in the LRHA group, but not in the HRHA group, which appeared to be flat. However, overall, there was no significant difference between the groups. </w:t>
      </w:r>
    </w:p>
    <w:p w14:paraId="00BA8F6A" w14:textId="77777777" w:rsidR="00F529EE" w:rsidRDefault="00F529EE" w:rsidP="00F529EE">
      <w:pPr>
        <w:spacing w:line="480" w:lineRule="auto"/>
        <w:rPr>
          <w:rFonts w:ascii="Times New Roman" w:hAnsi="Times New Roman" w:cs="Times New Roman"/>
          <w:sz w:val="22"/>
        </w:rPr>
      </w:pPr>
    </w:p>
    <w:p w14:paraId="101C86D0" w14:textId="42FCEFDD" w:rsidR="00F529EE" w:rsidRPr="002D1DC4" w:rsidRDefault="002D1DC4" w:rsidP="00F529EE">
      <w:pPr>
        <w:spacing w:line="480" w:lineRule="auto"/>
        <w:ind w:left="640" w:hanging="640"/>
        <w:jc w:val="left"/>
        <w:rPr>
          <w:rFonts w:ascii="Times New Roman" w:hAnsi="Times New Roman" w:cs="Times New Roman"/>
          <w:sz w:val="22"/>
        </w:rPr>
      </w:pPr>
      <w:r>
        <w:rPr>
          <w:rFonts w:ascii="Times New Roman" w:hAnsi="Times New Roman" w:cs="Times New Roman"/>
          <w:noProof/>
          <w:sz w:val="22"/>
        </w:rPr>
        <w:lastRenderedPageBreak/>
        <w:drawing>
          <wp:inline distT="0" distB="0" distL="0" distR="0" wp14:anchorId="7A487D9C" wp14:editId="76B1385E">
            <wp:extent cx="5345700" cy="4000500"/>
            <wp:effectExtent l="0" t="0" r="7620" b="0"/>
            <wp:docPr id="160552130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56703" cy="4008734"/>
                    </a:xfrm>
                    <a:prstGeom prst="rect">
                      <a:avLst/>
                    </a:prstGeom>
                    <a:noFill/>
                    <a:ln>
                      <a:noFill/>
                    </a:ln>
                  </pic:spPr>
                </pic:pic>
              </a:graphicData>
            </a:graphic>
          </wp:inline>
        </w:drawing>
      </w:r>
    </w:p>
    <w:p w14:paraId="316CA0F9" w14:textId="40417554" w:rsidR="00F529EE" w:rsidRPr="001D43AC" w:rsidRDefault="00F529EE" w:rsidP="00F529EE">
      <w:pPr>
        <w:autoSpaceDE w:val="0"/>
        <w:autoSpaceDN w:val="0"/>
        <w:adjustRightInd w:val="0"/>
        <w:spacing w:line="480" w:lineRule="auto"/>
        <w:ind w:left="640" w:hanging="640"/>
        <w:jc w:val="left"/>
        <w:rPr>
          <w:rFonts w:ascii="Times New Roman" w:hAnsi="Times New Roman" w:cs="Times New Roman"/>
          <w:noProof/>
          <w:kern w:val="0"/>
          <w:sz w:val="22"/>
          <w:szCs w:val="24"/>
        </w:rPr>
      </w:pPr>
      <w:r>
        <w:rPr>
          <w:rFonts w:ascii="Times New Roman" w:hAnsi="Times New Roman" w:cs="Times New Roman"/>
          <w:noProof/>
          <w:kern w:val="0"/>
          <w:sz w:val="22"/>
          <w:szCs w:val="24"/>
        </w:rPr>
        <w:t xml:space="preserve">Supplementary </w:t>
      </w:r>
      <w:r w:rsidRPr="00184146">
        <w:rPr>
          <w:rFonts w:ascii="Times New Roman" w:hAnsi="Times New Roman" w:cs="Times New Roman"/>
          <w:noProof/>
          <w:kern w:val="0"/>
          <w:sz w:val="22"/>
          <w:szCs w:val="24"/>
        </w:rPr>
        <w:t>Fig</w:t>
      </w:r>
      <w:r>
        <w:rPr>
          <w:rFonts w:ascii="Times New Roman" w:hAnsi="Times New Roman" w:cs="Times New Roman"/>
          <w:noProof/>
          <w:kern w:val="0"/>
          <w:sz w:val="22"/>
          <w:szCs w:val="24"/>
        </w:rPr>
        <w:t>ure 1</w:t>
      </w:r>
      <w:r w:rsidRPr="00184146">
        <w:rPr>
          <w:rFonts w:ascii="Times New Roman" w:hAnsi="Times New Roman" w:cs="Times New Roman"/>
          <w:noProof/>
          <w:kern w:val="0"/>
          <w:sz w:val="22"/>
          <w:szCs w:val="24"/>
        </w:rPr>
        <w:t>. Salivary DHEA responses for TSST-OL in each group.</w:t>
      </w:r>
      <w:r>
        <w:rPr>
          <w:rFonts w:ascii="Times New Roman" w:hAnsi="Times New Roman" w:cs="Times New Roman"/>
          <w:noProof/>
          <w:kern w:val="0"/>
          <w:sz w:val="22"/>
          <w:szCs w:val="24"/>
        </w:rPr>
        <w:t xml:space="preserve"> </w:t>
      </w:r>
    </w:p>
    <w:p w14:paraId="758CF4BE" w14:textId="77777777" w:rsidR="00B57AA6" w:rsidRPr="00F529EE" w:rsidRDefault="00B57AA6"/>
    <w:sectPr w:rsidR="00B57AA6" w:rsidRPr="00F529E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56998" w14:textId="77777777" w:rsidR="0075462D" w:rsidRDefault="0075462D" w:rsidP="000624C3">
      <w:r>
        <w:separator/>
      </w:r>
    </w:p>
  </w:endnote>
  <w:endnote w:type="continuationSeparator" w:id="0">
    <w:p w14:paraId="75052ED3" w14:textId="77777777" w:rsidR="0075462D" w:rsidRDefault="0075462D" w:rsidP="00062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51EA6" w14:textId="77777777" w:rsidR="0075462D" w:rsidRDefault="0075462D" w:rsidP="000624C3">
      <w:r>
        <w:separator/>
      </w:r>
    </w:p>
  </w:footnote>
  <w:footnote w:type="continuationSeparator" w:id="0">
    <w:p w14:paraId="2A7839C1" w14:textId="77777777" w:rsidR="0075462D" w:rsidRDefault="0075462D" w:rsidP="000624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9EE"/>
    <w:rsid w:val="000624C3"/>
    <w:rsid w:val="002171A8"/>
    <w:rsid w:val="00250B57"/>
    <w:rsid w:val="002D1DC4"/>
    <w:rsid w:val="00385A1A"/>
    <w:rsid w:val="0075462D"/>
    <w:rsid w:val="00B57AA6"/>
    <w:rsid w:val="00C970ED"/>
    <w:rsid w:val="00F529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B03111"/>
  <w15:chartTrackingRefBased/>
  <w15:docId w15:val="{F2B7695C-A04C-4938-A008-DA3CAD26B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29EE"/>
    <w:pPr>
      <w:widowControl w:val="0"/>
      <w:jc w:val="both"/>
    </w:pPr>
    <w:rPr>
      <w:lang w:v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C970ED"/>
    <w:rPr>
      <w:lang w:val=""/>
    </w:rPr>
  </w:style>
  <w:style w:type="paragraph" w:styleId="a4">
    <w:name w:val="header"/>
    <w:basedOn w:val="a"/>
    <w:link w:val="a5"/>
    <w:uiPriority w:val="99"/>
    <w:unhideWhenUsed/>
    <w:rsid w:val="000624C3"/>
    <w:pPr>
      <w:tabs>
        <w:tab w:val="center" w:pos="4252"/>
        <w:tab w:val="right" w:pos="8504"/>
      </w:tabs>
      <w:snapToGrid w:val="0"/>
    </w:pPr>
  </w:style>
  <w:style w:type="character" w:customStyle="1" w:styleId="a5">
    <w:name w:val="ヘッダー (文字)"/>
    <w:basedOn w:val="a0"/>
    <w:link w:val="a4"/>
    <w:uiPriority w:val="99"/>
    <w:rsid w:val="000624C3"/>
    <w:rPr>
      <w:lang w:val=""/>
    </w:rPr>
  </w:style>
  <w:style w:type="paragraph" w:styleId="a6">
    <w:name w:val="footer"/>
    <w:basedOn w:val="a"/>
    <w:link w:val="a7"/>
    <w:uiPriority w:val="99"/>
    <w:unhideWhenUsed/>
    <w:rsid w:val="000624C3"/>
    <w:pPr>
      <w:tabs>
        <w:tab w:val="center" w:pos="4252"/>
        <w:tab w:val="right" w:pos="8504"/>
      </w:tabs>
      <w:snapToGrid w:val="0"/>
    </w:pPr>
  </w:style>
  <w:style w:type="character" w:customStyle="1" w:styleId="a7">
    <w:name w:val="フッター (文字)"/>
    <w:basedOn w:val="a0"/>
    <w:link w:val="a6"/>
    <w:uiPriority w:val="99"/>
    <w:rsid w:val="000624C3"/>
    <w:rPr>
      <w:lang w:v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183</Words>
  <Characters>1047</Characters>
  <Application>Microsoft Office Word</Application>
  <DocSecurity>0</DocSecurity>
  <Lines>8</Lines>
  <Paragraphs>2</Paragraphs>
  <ScaleCrop>false</ScaleCrop>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将玄</dc:creator>
  <cp:keywords/>
  <dc:description/>
  <cp:lastModifiedBy>上野 将玄</cp:lastModifiedBy>
  <cp:revision>6</cp:revision>
  <dcterms:created xsi:type="dcterms:W3CDTF">2023-07-12T06:39:00Z</dcterms:created>
  <dcterms:modified xsi:type="dcterms:W3CDTF">2023-07-24T01:40:00Z</dcterms:modified>
</cp:coreProperties>
</file>