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63E00" w14:textId="3F201BC0" w:rsidR="00A70FCB" w:rsidRDefault="00877BEB" w:rsidP="00877BEB">
      <w:pPr>
        <w:pStyle w:val="Hoofdtekst"/>
        <w:spacing w:after="0" w:line="240" w:lineRule="auto"/>
        <w:rPr>
          <w:rStyle w:val="highlight"/>
          <w:rFonts w:ascii="Times New Roman" w:hAnsi="Times New Roman" w:cs="Times New Roman"/>
          <w:b/>
          <w:bCs/>
          <w:sz w:val="24"/>
          <w:szCs w:val="24"/>
          <w:shd w:val="clear" w:color="auto" w:fill="FFFFFF"/>
        </w:rPr>
      </w:pPr>
      <w:bookmarkStart w:id="0" w:name="_Hlk140752812"/>
      <w:r w:rsidRPr="00D14D0C">
        <w:rPr>
          <w:rFonts w:ascii="Times New Roman" w:hAnsi="Times New Roman" w:cs="Times New Roman"/>
          <w:b/>
          <w:bCs/>
          <w:sz w:val="24"/>
          <w:szCs w:val="24"/>
          <w:lang w:val="en-US"/>
        </w:rPr>
        <w:t xml:space="preserve">Supplementary </w:t>
      </w:r>
      <w:r w:rsidR="00A70FCB">
        <w:rPr>
          <w:rStyle w:val="highlight"/>
          <w:rFonts w:ascii="Times New Roman" w:hAnsi="Times New Roman" w:cs="Times New Roman"/>
          <w:b/>
          <w:bCs/>
          <w:sz w:val="24"/>
          <w:szCs w:val="24"/>
          <w:shd w:val="clear" w:color="auto" w:fill="FFFFFF"/>
        </w:rPr>
        <w:t>Materials</w:t>
      </w:r>
      <w:r w:rsidR="00C51B9A">
        <w:rPr>
          <w:rStyle w:val="highlight"/>
          <w:rFonts w:ascii="Times New Roman" w:hAnsi="Times New Roman" w:cs="Times New Roman"/>
          <w:b/>
          <w:bCs/>
          <w:sz w:val="24"/>
          <w:szCs w:val="24"/>
          <w:shd w:val="clear" w:color="auto" w:fill="FFFFFF"/>
        </w:rPr>
        <w:t xml:space="preserve"> 1</w:t>
      </w:r>
      <w:r w:rsidR="00C852FF">
        <w:rPr>
          <w:rStyle w:val="highlight"/>
          <w:rFonts w:ascii="Times New Roman" w:hAnsi="Times New Roman" w:cs="Times New Roman"/>
          <w:b/>
          <w:bCs/>
          <w:sz w:val="24"/>
          <w:szCs w:val="24"/>
          <w:shd w:val="clear" w:color="auto" w:fill="FFFFFF"/>
        </w:rPr>
        <w:t>: Quantitative evaluation of abstinence rates after ‘I Quit’.</w:t>
      </w:r>
    </w:p>
    <w:bookmarkEnd w:id="0"/>
    <w:p w14:paraId="532FDA8B" w14:textId="77777777" w:rsidR="00A70FCB" w:rsidRDefault="00A70FCB" w:rsidP="00877BEB">
      <w:pPr>
        <w:pStyle w:val="Hoofdtekst"/>
        <w:spacing w:after="0" w:line="240" w:lineRule="auto"/>
        <w:rPr>
          <w:rStyle w:val="highlight"/>
          <w:shd w:val="clear" w:color="auto" w:fill="FFFFFF"/>
        </w:rPr>
      </w:pPr>
    </w:p>
    <w:p w14:paraId="149EC57B" w14:textId="56C6988F" w:rsidR="00CA296D" w:rsidRDefault="00CA296D" w:rsidP="00877BEB">
      <w:pPr>
        <w:pStyle w:val="Hoofdtekst"/>
        <w:spacing w:after="0" w:line="240" w:lineRule="auto"/>
        <w:rPr>
          <w:rFonts w:ascii="Times New Roman" w:hAnsi="Times New Roman" w:cs="Times New Roman"/>
          <w:sz w:val="24"/>
          <w:szCs w:val="24"/>
          <w:lang w:val="en-US"/>
        </w:rPr>
      </w:pPr>
      <w:r w:rsidRPr="00CA296D">
        <w:rPr>
          <w:rFonts w:ascii="Times New Roman" w:hAnsi="Times New Roman" w:cs="Times New Roman"/>
          <w:sz w:val="24"/>
          <w:szCs w:val="24"/>
          <w:shd w:val="clear" w:color="auto" w:fill="FFFFFF"/>
          <w:lang w:val="en-GB"/>
        </w:rPr>
        <w:t>Quantitative data was collected in two cohorts of participants of I Quit, using an initial self-report questionnaire several weeks after attending to assess participant and smoking characteristics, and a follow-up questionnaire approximately twelve (cohort 1) or fifteen (cohort 2) months after</w:t>
      </w:r>
      <w:r w:rsidR="00FC063E">
        <w:rPr>
          <w:rFonts w:ascii="Times New Roman" w:hAnsi="Times New Roman" w:cs="Times New Roman"/>
          <w:sz w:val="24"/>
          <w:szCs w:val="24"/>
          <w:shd w:val="clear" w:color="auto" w:fill="FFFFFF"/>
          <w:lang w:val="en-GB"/>
        </w:rPr>
        <w:t xml:space="preserve"> </w:t>
      </w:r>
      <w:r w:rsidR="00FC063E" w:rsidRPr="00FC063E">
        <w:rPr>
          <w:rFonts w:ascii="Times New Roman" w:hAnsi="Times New Roman" w:cs="Times New Roman"/>
          <w:sz w:val="24"/>
          <w:szCs w:val="24"/>
          <w:lang w:val="en-US"/>
        </w:rPr>
        <w:t>attending the course to assess abstinence.</w:t>
      </w:r>
      <w:r w:rsidR="002003B0">
        <w:rPr>
          <w:rFonts w:ascii="Times New Roman" w:hAnsi="Times New Roman" w:cs="Times New Roman"/>
          <w:sz w:val="24"/>
          <w:szCs w:val="24"/>
          <w:lang w:val="en-US"/>
        </w:rPr>
        <w:t xml:space="preserve"> Interview participants were recruited from the four most recent courses of cohort 2.</w:t>
      </w:r>
    </w:p>
    <w:p w14:paraId="529BF13D" w14:textId="43828C93" w:rsidR="00972E97" w:rsidRDefault="00972E97" w:rsidP="00877BEB">
      <w:pPr>
        <w:pStyle w:val="Hoofdtekst"/>
        <w:spacing w:after="0" w:line="240" w:lineRule="auto"/>
        <w:rPr>
          <w:rFonts w:ascii="Times New Roman" w:hAnsi="Times New Roman" w:cs="Times New Roman"/>
          <w:sz w:val="24"/>
          <w:szCs w:val="24"/>
          <w:lang w:val="en-US"/>
        </w:rPr>
      </w:pPr>
    </w:p>
    <w:p w14:paraId="0257ADF6" w14:textId="4FFCF672" w:rsidR="00972E97" w:rsidRDefault="00972E97" w:rsidP="00877BEB">
      <w:pPr>
        <w:pStyle w:val="Hoofdtekst"/>
        <w:spacing w:after="0" w:line="24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Participants and recruitment</w:t>
      </w:r>
    </w:p>
    <w:p w14:paraId="368743AA" w14:textId="66C65D20" w:rsidR="002C651B" w:rsidRDefault="002C651B" w:rsidP="00877BEB">
      <w:pPr>
        <w:pStyle w:val="Hoofdtekst"/>
        <w:spacing w:after="0" w:line="240" w:lineRule="auto"/>
        <w:rPr>
          <w:rFonts w:ascii="Times New Roman" w:hAnsi="Times New Roman" w:cs="Times New Roman"/>
          <w:sz w:val="24"/>
          <w:szCs w:val="24"/>
          <w:lang w:val="en-US"/>
        </w:rPr>
      </w:pPr>
      <w:r w:rsidRPr="002C651B">
        <w:rPr>
          <w:rFonts w:ascii="Times New Roman" w:hAnsi="Times New Roman" w:cs="Times New Roman"/>
          <w:sz w:val="24"/>
          <w:szCs w:val="24"/>
          <w:lang w:val="en-US"/>
        </w:rPr>
        <w:t xml:space="preserve">Two subsequent cohorts of smokers who attended </w:t>
      </w:r>
      <w:r>
        <w:rPr>
          <w:rFonts w:ascii="Times New Roman" w:hAnsi="Times New Roman" w:cs="Times New Roman"/>
          <w:sz w:val="24"/>
          <w:szCs w:val="24"/>
          <w:lang w:val="en-US"/>
        </w:rPr>
        <w:t>I Quit</w:t>
      </w:r>
      <w:r w:rsidRPr="002C651B">
        <w:rPr>
          <w:rFonts w:ascii="Times New Roman" w:hAnsi="Times New Roman" w:cs="Times New Roman"/>
          <w:sz w:val="24"/>
          <w:szCs w:val="24"/>
          <w:lang w:val="en-US"/>
        </w:rPr>
        <w:t xml:space="preserve"> were </w:t>
      </w:r>
      <w:r w:rsidR="007E5002">
        <w:rPr>
          <w:rFonts w:ascii="Times New Roman" w:hAnsi="Times New Roman" w:cs="Times New Roman"/>
          <w:sz w:val="24"/>
          <w:szCs w:val="24"/>
          <w:lang w:val="en-US"/>
        </w:rPr>
        <w:t>invited to complete a questionnaire</w:t>
      </w:r>
      <w:r w:rsidRPr="002C651B">
        <w:rPr>
          <w:rFonts w:ascii="Times New Roman" w:hAnsi="Times New Roman" w:cs="Times New Roman"/>
          <w:sz w:val="24"/>
          <w:szCs w:val="24"/>
          <w:lang w:val="en-US"/>
        </w:rPr>
        <w:t>.</w:t>
      </w:r>
      <w:r w:rsidRPr="002C651B">
        <w:rPr>
          <w:rFonts w:ascii="Times New Roman" w:hAnsi="Times New Roman" w:cs="Times New Roman"/>
          <w:color w:val="FF0000"/>
          <w:sz w:val="24"/>
          <w:szCs w:val="24"/>
          <w:lang w:val="en-US"/>
        </w:rPr>
        <w:t xml:space="preserve"> </w:t>
      </w:r>
      <w:r w:rsidRPr="002C651B">
        <w:rPr>
          <w:rFonts w:ascii="Times New Roman" w:hAnsi="Times New Roman" w:cs="Times New Roman"/>
          <w:sz w:val="24"/>
          <w:szCs w:val="24"/>
          <w:lang w:val="en-US"/>
        </w:rPr>
        <w:t>Data collection took place from October 2014 till June 2015 for cohort 1 (five courses delivered in three municipalities in the Netherlands), and from November 2016 till February 2017 for cohort 2 (eight courses delivered in five municipalities in the Netherlands).</w:t>
      </w:r>
      <w:r w:rsidR="002003B0">
        <w:rPr>
          <w:rFonts w:ascii="Times New Roman" w:eastAsiaTheme="minorHAnsi" w:hAnsi="Times New Roman" w:cs="Times New Roman"/>
          <w:color w:val="auto"/>
          <w:sz w:val="24"/>
          <w:szCs w:val="24"/>
          <w:bdr w:val="none" w:sz="0" w:space="0" w:color="auto"/>
          <w:lang w:val="en-GB" w:eastAsia="en-US"/>
        </w:rPr>
        <w:t xml:space="preserve"> </w:t>
      </w:r>
      <w:r w:rsidR="004A7929" w:rsidRPr="004A7929">
        <w:rPr>
          <w:rFonts w:ascii="Times New Roman" w:hAnsi="Times New Roman" w:cs="Times New Roman"/>
          <w:sz w:val="24"/>
          <w:szCs w:val="24"/>
          <w:lang w:val="en-US"/>
        </w:rPr>
        <w:t>Most attendees paid fifty to one hundred euros for attending the course, except for participants of one of the cohort 1 courses that was provided for free by the foundation I Quit</w:t>
      </w:r>
      <w:r w:rsidR="004A7929">
        <w:rPr>
          <w:rFonts w:ascii="Times New Roman" w:hAnsi="Times New Roman" w:cs="Times New Roman"/>
          <w:sz w:val="24"/>
          <w:szCs w:val="24"/>
          <w:lang w:val="en-US"/>
        </w:rPr>
        <w:t>.</w:t>
      </w:r>
      <w:r w:rsidR="004A7929" w:rsidRPr="002003B0">
        <w:rPr>
          <w:rFonts w:ascii="Times New Roman" w:hAnsi="Times New Roman" w:cs="Times New Roman"/>
          <w:sz w:val="24"/>
          <w:szCs w:val="24"/>
          <w:lang w:val="en-GB"/>
        </w:rPr>
        <w:t xml:space="preserve"> </w:t>
      </w:r>
      <w:r w:rsidR="002003B0" w:rsidRPr="002003B0">
        <w:rPr>
          <w:rFonts w:ascii="Times New Roman" w:hAnsi="Times New Roman" w:cs="Times New Roman"/>
          <w:sz w:val="24"/>
          <w:szCs w:val="24"/>
          <w:lang w:val="en-GB"/>
        </w:rPr>
        <w:t xml:space="preserve">All course attendees were invited to participate, no further in- or exclusion criteria were specified. </w:t>
      </w:r>
      <w:bookmarkStart w:id="1" w:name="_Hlk102120436"/>
      <w:r w:rsidR="002003B0" w:rsidRPr="002003B0">
        <w:rPr>
          <w:rFonts w:ascii="Times New Roman" w:hAnsi="Times New Roman" w:cs="Times New Roman"/>
          <w:sz w:val="24"/>
          <w:szCs w:val="24"/>
          <w:lang w:val="en-GB"/>
        </w:rPr>
        <w:t>Interested attendees left their contact details using forms provided at the course location, and indicated whether they wanted to be approached by phone or e-mail.</w:t>
      </w:r>
      <w:bookmarkEnd w:id="1"/>
      <w:r w:rsidR="002003B0" w:rsidRPr="002003B0">
        <w:rPr>
          <w:rFonts w:ascii="Times New Roman" w:hAnsi="Times New Roman" w:cs="Times New Roman"/>
          <w:sz w:val="24"/>
          <w:szCs w:val="24"/>
          <w:lang w:val="en-GB"/>
        </w:rPr>
        <w:t xml:space="preserve"> Informed consent and questionnaires were sent online or by post, depending on participants’ preference. </w:t>
      </w:r>
      <w:r w:rsidR="002003B0" w:rsidRPr="002003B0">
        <w:rPr>
          <w:rFonts w:ascii="Times New Roman" w:hAnsi="Times New Roman" w:cs="Times New Roman"/>
          <w:sz w:val="24"/>
          <w:szCs w:val="24"/>
          <w:lang w:val="en-US"/>
        </w:rPr>
        <w:t>Informed consent for study participation was obtained from 117 cohort 1 participants and 179 cohort 2 participants.</w:t>
      </w:r>
    </w:p>
    <w:p w14:paraId="23789E5D" w14:textId="656012DA" w:rsidR="00A349BD" w:rsidRDefault="00A349BD" w:rsidP="00877BEB">
      <w:pPr>
        <w:pStyle w:val="Hoofdtekst"/>
        <w:spacing w:after="0" w:line="240" w:lineRule="auto"/>
        <w:rPr>
          <w:rStyle w:val="highlight"/>
          <w:rFonts w:ascii="Times New Roman" w:hAnsi="Times New Roman" w:cs="Times New Roman"/>
          <w:sz w:val="24"/>
          <w:szCs w:val="24"/>
          <w:shd w:val="clear" w:color="auto" w:fill="FFFFFF"/>
        </w:rPr>
      </w:pPr>
    </w:p>
    <w:p w14:paraId="31C01076" w14:textId="7D5AABF0" w:rsidR="00A349BD" w:rsidRDefault="00A349BD" w:rsidP="00877BEB">
      <w:pPr>
        <w:pStyle w:val="Hoofdtekst"/>
        <w:spacing w:after="0" w:line="240" w:lineRule="auto"/>
        <w:rPr>
          <w:rStyle w:val="highlight"/>
          <w:rFonts w:ascii="Times New Roman" w:hAnsi="Times New Roman" w:cs="Times New Roman"/>
          <w:i/>
          <w:iCs/>
          <w:sz w:val="24"/>
          <w:szCs w:val="24"/>
          <w:shd w:val="clear" w:color="auto" w:fill="FFFFFF"/>
        </w:rPr>
      </w:pPr>
      <w:r>
        <w:rPr>
          <w:rStyle w:val="highlight"/>
          <w:rFonts w:ascii="Times New Roman" w:hAnsi="Times New Roman" w:cs="Times New Roman"/>
          <w:i/>
          <w:iCs/>
          <w:sz w:val="24"/>
          <w:szCs w:val="24"/>
          <w:shd w:val="clear" w:color="auto" w:fill="FFFFFF"/>
        </w:rPr>
        <w:t>Procedures</w:t>
      </w:r>
    </w:p>
    <w:p w14:paraId="1A830469" w14:textId="7171FDC0" w:rsidR="00A349BD" w:rsidRDefault="00A349BD" w:rsidP="00A349BD">
      <w:pPr>
        <w:spacing w:after="0" w:line="240" w:lineRule="auto"/>
        <w:rPr>
          <w:rFonts w:ascii="Times New Roman" w:hAnsi="Times New Roman" w:cs="Times New Roman"/>
          <w:sz w:val="24"/>
          <w:szCs w:val="24"/>
        </w:rPr>
      </w:pPr>
      <w:r>
        <w:rPr>
          <w:rFonts w:ascii="Times New Roman" w:hAnsi="Times New Roman" w:cs="Times New Roman"/>
          <w:sz w:val="24"/>
          <w:szCs w:val="24"/>
        </w:rPr>
        <w:t>Quantitative data was collected through self-report questionnaires. Both questionnaires in cohort 1 and the initial questionnaire in cohort 2 were administered by post or by e-mail, depending on participant’s preference. The Qualtrics program was used for the follow-up questionnaire in cohort 2.</w:t>
      </w:r>
      <w:r w:rsidRPr="00A65D63">
        <w:rPr>
          <w:rFonts w:ascii="Times New Roman" w:hAnsi="Times New Roman" w:cs="Times New Roman"/>
          <w:sz w:val="24"/>
          <w:szCs w:val="24"/>
        </w:rPr>
        <w:t xml:space="preserve"> </w:t>
      </w:r>
      <w:r>
        <w:rPr>
          <w:rFonts w:ascii="Times New Roman" w:hAnsi="Times New Roman" w:cs="Times New Roman"/>
          <w:sz w:val="24"/>
          <w:szCs w:val="24"/>
        </w:rPr>
        <w:t xml:space="preserve">Participants who did not complete the follow-up questionnaire were first reminded by e-mail. We called participants who still did not respond, and offered to complete the questionnaire during the phone call. </w:t>
      </w:r>
      <w:r w:rsidRPr="00A65D63">
        <w:rPr>
          <w:rFonts w:ascii="Times New Roman" w:hAnsi="Times New Roman" w:cs="Times New Roman"/>
          <w:sz w:val="24"/>
          <w:szCs w:val="24"/>
        </w:rPr>
        <w:t>Prolonged</w:t>
      </w:r>
      <w:r>
        <w:rPr>
          <w:rFonts w:ascii="Times New Roman" w:hAnsi="Times New Roman" w:cs="Times New Roman"/>
          <w:sz w:val="24"/>
          <w:szCs w:val="24"/>
        </w:rPr>
        <w:t xml:space="preserve"> abstinence was assessed with one question, i.e. ‘Did you smoke since participating in the course?’ yes/no.</w:t>
      </w:r>
    </w:p>
    <w:p w14:paraId="3D2091E1" w14:textId="66760D6F" w:rsidR="003023B2" w:rsidRDefault="003023B2" w:rsidP="00A349B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Quantitative data collection followed </w:t>
      </w:r>
      <w:r w:rsidRPr="003023B2">
        <w:rPr>
          <w:rFonts w:ascii="Times New Roman" w:hAnsi="Times New Roman" w:cs="Times New Roman"/>
          <w:sz w:val="24"/>
          <w:szCs w:val="24"/>
        </w:rPr>
        <w:t xml:space="preserve">the guidelines of the Helsinki Declaration of Good Clinical Research Practice. Both the original research protocol (for cohort 1) and its amendments (for cohort 2, and the second round of interviews) were cleared for ethics by the Medical Ethics Committee of Leiden University Medical Centre (P14.327). All participants signed a written (online) informed consent for quantitative data collection. </w:t>
      </w:r>
    </w:p>
    <w:p w14:paraId="17AA7EA9" w14:textId="02C9D92A" w:rsidR="00C50C16" w:rsidRDefault="00C50C16" w:rsidP="00A349BD">
      <w:pPr>
        <w:spacing w:after="0" w:line="240" w:lineRule="auto"/>
        <w:rPr>
          <w:rFonts w:ascii="Times New Roman" w:hAnsi="Times New Roman" w:cs="Times New Roman"/>
          <w:sz w:val="24"/>
          <w:szCs w:val="24"/>
        </w:rPr>
      </w:pPr>
    </w:p>
    <w:p w14:paraId="149CC37A" w14:textId="4DC5E984" w:rsidR="00C50C16" w:rsidRDefault="00C50C16" w:rsidP="00A349BD">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Analysis</w:t>
      </w:r>
    </w:p>
    <w:p w14:paraId="72555D81" w14:textId="5FF4A1C3" w:rsidR="00C50C16" w:rsidRDefault="00C50C16" w:rsidP="00C50C16">
      <w:pPr>
        <w:spacing w:after="0" w:line="240" w:lineRule="auto"/>
        <w:rPr>
          <w:rFonts w:ascii="Times New Roman" w:hAnsi="Times New Roman" w:cs="Times New Roman"/>
          <w:sz w:val="24"/>
          <w:szCs w:val="24"/>
          <w:lang w:val="en-US"/>
        </w:rPr>
      </w:pPr>
      <w:r w:rsidRPr="00C50C16">
        <w:rPr>
          <w:rFonts w:ascii="Times New Roman" w:hAnsi="Times New Roman" w:cs="Times New Roman"/>
          <w:sz w:val="24"/>
          <w:szCs w:val="24"/>
          <w:lang w:val="en-US"/>
        </w:rPr>
        <w:t>Descriptive statistics were used to assess prolonged abstinence, using both a per protocol analysis and an intent-to-treat analysis, using SPSS version 25. In the intent-to-treat analysis, participants who did not response at follow-up were marked as non-abstinent</w:t>
      </w:r>
      <w:r>
        <w:rPr>
          <w:rFonts w:ascii="Times New Roman" w:hAnsi="Times New Roman" w:cs="Times New Roman"/>
          <w:sz w:val="24"/>
          <w:szCs w:val="24"/>
          <w:lang w:val="en-US"/>
        </w:rPr>
        <w:t>.</w:t>
      </w:r>
    </w:p>
    <w:p w14:paraId="46EE9B84" w14:textId="4AD10373" w:rsidR="004F550C" w:rsidRDefault="004F550C" w:rsidP="00C50C16">
      <w:pPr>
        <w:spacing w:after="0" w:line="240" w:lineRule="auto"/>
        <w:rPr>
          <w:rFonts w:ascii="Times New Roman" w:hAnsi="Times New Roman" w:cs="Times New Roman"/>
          <w:sz w:val="24"/>
          <w:szCs w:val="24"/>
          <w:lang w:val="en-US"/>
        </w:rPr>
      </w:pPr>
    </w:p>
    <w:p w14:paraId="4F7E2D37" w14:textId="4A20D5EC" w:rsidR="004F550C" w:rsidRDefault="004F550C" w:rsidP="00C50C16">
      <w:pPr>
        <w:spacing w:after="0" w:line="24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Results</w:t>
      </w:r>
    </w:p>
    <w:p w14:paraId="1B790920" w14:textId="4CF4267B" w:rsidR="00275804" w:rsidRPr="00275804" w:rsidRDefault="00275804" w:rsidP="00275804">
      <w:pPr>
        <w:spacing w:after="0" w:line="240" w:lineRule="auto"/>
        <w:rPr>
          <w:rFonts w:ascii="Times New Roman" w:hAnsi="Times New Roman" w:cs="Times New Roman"/>
          <w:sz w:val="24"/>
          <w:szCs w:val="24"/>
          <w:lang w:val="en-US"/>
        </w:rPr>
      </w:pPr>
      <w:r w:rsidRPr="00275804">
        <w:rPr>
          <w:rFonts w:ascii="Times New Roman" w:hAnsi="Times New Roman" w:cs="Times New Roman"/>
          <w:sz w:val="24"/>
          <w:szCs w:val="24"/>
          <w:lang w:val="en-US"/>
        </w:rPr>
        <w:t>Most course participants did not provide informed consent for study participation, complicating the reliable assessment of abstinence rates and course evaluation at follow-up. These findings are likely to be biased due to high attrition.</w:t>
      </w:r>
      <w:r>
        <w:rPr>
          <w:rFonts w:ascii="Times New Roman" w:hAnsi="Times New Roman" w:cs="Times New Roman"/>
          <w:sz w:val="24"/>
          <w:szCs w:val="24"/>
          <w:lang w:val="en-US"/>
        </w:rPr>
        <w:t xml:space="preserve"> </w:t>
      </w:r>
      <w:r w:rsidRPr="00275804">
        <w:rPr>
          <w:rFonts w:ascii="Times New Roman" w:hAnsi="Times New Roman" w:cs="Times New Roman"/>
          <w:sz w:val="24"/>
          <w:szCs w:val="24"/>
          <w:lang w:val="en-US"/>
        </w:rPr>
        <w:t xml:space="preserve">According to Foundation I Quit, 440 and 1411 people participated in the courses grouped as cohorts 1 and 2, respectively. Informed consent for study participation was obtained from 117 (26.5%) cohort 1 participants and 179 (12.6%) cohort 2 participants, such that the study samples are likely to be biased (see </w:t>
      </w:r>
      <w:r>
        <w:rPr>
          <w:rFonts w:ascii="Times New Roman" w:hAnsi="Times New Roman" w:cs="Times New Roman"/>
          <w:sz w:val="24"/>
          <w:szCs w:val="24"/>
          <w:lang w:val="en-US"/>
        </w:rPr>
        <w:t xml:space="preserve">Table 1 </w:t>
      </w:r>
      <w:r w:rsidRPr="00275804">
        <w:rPr>
          <w:rFonts w:ascii="Times New Roman" w:hAnsi="Times New Roman" w:cs="Times New Roman"/>
          <w:sz w:val="24"/>
          <w:szCs w:val="24"/>
          <w:lang w:val="en-US"/>
        </w:rPr>
        <w:t xml:space="preserve">for participant characteristics). Follow-up data was collected from 110 cohort 1 participants at twelve months after the course, and from 98 cohort 2 participants fifteen </w:t>
      </w:r>
      <w:r w:rsidRPr="00275804">
        <w:rPr>
          <w:rFonts w:ascii="Times New Roman" w:hAnsi="Times New Roman" w:cs="Times New Roman"/>
          <w:sz w:val="24"/>
          <w:szCs w:val="24"/>
          <w:lang w:val="en-US"/>
        </w:rPr>
        <w:lastRenderedPageBreak/>
        <w:t>months after the course. At follow-up, 53 cohort 1 participants and 63 cohort 2 participants reported abstinence. Compared to the study samples (i.e. people providing informed consent) and adopting an intent-to-treat approach, abstinence was 45.3% in cohort 1 and 35.2% in cohort 2, assuming ‘not abstinent’ for drop-outs. However, compared to the total number of course participants, abstinence rates are 12.0% for cohort 1, and 4.4% for cohort 2. As such, abstinence at follow-up is estimated to lie between 4.4% and 45.3%.</w:t>
      </w:r>
    </w:p>
    <w:p w14:paraId="18B462C7" w14:textId="77777777" w:rsidR="00A349BD" w:rsidRPr="00A349BD" w:rsidRDefault="00A349BD" w:rsidP="00A349BD">
      <w:pPr>
        <w:pStyle w:val="Hoofdtekst"/>
        <w:spacing w:after="0" w:line="240" w:lineRule="auto"/>
        <w:rPr>
          <w:rStyle w:val="highlight"/>
          <w:rFonts w:ascii="Times New Roman" w:hAnsi="Times New Roman" w:cs="Times New Roman"/>
          <w:sz w:val="24"/>
          <w:szCs w:val="24"/>
          <w:shd w:val="clear" w:color="auto" w:fill="FFFFFF"/>
        </w:rPr>
      </w:pPr>
    </w:p>
    <w:p w14:paraId="7A877B08" w14:textId="77777777" w:rsidR="00CA296D" w:rsidRDefault="00CA296D" w:rsidP="00877BEB">
      <w:pPr>
        <w:pStyle w:val="Hoofdtekst"/>
        <w:spacing w:after="0" w:line="240" w:lineRule="auto"/>
        <w:rPr>
          <w:rStyle w:val="highlight"/>
          <w:rFonts w:ascii="Times New Roman" w:hAnsi="Times New Roman" w:cs="Times New Roman"/>
          <w:b/>
          <w:bCs/>
          <w:sz w:val="24"/>
          <w:szCs w:val="24"/>
          <w:shd w:val="clear" w:color="auto" w:fill="FFFFFF"/>
        </w:rPr>
      </w:pPr>
    </w:p>
    <w:p w14:paraId="5EB44F02" w14:textId="428B6572" w:rsidR="00877BEB" w:rsidRPr="00D14D0C" w:rsidRDefault="00652DE8" w:rsidP="00877BEB">
      <w:pPr>
        <w:pStyle w:val="Hoofdtekst"/>
        <w:spacing w:after="0" w:line="240" w:lineRule="auto"/>
        <w:rPr>
          <w:rStyle w:val="highlight"/>
          <w:rFonts w:ascii="Times New Roman" w:hAnsi="Times New Roman" w:cs="Times New Roman"/>
          <w:b/>
          <w:bCs/>
          <w:sz w:val="24"/>
          <w:szCs w:val="24"/>
          <w:shd w:val="clear" w:color="auto" w:fill="FFFFFF"/>
        </w:rPr>
      </w:pPr>
      <w:r>
        <w:rPr>
          <w:rStyle w:val="highlight"/>
          <w:rFonts w:ascii="Times New Roman" w:hAnsi="Times New Roman" w:cs="Times New Roman"/>
          <w:b/>
          <w:bCs/>
          <w:sz w:val="24"/>
          <w:szCs w:val="24"/>
          <w:shd w:val="clear" w:color="auto" w:fill="FFFFFF"/>
        </w:rPr>
        <w:t xml:space="preserve">Supplementary </w:t>
      </w:r>
      <w:r w:rsidR="00A70FCB">
        <w:rPr>
          <w:rStyle w:val="highlight"/>
          <w:rFonts w:ascii="Times New Roman" w:hAnsi="Times New Roman" w:cs="Times New Roman"/>
          <w:b/>
          <w:bCs/>
          <w:sz w:val="24"/>
          <w:szCs w:val="24"/>
          <w:shd w:val="clear" w:color="auto" w:fill="FFFFFF"/>
        </w:rPr>
        <w:t>Table 1. P</w:t>
      </w:r>
      <w:r w:rsidR="00877BEB" w:rsidRPr="00D14D0C">
        <w:rPr>
          <w:rStyle w:val="highlight"/>
          <w:rFonts w:ascii="Times New Roman" w:hAnsi="Times New Roman" w:cs="Times New Roman"/>
          <w:b/>
          <w:bCs/>
          <w:sz w:val="24"/>
          <w:szCs w:val="24"/>
          <w:shd w:val="clear" w:color="auto" w:fill="FFFFFF"/>
        </w:rPr>
        <w:t>articipant characteristics and course evaluation in cohort 1 and 2.</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9"/>
        <w:gridCol w:w="1559"/>
        <w:gridCol w:w="1782"/>
        <w:gridCol w:w="1782"/>
      </w:tblGrid>
      <w:tr w:rsidR="00877BEB" w:rsidRPr="00364F87" w14:paraId="070B1973" w14:textId="77777777" w:rsidTr="00941EDC">
        <w:tc>
          <w:tcPr>
            <w:tcW w:w="0" w:type="auto"/>
            <w:tcBorders>
              <w:top w:val="single" w:sz="4" w:space="0" w:color="auto"/>
              <w:bottom w:val="single" w:sz="4" w:space="0" w:color="auto"/>
            </w:tcBorders>
          </w:tcPr>
          <w:p w14:paraId="4647EDF2"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b/>
                <w:bCs/>
                <w:sz w:val="24"/>
                <w:szCs w:val="24"/>
                <w:shd w:val="clear" w:color="auto" w:fill="FFFFFF"/>
              </w:rPr>
            </w:pPr>
            <w:r w:rsidRPr="00364F87">
              <w:rPr>
                <w:rStyle w:val="highlight"/>
                <w:rFonts w:ascii="Times New Roman" w:hAnsi="Times New Roman" w:cs="Times New Roman"/>
                <w:b/>
                <w:bCs/>
                <w:sz w:val="24"/>
                <w:szCs w:val="24"/>
                <w:shd w:val="clear" w:color="auto" w:fill="FFFFFF"/>
              </w:rPr>
              <w:t>Characteristic</w:t>
            </w:r>
          </w:p>
        </w:tc>
        <w:tc>
          <w:tcPr>
            <w:tcW w:w="0" w:type="auto"/>
            <w:tcBorders>
              <w:top w:val="single" w:sz="4" w:space="0" w:color="auto"/>
              <w:bottom w:val="single" w:sz="4" w:space="0" w:color="auto"/>
            </w:tcBorders>
          </w:tcPr>
          <w:p w14:paraId="50803E2C"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b/>
                <w:bCs/>
                <w:sz w:val="24"/>
                <w:szCs w:val="24"/>
                <w:shd w:val="clear" w:color="auto" w:fill="FFFFFF"/>
              </w:rPr>
            </w:pPr>
            <w:r w:rsidRPr="00364F87">
              <w:rPr>
                <w:rStyle w:val="highlight"/>
                <w:rFonts w:ascii="Times New Roman" w:hAnsi="Times New Roman" w:cs="Times New Roman"/>
                <w:b/>
                <w:bCs/>
                <w:sz w:val="24"/>
                <w:szCs w:val="24"/>
                <w:shd w:val="clear" w:color="auto" w:fill="FFFFFF"/>
              </w:rPr>
              <w:t>Category</w:t>
            </w:r>
          </w:p>
        </w:tc>
        <w:tc>
          <w:tcPr>
            <w:tcW w:w="0" w:type="auto"/>
            <w:tcBorders>
              <w:top w:val="single" w:sz="4" w:space="0" w:color="auto"/>
              <w:bottom w:val="single" w:sz="4" w:space="0" w:color="auto"/>
            </w:tcBorders>
          </w:tcPr>
          <w:p w14:paraId="62DDEEFB"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b/>
                <w:bCs/>
                <w:sz w:val="24"/>
                <w:szCs w:val="24"/>
                <w:shd w:val="clear" w:color="auto" w:fill="FFFFFF"/>
              </w:rPr>
            </w:pPr>
            <w:r w:rsidRPr="00364F87">
              <w:rPr>
                <w:rStyle w:val="highlight"/>
                <w:rFonts w:ascii="Times New Roman" w:hAnsi="Times New Roman" w:cs="Times New Roman"/>
                <w:b/>
                <w:bCs/>
                <w:sz w:val="24"/>
                <w:szCs w:val="24"/>
                <w:shd w:val="clear" w:color="auto" w:fill="FFFFFF"/>
              </w:rPr>
              <w:t>Cohort 1 (</w:t>
            </w:r>
            <w:r w:rsidRPr="00364F87">
              <w:rPr>
                <w:rStyle w:val="highlight"/>
                <w:rFonts w:ascii="Times New Roman" w:hAnsi="Times New Roman" w:cs="Times New Roman"/>
                <w:b/>
                <w:bCs/>
                <w:i/>
                <w:iCs/>
                <w:sz w:val="24"/>
                <w:szCs w:val="24"/>
                <w:shd w:val="clear" w:color="auto" w:fill="FFFFFF"/>
              </w:rPr>
              <w:t>N</w:t>
            </w:r>
            <w:r w:rsidRPr="00364F87">
              <w:rPr>
                <w:rStyle w:val="highlight"/>
                <w:rFonts w:ascii="Times New Roman" w:hAnsi="Times New Roman" w:cs="Times New Roman"/>
                <w:b/>
                <w:bCs/>
                <w:sz w:val="24"/>
                <w:szCs w:val="24"/>
                <w:shd w:val="clear" w:color="auto" w:fill="FFFFFF"/>
              </w:rPr>
              <w:t>=117)</w:t>
            </w:r>
          </w:p>
        </w:tc>
        <w:tc>
          <w:tcPr>
            <w:tcW w:w="0" w:type="auto"/>
            <w:tcBorders>
              <w:top w:val="single" w:sz="4" w:space="0" w:color="auto"/>
              <w:bottom w:val="single" w:sz="4" w:space="0" w:color="auto"/>
            </w:tcBorders>
          </w:tcPr>
          <w:p w14:paraId="7725FA95"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b/>
                <w:bCs/>
                <w:sz w:val="24"/>
                <w:szCs w:val="24"/>
                <w:shd w:val="clear" w:color="auto" w:fill="FFFFFF"/>
              </w:rPr>
            </w:pPr>
            <w:r w:rsidRPr="00364F87">
              <w:rPr>
                <w:rStyle w:val="highlight"/>
                <w:rFonts w:ascii="Times New Roman" w:hAnsi="Times New Roman" w:cs="Times New Roman"/>
                <w:b/>
                <w:bCs/>
                <w:sz w:val="24"/>
                <w:szCs w:val="24"/>
                <w:shd w:val="clear" w:color="auto" w:fill="FFFFFF"/>
              </w:rPr>
              <w:t>Cohort 2 (</w:t>
            </w:r>
            <w:r w:rsidRPr="00364F87">
              <w:rPr>
                <w:rStyle w:val="highlight"/>
                <w:rFonts w:ascii="Times New Roman" w:hAnsi="Times New Roman" w:cs="Times New Roman"/>
                <w:b/>
                <w:bCs/>
                <w:i/>
                <w:iCs/>
                <w:sz w:val="24"/>
                <w:szCs w:val="24"/>
                <w:shd w:val="clear" w:color="auto" w:fill="FFFFFF"/>
              </w:rPr>
              <w:t>N</w:t>
            </w:r>
            <w:r w:rsidRPr="00364F87">
              <w:rPr>
                <w:rStyle w:val="highlight"/>
                <w:rFonts w:ascii="Times New Roman" w:hAnsi="Times New Roman" w:cs="Times New Roman"/>
                <w:b/>
                <w:bCs/>
                <w:sz w:val="24"/>
                <w:szCs w:val="24"/>
                <w:shd w:val="clear" w:color="auto" w:fill="FFFFFF"/>
              </w:rPr>
              <w:t>=179)</w:t>
            </w:r>
          </w:p>
        </w:tc>
      </w:tr>
      <w:tr w:rsidR="00877BEB" w:rsidRPr="00364F87" w14:paraId="1786C129" w14:textId="77777777" w:rsidTr="00941EDC">
        <w:tc>
          <w:tcPr>
            <w:tcW w:w="0" w:type="auto"/>
            <w:tcBorders>
              <w:top w:val="single" w:sz="4" w:space="0" w:color="auto"/>
            </w:tcBorders>
            <w:shd w:val="clear" w:color="auto" w:fill="auto"/>
          </w:tcPr>
          <w:p w14:paraId="4FDBF2DE"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Age in years, mean (SD)</w:t>
            </w:r>
          </w:p>
        </w:tc>
        <w:tc>
          <w:tcPr>
            <w:tcW w:w="0" w:type="auto"/>
            <w:tcBorders>
              <w:top w:val="single" w:sz="4" w:space="0" w:color="auto"/>
            </w:tcBorders>
            <w:shd w:val="clear" w:color="auto" w:fill="auto"/>
          </w:tcPr>
          <w:p w14:paraId="4401214A"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tcBorders>
              <w:top w:val="single" w:sz="4" w:space="0" w:color="auto"/>
            </w:tcBorders>
          </w:tcPr>
          <w:p w14:paraId="7A66EA46"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51.2 (12.1)</w:t>
            </w:r>
          </w:p>
        </w:tc>
        <w:tc>
          <w:tcPr>
            <w:tcW w:w="0" w:type="auto"/>
            <w:tcBorders>
              <w:top w:val="single" w:sz="4" w:space="0" w:color="auto"/>
            </w:tcBorders>
          </w:tcPr>
          <w:p w14:paraId="593669D4"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51.84 (12.45)</w:t>
            </w:r>
          </w:p>
        </w:tc>
      </w:tr>
      <w:tr w:rsidR="00877BEB" w:rsidRPr="00364F87" w14:paraId="286CB21F" w14:textId="77777777" w:rsidTr="00941EDC">
        <w:tc>
          <w:tcPr>
            <w:tcW w:w="0" w:type="auto"/>
            <w:shd w:val="clear" w:color="auto" w:fill="auto"/>
          </w:tcPr>
          <w:p w14:paraId="27ACFEE3"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Gender, % (n)</w:t>
            </w:r>
          </w:p>
        </w:tc>
        <w:tc>
          <w:tcPr>
            <w:tcW w:w="0" w:type="auto"/>
            <w:shd w:val="clear" w:color="auto" w:fill="auto"/>
          </w:tcPr>
          <w:p w14:paraId="32BB1EC3"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Male</w:t>
            </w:r>
          </w:p>
        </w:tc>
        <w:tc>
          <w:tcPr>
            <w:tcW w:w="0" w:type="auto"/>
          </w:tcPr>
          <w:p w14:paraId="4F97DF94"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41.9 (49)</w:t>
            </w:r>
          </w:p>
        </w:tc>
        <w:tc>
          <w:tcPr>
            <w:tcW w:w="0" w:type="auto"/>
          </w:tcPr>
          <w:p w14:paraId="10690836"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vertAlign w:val="superscript"/>
              </w:rPr>
            </w:pPr>
            <w:r w:rsidRPr="00364F87">
              <w:rPr>
                <w:rStyle w:val="Hyperlink2"/>
                <w:rFonts w:ascii="Times New Roman" w:hAnsi="Times New Roman" w:cs="Times New Roman"/>
                <w:sz w:val="24"/>
                <w:szCs w:val="24"/>
              </w:rPr>
              <w:t>44.2 (76)</w:t>
            </w:r>
            <w:r w:rsidRPr="00364F87">
              <w:rPr>
                <w:rStyle w:val="Hyperlink2"/>
                <w:rFonts w:ascii="Times New Roman" w:hAnsi="Times New Roman" w:cs="Times New Roman"/>
                <w:sz w:val="24"/>
                <w:szCs w:val="24"/>
                <w:vertAlign w:val="superscript"/>
              </w:rPr>
              <w:t>a</w:t>
            </w:r>
          </w:p>
        </w:tc>
      </w:tr>
      <w:tr w:rsidR="00877BEB" w:rsidRPr="00364F87" w14:paraId="42A1FC71" w14:textId="77777777" w:rsidTr="00941EDC">
        <w:trPr>
          <w:trHeight w:val="281"/>
        </w:trPr>
        <w:tc>
          <w:tcPr>
            <w:tcW w:w="0" w:type="auto"/>
            <w:shd w:val="clear" w:color="auto" w:fill="auto"/>
          </w:tcPr>
          <w:p w14:paraId="6CFA1312"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Educational level, % (n)</w:t>
            </w:r>
          </w:p>
        </w:tc>
        <w:tc>
          <w:tcPr>
            <w:tcW w:w="0" w:type="auto"/>
            <w:shd w:val="clear" w:color="auto" w:fill="auto"/>
          </w:tcPr>
          <w:p w14:paraId="50BA8223"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 xml:space="preserve">Lower </w:t>
            </w:r>
          </w:p>
        </w:tc>
        <w:tc>
          <w:tcPr>
            <w:tcW w:w="0" w:type="auto"/>
          </w:tcPr>
          <w:p w14:paraId="1E1F686F"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14.5 (17)</w:t>
            </w:r>
          </w:p>
        </w:tc>
        <w:tc>
          <w:tcPr>
            <w:tcW w:w="0" w:type="auto"/>
          </w:tcPr>
          <w:p w14:paraId="35F63D7F"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26.3 (47)</w:t>
            </w:r>
          </w:p>
        </w:tc>
      </w:tr>
      <w:tr w:rsidR="00877BEB" w:rsidRPr="00364F87" w14:paraId="1FDD029B" w14:textId="77777777" w:rsidTr="00941EDC">
        <w:tc>
          <w:tcPr>
            <w:tcW w:w="0" w:type="auto"/>
            <w:shd w:val="clear" w:color="auto" w:fill="auto"/>
          </w:tcPr>
          <w:p w14:paraId="5B5E4394"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4A537E60"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 xml:space="preserve">Average </w:t>
            </w:r>
          </w:p>
        </w:tc>
        <w:tc>
          <w:tcPr>
            <w:tcW w:w="0" w:type="auto"/>
          </w:tcPr>
          <w:p w14:paraId="0023FB27"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25.6 (30)</w:t>
            </w:r>
          </w:p>
        </w:tc>
        <w:tc>
          <w:tcPr>
            <w:tcW w:w="0" w:type="auto"/>
          </w:tcPr>
          <w:p w14:paraId="7F66A536"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43.0 (77)</w:t>
            </w:r>
          </w:p>
        </w:tc>
      </w:tr>
      <w:tr w:rsidR="00877BEB" w:rsidRPr="00364F87" w14:paraId="5C3CE0AF" w14:textId="77777777" w:rsidTr="00941EDC">
        <w:tc>
          <w:tcPr>
            <w:tcW w:w="0" w:type="auto"/>
            <w:shd w:val="clear" w:color="auto" w:fill="auto"/>
          </w:tcPr>
          <w:p w14:paraId="7CB9AB14"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79E515FF"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Higher</w:t>
            </w:r>
          </w:p>
        </w:tc>
        <w:tc>
          <w:tcPr>
            <w:tcW w:w="0" w:type="auto"/>
          </w:tcPr>
          <w:p w14:paraId="6489E207"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59.8 (70)</w:t>
            </w:r>
          </w:p>
        </w:tc>
        <w:tc>
          <w:tcPr>
            <w:tcW w:w="0" w:type="auto"/>
          </w:tcPr>
          <w:p w14:paraId="18B11344"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30.7 (55)</w:t>
            </w:r>
          </w:p>
        </w:tc>
      </w:tr>
      <w:tr w:rsidR="00877BEB" w:rsidRPr="00364F87" w14:paraId="58C2D8E3" w14:textId="77777777" w:rsidTr="00941EDC">
        <w:tc>
          <w:tcPr>
            <w:tcW w:w="0" w:type="auto"/>
            <w:shd w:val="clear" w:color="auto" w:fill="auto"/>
          </w:tcPr>
          <w:p w14:paraId="26847045"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Age at smoking onset, % (n)</w:t>
            </w:r>
          </w:p>
        </w:tc>
        <w:tc>
          <w:tcPr>
            <w:tcW w:w="0" w:type="auto"/>
            <w:shd w:val="clear" w:color="auto" w:fill="auto"/>
          </w:tcPr>
          <w:p w14:paraId="41D3C09D"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≤14</w:t>
            </w:r>
          </w:p>
        </w:tc>
        <w:tc>
          <w:tcPr>
            <w:tcW w:w="0" w:type="auto"/>
          </w:tcPr>
          <w:p w14:paraId="73910DB1"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Fonts w:ascii="Times New Roman" w:hAnsi="Times New Roman" w:cs="Times New Roman"/>
                <w:sz w:val="24"/>
                <w:szCs w:val="24"/>
              </w:rPr>
              <w:t>27.4 (32)</w:t>
            </w:r>
          </w:p>
        </w:tc>
        <w:tc>
          <w:tcPr>
            <w:tcW w:w="0" w:type="auto"/>
          </w:tcPr>
          <w:p w14:paraId="1EC72428"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364F87">
              <w:rPr>
                <w:rFonts w:ascii="Times New Roman" w:hAnsi="Times New Roman" w:cs="Times New Roman"/>
                <w:sz w:val="24"/>
                <w:szCs w:val="24"/>
              </w:rPr>
              <w:t>40.2 (72)</w:t>
            </w:r>
          </w:p>
        </w:tc>
      </w:tr>
      <w:tr w:rsidR="00877BEB" w:rsidRPr="00364F87" w14:paraId="6F1C9947" w14:textId="77777777" w:rsidTr="00941EDC">
        <w:tc>
          <w:tcPr>
            <w:tcW w:w="0" w:type="auto"/>
            <w:shd w:val="clear" w:color="auto" w:fill="auto"/>
          </w:tcPr>
          <w:p w14:paraId="46076BCF"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25BFBAE5"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15-16</w:t>
            </w:r>
          </w:p>
        </w:tc>
        <w:tc>
          <w:tcPr>
            <w:tcW w:w="0" w:type="auto"/>
          </w:tcPr>
          <w:p w14:paraId="47719CBC"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Fonts w:ascii="Times New Roman" w:hAnsi="Times New Roman" w:cs="Times New Roman"/>
                <w:sz w:val="24"/>
                <w:szCs w:val="24"/>
              </w:rPr>
              <w:t>41.0 (48)</w:t>
            </w:r>
          </w:p>
        </w:tc>
        <w:tc>
          <w:tcPr>
            <w:tcW w:w="0" w:type="auto"/>
          </w:tcPr>
          <w:p w14:paraId="6C96C551"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364F87">
              <w:rPr>
                <w:rFonts w:ascii="Times New Roman" w:hAnsi="Times New Roman" w:cs="Times New Roman"/>
                <w:sz w:val="24"/>
                <w:szCs w:val="24"/>
              </w:rPr>
              <w:t>35.8 (64)</w:t>
            </w:r>
          </w:p>
        </w:tc>
      </w:tr>
      <w:tr w:rsidR="00877BEB" w:rsidRPr="00364F87" w14:paraId="4CC9C3E3" w14:textId="77777777" w:rsidTr="00941EDC">
        <w:tc>
          <w:tcPr>
            <w:tcW w:w="0" w:type="auto"/>
            <w:shd w:val="clear" w:color="auto" w:fill="auto"/>
          </w:tcPr>
          <w:p w14:paraId="37312584"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73790201"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≥17</w:t>
            </w:r>
            <w:r w:rsidRPr="00364F87">
              <w:rPr>
                <w:rStyle w:val="Hyperlink2"/>
                <w:rFonts w:ascii="Times New Roman" w:hAnsi="Times New Roman" w:cs="Times New Roman"/>
                <w:sz w:val="24"/>
                <w:szCs w:val="24"/>
                <w:vertAlign w:val="superscript"/>
              </w:rPr>
              <w:t>a</w:t>
            </w:r>
          </w:p>
        </w:tc>
        <w:tc>
          <w:tcPr>
            <w:tcW w:w="0" w:type="auto"/>
          </w:tcPr>
          <w:p w14:paraId="044EE464"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Fonts w:ascii="Times New Roman" w:hAnsi="Times New Roman" w:cs="Times New Roman"/>
                <w:sz w:val="24"/>
                <w:szCs w:val="24"/>
              </w:rPr>
              <w:t>31.6 (37)</w:t>
            </w:r>
          </w:p>
        </w:tc>
        <w:tc>
          <w:tcPr>
            <w:tcW w:w="0" w:type="auto"/>
          </w:tcPr>
          <w:p w14:paraId="619C85E6"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 w:val="24"/>
                <w:szCs w:val="24"/>
              </w:rPr>
            </w:pPr>
            <w:r w:rsidRPr="00364F87">
              <w:rPr>
                <w:rFonts w:ascii="Times New Roman" w:hAnsi="Times New Roman" w:cs="Times New Roman"/>
                <w:sz w:val="24"/>
                <w:szCs w:val="24"/>
              </w:rPr>
              <w:t>24.0 (43)</w:t>
            </w:r>
          </w:p>
        </w:tc>
      </w:tr>
      <w:tr w:rsidR="00877BEB" w:rsidRPr="00364F87" w14:paraId="777E4BAF" w14:textId="77777777" w:rsidTr="00941EDC">
        <w:tc>
          <w:tcPr>
            <w:tcW w:w="0" w:type="auto"/>
            <w:shd w:val="clear" w:color="auto" w:fill="auto"/>
          </w:tcPr>
          <w:p w14:paraId="736CB48D"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Years of smoking, % (n)</w:t>
            </w:r>
          </w:p>
        </w:tc>
        <w:tc>
          <w:tcPr>
            <w:tcW w:w="0" w:type="auto"/>
            <w:shd w:val="clear" w:color="auto" w:fill="auto"/>
          </w:tcPr>
          <w:p w14:paraId="2C57844D"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&lt; 5</w:t>
            </w:r>
          </w:p>
        </w:tc>
        <w:tc>
          <w:tcPr>
            <w:tcW w:w="0" w:type="auto"/>
          </w:tcPr>
          <w:p w14:paraId="347B5A36"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0.0 (0)</w:t>
            </w:r>
          </w:p>
        </w:tc>
        <w:tc>
          <w:tcPr>
            <w:tcW w:w="0" w:type="auto"/>
          </w:tcPr>
          <w:p w14:paraId="7B409418"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1.0 (2)</w:t>
            </w:r>
          </w:p>
        </w:tc>
      </w:tr>
      <w:tr w:rsidR="00877BEB" w:rsidRPr="00364F87" w14:paraId="5C0A5695" w14:textId="77777777" w:rsidTr="00941EDC">
        <w:tc>
          <w:tcPr>
            <w:tcW w:w="0" w:type="auto"/>
            <w:shd w:val="clear" w:color="auto" w:fill="auto"/>
          </w:tcPr>
          <w:p w14:paraId="432A793A"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4F797B43"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5-10</w:t>
            </w:r>
          </w:p>
        </w:tc>
        <w:tc>
          <w:tcPr>
            <w:tcW w:w="0" w:type="auto"/>
          </w:tcPr>
          <w:p w14:paraId="027AA757"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1.7 (2)</w:t>
            </w:r>
          </w:p>
        </w:tc>
        <w:tc>
          <w:tcPr>
            <w:tcW w:w="0" w:type="auto"/>
          </w:tcPr>
          <w:p w14:paraId="36725A98"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2.7 (5)</w:t>
            </w:r>
          </w:p>
        </w:tc>
      </w:tr>
      <w:tr w:rsidR="00877BEB" w:rsidRPr="00364F87" w14:paraId="28C46CC7" w14:textId="77777777" w:rsidTr="00941EDC">
        <w:tc>
          <w:tcPr>
            <w:tcW w:w="0" w:type="auto"/>
            <w:shd w:val="clear" w:color="auto" w:fill="auto"/>
          </w:tcPr>
          <w:p w14:paraId="13A8690C"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3ED2BFCF"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11-20</w:t>
            </w:r>
          </w:p>
        </w:tc>
        <w:tc>
          <w:tcPr>
            <w:tcW w:w="0" w:type="auto"/>
          </w:tcPr>
          <w:p w14:paraId="361548DC"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15.4 (18)</w:t>
            </w:r>
          </w:p>
        </w:tc>
        <w:tc>
          <w:tcPr>
            <w:tcW w:w="0" w:type="auto"/>
          </w:tcPr>
          <w:p w14:paraId="6998DF89"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12.3 (23)</w:t>
            </w:r>
          </w:p>
        </w:tc>
      </w:tr>
      <w:tr w:rsidR="00877BEB" w:rsidRPr="00364F87" w14:paraId="26A2263B" w14:textId="77777777" w:rsidTr="00941EDC">
        <w:tc>
          <w:tcPr>
            <w:tcW w:w="0" w:type="auto"/>
            <w:shd w:val="clear" w:color="auto" w:fill="auto"/>
          </w:tcPr>
          <w:p w14:paraId="128DD840"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66ADCD70"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&gt;20</w:t>
            </w:r>
          </w:p>
        </w:tc>
        <w:tc>
          <w:tcPr>
            <w:tcW w:w="0" w:type="auto"/>
          </w:tcPr>
          <w:p w14:paraId="34AF38C0"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82.9 (97)</w:t>
            </w:r>
          </w:p>
        </w:tc>
        <w:tc>
          <w:tcPr>
            <w:tcW w:w="0" w:type="auto"/>
          </w:tcPr>
          <w:p w14:paraId="4120E947"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79.7 (149)</w:t>
            </w:r>
          </w:p>
        </w:tc>
      </w:tr>
      <w:tr w:rsidR="00877BEB" w:rsidRPr="00364F87" w14:paraId="722D887D" w14:textId="77777777" w:rsidTr="00941EDC">
        <w:tc>
          <w:tcPr>
            <w:tcW w:w="0" w:type="auto"/>
            <w:shd w:val="clear" w:color="auto" w:fill="auto"/>
          </w:tcPr>
          <w:p w14:paraId="35A16C51"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Previous quit attempts, % (n)</w:t>
            </w:r>
          </w:p>
        </w:tc>
        <w:tc>
          <w:tcPr>
            <w:tcW w:w="0" w:type="auto"/>
            <w:shd w:val="clear" w:color="auto" w:fill="auto"/>
          </w:tcPr>
          <w:p w14:paraId="0CC532D3"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Never</w:t>
            </w:r>
          </w:p>
        </w:tc>
        <w:tc>
          <w:tcPr>
            <w:tcW w:w="0" w:type="auto"/>
          </w:tcPr>
          <w:p w14:paraId="043B8280"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18.8 (22)</w:t>
            </w:r>
          </w:p>
        </w:tc>
        <w:tc>
          <w:tcPr>
            <w:tcW w:w="0" w:type="auto"/>
          </w:tcPr>
          <w:p w14:paraId="7A0A24AA"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7.8 (14)</w:t>
            </w:r>
          </w:p>
        </w:tc>
      </w:tr>
      <w:tr w:rsidR="00877BEB" w:rsidRPr="00364F87" w14:paraId="6461F484" w14:textId="77777777" w:rsidTr="00941EDC">
        <w:tc>
          <w:tcPr>
            <w:tcW w:w="0" w:type="auto"/>
            <w:shd w:val="clear" w:color="auto" w:fill="auto"/>
          </w:tcPr>
          <w:p w14:paraId="57DA11A1"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63E32ED1"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1-3 times</w:t>
            </w:r>
          </w:p>
        </w:tc>
        <w:tc>
          <w:tcPr>
            <w:tcW w:w="0" w:type="auto"/>
          </w:tcPr>
          <w:p w14:paraId="1D880642"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54.7 (64 )</w:t>
            </w:r>
          </w:p>
        </w:tc>
        <w:tc>
          <w:tcPr>
            <w:tcW w:w="0" w:type="auto"/>
          </w:tcPr>
          <w:p w14:paraId="0664CEE6"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56.4 (101)</w:t>
            </w:r>
          </w:p>
        </w:tc>
      </w:tr>
      <w:tr w:rsidR="00877BEB" w:rsidRPr="00364F87" w14:paraId="459603FB" w14:textId="77777777" w:rsidTr="00941EDC">
        <w:tc>
          <w:tcPr>
            <w:tcW w:w="0" w:type="auto"/>
            <w:shd w:val="clear" w:color="auto" w:fill="auto"/>
          </w:tcPr>
          <w:p w14:paraId="1CEE572E"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7E933069"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≥4 times</w:t>
            </w:r>
          </w:p>
        </w:tc>
        <w:tc>
          <w:tcPr>
            <w:tcW w:w="0" w:type="auto"/>
          </w:tcPr>
          <w:p w14:paraId="6FB52EE4"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26.5 (31)</w:t>
            </w:r>
          </w:p>
        </w:tc>
        <w:tc>
          <w:tcPr>
            <w:tcW w:w="0" w:type="auto"/>
          </w:tcPr>
          <w:p w14:paraId="14D4DFAF"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35.8 (64)</w:t>
            </w:r>
            <w:r w:rsidRPr="00364F87">
              <w:rPr>
                <w:rStyle w:val="Hyperlink2"/>
                <w:rFonts w:ascii="Times New Roman" w:hAnsi="Times New Roman" w:cs="Times New Roman"/>
                <w:sz w:val="24"/>
                <w:szCs w:val="24"/>
                <w:vertAlign w:val="superscript"/>
              </w:rPr>
              <w:t>b</w:t>
            </w:r>
          </w:p>
        </w:tc>
      </w:tr>
      <w:tr w:rsidR="00877BEB" w:rsidRPr="00364F87" w14:paraId="158C4228" w14:textId="77777777" w:rsidTr="00941EDC">
        <w:tc>
          <w:tcPr>
            <w:tcW w:w="0" w:type="auto"/>
            <w:vMerge w:val="restart"/>
            <w:shd w:val="clear" w:color="auto" w:fill="auto"/>
          </w:tcPr>
          <w:p w14:paraId="272391FF"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Cigare</w:t>
            </w:r>
            <w:r w:rsidRPr="00D14D0C">
              <w:rPr>
                <w:rStyle w:val="Hyperlink2"/>
                <w:rFonts w:ascii="Times New Roman" w:hAnsi="Times New Roman" w:cs="Times New Roman"/>
                <w:sz w:val="24"/>
                <w:szCs w:val="24"/>
              </w:rPr>
              <w:t>ttes per day before attending the course</w:t>
            </w:r>
            <w:r w:rsidRPr="00364F87">
              <w:rPr>
                <w:rStyle w:val="Hyperlink2"/>
                <w:rFonts w:ascii="Times New Roman" w:hAnsi="Times New Roman" w:cs="Times New Roman"/>
                <w:sz w:val="24"/>
                <w:szCs w:val="24"/>
              </w:rPr>
              <w:t>, % (n)</w:t>
            </w:r>
          </w:p>
        </w:tc>
        <w:tc>
          <w:tcPr>
            <w:tcW w:w="0" w:type="auto"/>
            <w:shd w:val="clear" w:color="auto" w:fill="auto"/>
          </w:tcPr>
          <w:p w14:paraId="1AA4A700"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 9</w:t>
            </w:r>
          </w:p>
        </w:tc>
        <w:tc>
          <w:tcPr>
            <w:tcW w:w="0" w:type="auto"/>
          </w:tcPr>
          <w:p w14:paraId="39A769CA"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16.2 (19)</w:t>
            </w:r>
          </w:p>
        </w:tc>
        <w:tc>
          <w:tcPr>
            <w:tcW w:w="0" w:type="auto"/>
          </w:tcPr>
          <w:p w14:paraId="66924C76"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vertAlign w:val="superscript"/>
              </w:rPr>
            </w:pPr>
            <w:r w:rsidRPr="00364F87">
              <w:rPr>
                <w:rStyle w:val="Hyperlink2"/>
                <w:rFonts w:ascii="Times New Roman" w:hAnsi="Times New Roman" w:cs="Times New Roman"/>
                <w:sz w:val="24"/>
                <w:szCs w:val="24"/>
              </w:rPr>
              <w:t>10.6 (19)</w:t>
            </w:r>
            <w:r w:rsidRPr="00364F87">
              <w:rPr>
                <w:rStyle w:val="Hyperlink2"/>
                <w:rFonts w:ascii="Times New Roman" w:hAnsi="Times New Roman" w:cs="Times New Roman"/>
                <w:sz w:val="24"/>
                <w:szCs w:val="24"/>
                <w:vertAlign w:val="superscript"/>
              </w:rPr>
              <w:t>c</w:t>
            </w:r>
          </w:p>
        </w:tc>
      </w:tr>
      <w:tr w:rsidR="00877BEB" w:rsidRPr="00364F87" w14:paraId="481472AC" w14:textId="77777777" w:rsidTr="00941EDC">
        <w:tc>
          <w:tcPr>
            <w:tcW w:w="0" w:type="auto"/>
            <w:vMerge/>
            <w:shd w:val="clear" w:color="auto" w:fill="auto"/>
          </w:tcPr>
          <w:p w14:paraId="40D2B29A"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6E1A8F04"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10-19</w:t>
            </w:r>
          </w:p>
        </w:tc>
        <w:tc>
          <w:tcPr>
            <w:tcW w:w="0" w:type="auto"/>
          </w:tcPr>
          <w:p w14:paraId="0BED7AD3"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37.6 (44)</w:t>
            </w:r>
          </w:p>
        </w:tc>
        <w:tc>
          <w:tcPr>
            <w:tcW w:w="0" w:type="auto"/>
          </w:tcPr>
          <w:p w14:paraId="308DB98F"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39.1 (70)</w:t>
            </w:r>
          </w:p>
        </w:tc>
      </w:tr>
      <w:tr w:rsidR="00877BEB" w:rsidRPr="00364F87" w14:paraId="11596B84" w14:textId="77777777" w:rsidTr="00941EDC">
        <w:tc>
          <w:tcPr>
            <w:tcW w:w="0" w:type="auto"/>
            <w:shd w:val="clear" w:color="auto" w:fill="auto"/>
          </w:tcPr>
          <w:p w14:paraId="53801483"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739FD23C"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≥20</w:t>
            </w:r>
          </w:p>
        </w:tc>
        <w:tc>
          <w:tcPr>
            <w:tcW w:w="0" w:type="auto"/>
          </w:tcPr>
          <w:p w14:paraId="5551302C"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46.2 (54)</w:t>
            </w:r>
          </w:p>
        </w:tc>
        <w:tc>
          <w:tcPr>
            <w:tcW w:w="0" w:type="auto"/>
          </w:tcPr>
          <w:p w14:paraId="26B1E2E0"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48.6 (87)</w:t>
            </w:r>
          </w:p>
        </w:tc>
      </w:tr>
      <w:tr w:rsidR="00877BEB" w:rsidRPr="00364F87" w14:paraId="2C6F0804" w14:textId="77777777" w:rsidTr="00941EDC">
        <w:tc>
          <w:tcPr>
            <w:tcW w:w="0" w:type="auto"/>
            <w:shd w:val="clear" w:color="auto" w:fill="auto"/>
          </w:tcPr>
          <w:p w14:paraId="2E7E6D03"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Course recommendation, % (n)</w:t>
            </w:r>
          </w:p>
        </w:tc>
        <w:tc>
          <w:tcPr>
            <w:tcW w:w="0" w:type="auto"/>
            <w:shd w:val="clear" w:color="auto" w:fill="auto"/>
          </w:tcPr>
          <w:p w14:paraId="4328DF8F"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Certainly</w:t>
            </w:r>
          </w:p>
        </w:tc>
        <w:tc>
          <w:tcPr>
            <w:tcW w:w="0" w:type="auto"/>
          </w:tcPr>
          <w:p w14:paraId="12155821"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69.2 (81)</w:t>
            </w:r>
          </w:p>
        </w:tc>
        <w:tc>
          <w:tcPr>
            <w:tcW w:w="0" w:type="auto"/>
          </w:tcPr>
          <w:p w14:paraId="57E2A209"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72.6 (130)</w:t>
            </w:r>
          </w:p>
        </w:tc>
      </w:tr>
      <w:tr w:rsidR="00877BEB" w:rsidRPr="00364F87" w14:paraId="57A9E24A" w14:textId="77777777" w:rsidTr="00941EDC">
        <w:tc>
          <w:tcPr>
            <w:tcW w:w="0" w:type="auto"/>
            <w:shd w:val="clear" w:color="auto" w:fill="auto"/>
          </w:tcPr>
          <w:p w14:paraId="3A9345A3"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3EE3634B"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Probably</w:t>
            </w:r>
          </w:p>
        </w:tc>
        <w:tc>
          <w:tcPr>
            <w:tcW w:w="0" w:type="auto"/>
          </w:tcPr>
          <w:p w14:paraId="34650F5C"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23.1 (27)</w:t>
            </w:r>
          </w:p>
        </w:tc>
        <w:tc>
          <w:tcPr>
            <w:tcW w:w="0" w:type="auto"/>
          </w:tcPr>
          <w:p w14:paraId="240B1178"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24.6 (44)</w:t>
            </w:r>
          </w:p>
        </w:tc>
      </w:tr>
      <w:tr w:rsidR="00877BEB" w:rsidRPr="00364F87" w14:paraId="629D9AE7" w14:textId="77777777" w:rsidTr="00941EDC">
        <w:tc>
          <w:tcPr>
            <w:tcW w:w="0" w:type="auto"/>
            <w:shd w:val="clear" w:color="auto" w:fill="auto"/>
          </w:tcPr>
          <w:p w14:paraId="2B5B057A"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5DEDF5EE"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Probably not</w:t>
            </w:r>
          </w:p>
        </w:tc>
        <w:tc>
          <w:tcPr>
            <w:tcW w:w="0" w:type="auto"/>
          </w:tcPr>
          <w:p w14:paraId="0D0098C9"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6.0 (7)</w:t>
            </w:r>
          </w:p>
        </w:tc>
        <w:tc>
          <w:tcPr>
            <w:tcW w:w="0" w:type="auto"/>
          </w:tcPr>
          <w:p w14:paraId="6AF20B04"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2.8 (5)</w:t>
            </w:r>
          </w:p>
        </w:tc>
      </w:tr>
      <w:tr w:rsidR="00877BEB" w:rsidRPr="00364F87" w14:paraId="522A5719" w14:textId="77777777" w:rsidTr="00941EDC">
        <w:tc>
          <w:tcPr>
            <w:tcW w:w="0" w:type="auto"/>
            <w:shd w:val="clear" w:color="auto" w:fill="auto"/>
          </w:tcPr>
          <w:p w14:paraId="534C72E6"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shd w:val="clear" w:color="auto" w:fill="auto"/>
          </w:tcPr>
          <w:p w14:paraId="36E0B95F"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Certainly not</w:t>
            </w:r>
          </w:p>
        </w:tc>
        <w:tc>
          <w:tcPr>
            <w:tcW w:w="0" w:type="auto"/>
          </w:tcPr>
          <w:p w14:paraId="663446DA"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1.7 (2)</w:t>
            </w:r>
          </w:p>
        </w:tc>
        <w:tc>
          <w:tcPr>
            <w:tcW w:w="0" w:type="auto"/>
          </w:tcPr>
          <w:p w14:paraId="7E8F1520"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0 (0)</w:t>
            </w:r>
          </w:p>
        </w:tc>
      </w:tr>
      <w:tr w:rsidR="00877BEB" w:rsidRPr="00364F87" w14:paraId="656F71C5" w14:textId="77777777" w:rsidTr="00941EDC">
        <w:tc>
          <w:tcPr>
            <w:tcW w:w="0" w:type="auto"/>
            <w:tcBorders>
              <w:bottom w:val="single" w:sz="4" w:space="0" w:color="auto"/>
            </w:tcBorders>
            <w:shd w:val="clear" w:color="auto" w:fill="auto"/>
          </w:tcPr>
          <w:p w14:paraId="3D5C3844" w14:textId="19ACE01E"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Course grade (1-10)</w:t>
            </w:r>
            <w:r w:rsidR="00557426">
              <w:rPr>
                <w:rStyle w:val="Hyperlink2"/>
                <w:rFonts w:ascii="Times New Roman" w:hAnsi="Times New Roman" w:cs="Times New Roman"/>
                <w:sz w:val="24"/>
                <w:szCs w:val="24"/>
                <w:vertAlign w:val="superscript"/>
              </w:rPr>
              <w:t>d</w:t>
            </w:r>
            <w:r w:rsidRPr="00364F87">
              <w:rPr>
                <w:rStyle w:val="Hyperlink2"/>
                <w:rFonts w:ascii="Times New Roman" w:hAnsi="Times New Roman" w:cs="Times New Roman"/>
                <w:sz w:val="24"/>
                <w:szCs w:val="24"/>
              </w:rPr>
              <w:t>, median (IQR)</w:t>
            </w:r>
          </w:p>
        </w:tc>
        <w:tc>
          <w:tcPr>
            <w:tcW w:w="0" w:type="auto"/>
            <w:tcBorders>
              <w:bottom w:val="single" w:sz="4" w:space="0" w:color="auto"/>
            </w:tcBorders>
            <w:shd w:val="clear" w:color="auto" w:fill="auto"/>
          </w:tcPr>
          <w:p w14:paraId="15E76EE9"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p>
        </w:tc>
        <w:tc>
          <w:tcPr>
            <w:tcW w:w="0" w:type="auto"/>
            <w:tcBorders>
              <w:bottom w:val="single" w:sz="4" w:space="0" w:color="auto"/>
            </w:tcBorders>
          </w:tcPr>
          <w:p w14:paraId="6A968AD4"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ighlight"/>
                <w:rFonts w:ascii="Times New Roman" w:hAnsi="Times New Roman" w:cs="Times New Roman"/>
                <w:sz w:val="24"/>
                <w:szCs w:val="24"/>
                <w:shd w:val="clear" w:color="auto" w:fill="FFFFFF"/>
              </w:rPr>
            </w:pPr>
            <w:r w:rsidRPr="00364F87">
              <w:rPr>
                <w:rStyle w:val="Hyperlink2"/>
                <w:rFonts w:ascii="Times New Roman" w:hAnsi="Times New Roman" w:cs="Times New Roman"/>
                <w:sz w:val="24"/>
                <w:szCs w:val="24"/>
              </w:rPr>
              <w:t>9.0 (8.0-9.0)</w:t>
            </w:r>
          </w:p>
        </w:tc>
        <w:tc>
          <w:tcPr>
            <w:tcW w:w="0" w:type="auto"/>
            <w:tcBorders>
              <w:bottom w:val="single" w:sz="4" w:space="0" w:color="auto"/>
            </w:tcBorders>
          </w:tcPr>
          <w:p w14:paraId="2C58CAF9" w14:textId="77777777" w:rsidR="00877BEB" w:rsidRPr="00364F87" w:rsidRDefault="00877BEB" w:rsidP="00941EDC">
            <w:pPr>
              <w:pStyle w:val="Hoofdtekst"/>
              <w:pBdr>
                <w:top w:val="none" w:sz="0" w:space="0" w:color="auto"/>
                <w:left w:val="none" w:sz="0" w:space="0" w:color="auto"/>
                <w:bottom w:val="none" w:sz="0" w:space="0" w:color="auto"/>
                <w:right w:val="none" w:sz="0" w:space="0" w:color="auto"/>
                <w:between w:val="none" w:sz="0" w:space="0" w:color="auto"/>
                <w:bar w:val="none" w:sz="0" w:color="auto"/>
              </w:pBdr>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8.0 (8.0-9.0)</w:t>
            </w:r>
          </w:p>
        </w:tc>
      </w:tr>
      <w:tr w:rsidR="00877BEB" w:rsidRPr="00364F87" w14:paraId="292E9ABE" w14:textId="77777777" w:rsidTr="00941EDC">
        <w:tc>
          <w:tcPr>
            <w:tcW w:w="0" w:type="auto"/>
            <w:gridSpan w:val="4"/>
            <w:tcBorders>
              <w:top w:val="single" w:sz="4" w:space="0" w:color="auto"/>
              <w:bottom w:val="single" w:sz="4" w:space="0" w:color="auto"/>
            </w:tcBorders>
          </w:tcPr>
          <w:p w14:paraId="7F6C7F0F" w14:textId="77777777" w:rsidR="00877BEB" w:rsidRPr="00364F87" w:rsidRDefault="00877BEB" w:rsidP="00941EDC">
            <w:pPr>
              <w:pStyle w:val="Hoofdtekst"/>
              <w:rPr>
                <w:rStyle w:val="Hyperlink2"/>
                <w:rFonts w:ascii="Times New Roman" w:hAnsi="Times New Roman" w:cs="Times New Roman"/>
                <w:sz w:val="24"/>
                <w:szCs w:val="24"/>
              </w:rPr>
            </w:pPr>
            <w:r w:rsidRPr="00364F87">
              <w:rPr>
                <w:rStyle w:val="Hyperlink2"/>
                <w:rFonts w:ascii="Times New Roman" w:hAnsi="Times New Roman" w:cs="Times New Roman"/>
                <w:i/>
                <w:sz w:val="24"/>
                <w:szCs w:val="24"/>
              </w:rPr>
              <w:t xml:space="preserve">Note. </w:t>
            </w:r>
            <w:r w:rsidRPr="00364F87">
              <w:rPr>
                <w:rStyle w:val="Hyperlink2"/>
                <w:rFonts w:ascii="Times New Roman" w:hAnsi="Times New Roman" w:cs="Times New Roman"/>
                <w:sz w:val="24"/>
                <w:szCs w:val="24"/>
              </w:rPr>
              <w:t>Data are means (standard deviation), percentages (number), or valid percentage (number/total number of patients excluding missing data). IQR = interquartile range.</w:t>
            </w:r>
          </w:p>
          <w:p w14:paraId="00536341" w14:textId="77777777" w:rsidR="00877BEB" w:rsidRPr="00364F87" w:rsidRDefault="00877BEB" w:rsidP="00941EDC">
            <w:pPr>
              <w:pStyle w:val="Hoofdtekst"/>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a. Missing for 7 participants.</w:t>
            </w:r>
          </w:p>
          <w:p w14:paraId="1A137162" w14:textId="77777777" w:rsidR="00877BEB" w:rsidRPr="00364F87" w:rsidRDefault="00877BEB" w:rsidP="00941EDC">
            <w:pPr>
              <w:pStyle w:val="Hoofdtekst"/>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b. “I am not sure” was recoded into ≥4 times.</w:t>
            </w:r>
          </w:p>
          <w:p w14:paraId="6BF2CFBB" w14:textId="46FEDD6B" w:rsidR="00877BEB" w:rsidRDefault="00877BEB" w:rsidP="00941EDC">
            <w:pPr>
              <w:pStyle w:val="Hoofdtekst"/>
              <w:rPr>
                <w:rStyle w:val="Hyperlink2"/>
                <w:rFonts w:ascii="Times New Roman" w:hAnsi="Times New Roman" w:cs="Times New Roman"/>
                <w:sz w:val="24"/>
                <w:szCs w:val="24"/>
              </w:rPr>
            </w:pPr>
            <w:r w:rsidRPr="00364F87">
              <w:rPr>
                <w:rStyle w:val="Hyperlink2"/>
                <w:rFonts w:ascii="Times New Roman" w:hAnsi="Times New Roman" w:cs="Times New Roman"/>
                <w:sz w:val="24"/>
                <w:szCs w:val="24"/>
              </w:rPr>
              <w:t>c. 2 people did not smoke at the time, and 1 person smoked cigars.</w:t>
            </w:r>
          </w:p>
          <w:p w14:paraId="76F17BFD" w14:textId="60855947" w:rsidR="00557426" w:rsidRPr="00364F87" w:rsidRDefault="00557426" w:rsidP="00557426">
            <w:pPr>
              <w:pStyle w:val="Hoofdtekst"/>
              <w:rPr>
                <w:rStyle w:val="Hyperlink2"/>
                <w:rFonts w:ascii="Times New Roman" w:hAnsi="Times New Roman" w:cs="Times New Roman"/>
                <w:sz w:val="24"/>
                <w:szCs w:val="24"/>
              </w:rPr>
            </w:pPr>
            <w:r>
              <w:rPr>
                <w:rStyle w:val="Hyperlink2"/>
                <w:rFonts w:ascii="Times New Roman" w:hAnsi="Times New Roman" w:cs="Times New Roman"/>
                <w:sz w:val="24"/>
                <w:szCs w:val="24"/>
              </w:rPr>
              <w:t>d. 10 indicates best possible grade.</w:t>
            </w:r>
          </w:p>
        </w:tc>
      </w:tr>
    </w:tbl>
    <w:p w14:paraId="48E3E263" w14:textId="77777777" w:rsidR="00D426DC" w:rsidRDefault="00D426DC"/>
    <w:sectPr w:rsidR="00D426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77BEB"/>
    <w:rsid w:val="000A2413"/>
    <w:rsid w:val="0018679B"/>
    <w:rsid w:val="002003B0"/>
    <w:rsid w:val="00275804"/>
    <w:rsid w:val="002C651B"/>
    <w:rsid w:val="003023B2"/>
    <w:rsid w:val="003E7939"/>
    <w:rsid w:val="004A7929"/>
    <w:rsid w:val="004F550C"/>
    <w:rsid w:val="00557426"/>
    <w:rsid w:val="005D496D"/>
    <w:rsid w:val="00652DE8"/>
    <w:rsid w:val="00751286"/>
    <w:rsid w:val="007E5002"/>
    <w:rsid w:val="00877BEB"/>
    <w:rsid w:val="008950CE"/>
    <w:rsid w:val="00972E97"/>
    <w:rsid w:val="00A349BD"/>
    <w:rsid w:val="00A70FCB"/>
    <w:rsid w:val="00C50C16"/>
    <w:rsid w:val="00C51B9A"/>
    <w:rsid w:val="00C852FF"/>
    <w:rsid w:val="00CA296D"/>
    <w:rsid w:val="00D426DC"/>
    <w:rsid w:val="00FC0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C054A"/>
  <w15:chartTrackingRefBased/>
  <w15:docId w15:val="{528612B5-639C-4212-BCD6-651EE8CA0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49B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877BEB"/>
    <w:pPr>
      <w:spacing w:after="0" w:line="240" w:lineRule="auto"/>
    </w:pPr>
    <w:rPr>
      <w:lang w:val="nl-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oofdtekst">
    <w:name w:val="Hoofdtekst"/>
    <w:link w:val="HoofdtekstChar"/>
    <w:rsid w:val="00877BEB"/>
    <w:pPr>
      <w:pBdr>
        <w:top w:val="nil"/>
        <w:left w:val="nil"/>
        <w:bottom w:val="nil"/>
        <w:right w:val="nil"/>
        <w:between w:val="nil"/>
        <w:bar w:val="nil"/>
      </w:pBdr>
    </w:pPr>
    <w:rPr>
      <w:rFonts w:ascii="Calibri" w:eastAsia="Calibri" w:hAnsi="Calibri" w:cs="Calibri"/>
      <w:color w:val="000000"/>
      <w:u w:color="000000"/>
      <w:bdr w:val="nil"/>
      <w:lang w:val="nl-NL" w:eastAsia="nl-NL"/>
    </w:rPr>
  </w:style>
  <w:style w:type="character" w:customStyle="1" w:styleId="highlight">
    <w:name w:val="highlight"/>
    <w:rsid w:val="00877BEB"/>
    <w:rPr>
      <w:lang w:val="en-US"/>
    </w:rPr>
  </w:style>
  <w:style w:type="character" w:customStyle="1" w:styleId="Hyperlink2">
    <w:name w:val="Hyperlink.2"/>
    <w:basedOn w:val="highlight"/>
    <w:rsid w:val="00877BEB"/>
    <w:rPr>
      <w:lang w:val="en-US"/>
    </w:rPr>
  </w:style>
  <w:style w:type="character" w:customStyle="1" w:styleId="HoofdtekstChar">
    <w:name w:val="Hoofdtekst Char"/>
    <w:basedOn w:val="Standaardalinea-lettertype"/>
    <w:link w:val="Hoofdtekst"/>
    <w:rsid w:val="00877BEB"/>
    <w:rPr>
      <w:rFonts w:ascii="Calibri" w:eastAsia="Calibri" w:hAnsi="Calibri" w:cs="Calibri"/>
      <w:color w:val="000000"/>
      <w:u w:color="000000"/>
      <w:bdr w:val="nil"/>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861</Words>
  <Characters>4736</Characters>
  <Application>Microsoft Office Word</Application>
  <DocSecurity>0</DocSecurity>
  <Lines>39</Lines>
  <Paragraphs>11</Paragraphs>
  <ScaleCrop>false</ScaleCrop>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Meijer</dc:creator>
  <cp:keywords/>
  <dc:description/>
  <cp:lastModifiedBy>Eline Ensing | VALK</cp:lastModifiedBy>
  <cp:revision>2</cp:revision>
  <dcterms:created xsi:type="dcterms:W3CDTF">2023-07-20T11:40:00Z</dcterms:created>
  <dcterms:modified xsi:type="dcterms:W3CDTF">2023-07-20T11:40:00Z</dcterms:modified>
</cp:coreProperties>
</file>