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917385" w:rsidRPr="00823A48" w14:paraId="3B066C75" w14:textId="77777777" w:rsidTr="00917385">
        <w:tc>
          <w:tcPr>
            <w:tcW w:w="13994" w:type="dxa"/>
            <w:gridSpan w:val="3"/>
            <w:tcBorders>
              <w:top w:val="nil"/>
            </w:tcBorders>
          </w:tcPr>
          <w:p w14:paraId="17733D61" w14:textId="77777777" w:rsidR="00917385" w:rsidRPr="00917385" w:rsidRDefault="00917385" w:rsidP="00917385">
            <w:pPr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917385">
              <w:rPr>
                <w:rFonts w:ascii="Times New Roman"/>
                <w:b/>
                <w:sz w:val="24"/>
                <w:szCs w:val="24"/>
                <w:lang w:val="en-GB"/>
              </w:rPr>
              <w:t xml:space="preserve">Supplementary Table 1. </w:t>
            </w:r>
            <w:r w:rsidRPr="00E76BE6">
              <w:rPr>
                <w:rStyle w:val="Forte"/>
                <w:rFonts w:ascii="Times New Roman"/>
                <w:b w:val="0"/>
                <w:color w:val="0E101A"/>
                <w:sz w:val="24"/>
                <w:szCs w:val="24"/>
                <w:lang w:val="en-US"/>
              </w:rPr>
              <w:t xml:space="preserve">Questionnaires and respective details </w:t>
            </w:r>
            <w:r w:rsidR="00E76BE6" w:rsidRPr="00E76BE6">
              <w:rPr>
                <w:rStyle w:val="Forte"/>
                <w:rFonts w:ascii="Times New Roman"/>
                <w:b w:val="0"/>
                <w:color w:val="0E101A"/>
                <w:sz w:val="24"/>
                <w:szCs w:val="24"/>
                <w:lang w:val="en-US"/>
              </w:rPr>
              <w:t xml:space="preserve">used in </w:t>
            </w:r>
            <w:r w:rsidRPr="00E76BE6">
              <w:rPr>
                <w:rStyle w:val="Forte"/>
                <w:rFonts w:ascii="Times New Roman"/>
                <w:b w:val="0"/>
                <w:color w:val="0E101A"/>
                <w:sz w:val="24"/>
                <w:szCs w:val="24"/>
                <w:lang w:val="en-US"/>
              </w:rPr>
              <w:t>high-risk sports participants.</w:t>
            </w:r>
          </w:p>
        </w:tc>
      </w:tr>
      <w:tr w:rsidR="0010072C" w14:paraId="7265BCCF" w14:textId="77777777" w:rsidTr="0010072C">
        <w:tc>
          <w:tcPr>
            <w:tcW w:w="4664" w:type="dxa"/>
          </w:tcPr>
          <w:p w14:paraId="007BA384" w14:textId="77777777" w:rsidR="0010072C" w:rsidRPr="00917385" w:rsidRDefault="0010072C">
            <w:pPr>
              <w:rPr>
                <w:rFonts w:ascii="Times New Roman"/>
                <w:sz w:val="24"/>
                <w:szCs w:val="24"/>
              </w:rPr>
            </w:pPr>
            <w:proofErr w:type="spellStart"/>
            <w:r w:rsidRPr="00917385">
              <w:rPr>
                <w:rFonts w:ascii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4665" w:type="dxa"/>
          </w:tcPr>
          <w:p w14:paraId="223CBEB8" w14:textId="77777777" w:rsidR="0010072C" w:rsidRPr="00917385" w:rsidRDefault="0010072C">
            <w:pPr>
              <w:rPr>
                <w:rFonts w:ascii="Times New Roman"/>
                <w:sz w:val="24"/>
                <w:szCs w:val="24"/>
              </w:rPr>
            </w:pPr>
            <w:proofErr w:type="spellStart"/>
            <w:r w:rsidRPr="00917385">
              <w:rPr>
                <w:rFonts w:ascii="Times New Roman"/>
                <w:sz w:val="24"/>
                <w:szCs w:val="24"/>
              </w:rPr>
              <w:t>Questionnaire</w:t>
            </w:r>
            <w:proofErr w:type="spellEnd"/>
          </w:p>
        </w:tc>
        <w:tc>
          <w:tcPr>
            <w:tcW w:w="4665" w:type="dxa"/>
          </w:tcPr>
          <w:p w14:paraId="0F6D626E" w14:textId="77777777" w:rsidR="0010072C" w:rsidRPr="00917385" w:rsidRDefault="00917385">
            <w:pPr>
              <w:rPr>
                <w:rFonts w:ascii="Times New Roman"/>
                <w:sz w:val="24"/>
                <w:szCs w:val="24"/>
              </w:rPr>
            </w:pPr>
            <w:proofErr w:type="spellStart"/>
            <w:r w:rsidRPr="00917385">
              <w:rPr>
                <w:rFonts w:ascii="Times New Roman"/>
                <w:sz w:val="24"/>
                <w:szCs w:val="24"/>
              </w:rPr>
              <w:t>Observations</w:t>
            </w:r>
            <w:proofErr w:type="spellEnd"/>
          </w:p>
        </w:tc>
      </w:tr>
      <w:tr w:rsidR="0010072C" w:rsidRPr="00823A48" w14:paraId="39BF4668" w14:textId="77777777" w:rsidTr="0010072C">
        <w:tc>
          <w:tcPr>
            <w:tcW w:w="4664" w:type="dxa"/>
          </w:tcPr>
          <w:p w14:paraId="44094527" w14:textId="21593219" w:rsidR="0010072C" w:rsidRPr="0010072C" w:rsidRDefault="00827A66">
            <w:pPr>
              <w:rPr>
                <w:rFonts w:ascii="Times New Roman"/>
                <w:sz w:val="24"/>
                <w:szCs w:val="24"/>
              </w:rPr>
            </w:pPr>
            <w:proofErr w:type="spellStart"/>
            <w:r w:rsidRPr="00BC4755">
              <w:rPr>
                <w:rFonts w:ascii="Times New Roman"/>
                <w:sz w:val="24"/>
                <w:szCs w:val="24"/>
                <w:lang w:val="en-US"/>
              </w:rPr>
              <w:t>Florenthal</w:t>
            </w:r>
            <w:proofErr w:type="spellEnd"/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 et al.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[23]</w:t>
            </w:r>
          </w:p>
        </w:tc>
        <w:tc>
          <w:tcPr>
            <w:tcW w:w="4665" w:type="dxa"/>
          </w:tcPr>
          <w:p w14:paraId="32AEB346" w14:textId="77777777" w:rsidR="0010072C" w:rsidRPr="0010072C" w:rsidRDefault="0010072C">
            <w:pPr>
              <w:rPr>
                <w:rFonts w:ascii="Times New Roman"/>
                <w:sz w:val="24"/>
                <w:szCs w:val="24"/>
              </w:rPr>
            </w:pPr>
            <w:r w:rsidRPr="0010072C">
              <w:rPr>
                <w:rFonts w:ascii="Times New Roman"/>
                <w:sz w:val="24"/>
                <w:szCs w:val="24"/>
                <w:lang w:val="en-GB"/>
              </w:rPr>
              <w:t>List of values (Kahle, 1996)</w:t>
            </w:r>
          </w:p>
        </w:tc>
        <w:tc>
          <w:tcPr>
            <w:tcW w:w="4665" w:type="dxa"/>
          </w:tcPr>
          <w:p w14:paraId="7320508E" w14:textId="77777777" w:rsidR="0010072C" w:rsidRPr="0010072C" w:rsidRDefault="0010072C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10072C">
              <w:rPr>
                <w:rFonts w:ascii="Times New Roman"/>
                <w:sz w:val="24"/>
                <w:szCs w:val="24"/>
                <w:lang w:val="en-US"/>
              </w:rPr>
              <w:t>N</w:t>
            </w:r>
            <w:proofErr w:type="spellStart"/>
            <w:r w:rsidRPr="0010072C">
              <w:rPr>
                <w:rFonts w:ascii="Times New Roman"/>
                <w:sz w:val="24"/>
                <w:szCs w:val="24"/>
                <w:lang w:val="en-GB"/>
              </w:rPr>
              <w:t>ine</w:t>
            </w:r>
            <w:proofErr w:type="spellEnd"/>
            <w:r w:rsidRPr="0010072C">
              <w:rPr>
                <w:rFonts w:ascii="Times New Roman"/>
                <w:sz w:val="24"/>
                <w:szCs w:val="24"/>
                <w:lang w:val="en-GB"/>
              </w:rPr>
              <w:t xml:space="preserve"> values and participants should report the most important value</w:t>
            </w:r>
            <w:r>
              <w:rPr>
                <w:rFonts w:ascii="Times New Roman"/>
                <w:sz w:val="24"/>
                <w:szCs w:val="24"/>
                <w:lang w:val="en-GB"/>
              </w:rPr>
              <w:t>.</w:t>
            </w:r>
          </w:p>
        </w:tc>
      </w:tr>
      <w:tr w:rsidR="0010072C" w:rsidRPr="00823A48" w14:paraId="11AC2307" w14:textId="77777777" w:rsidTr="0010072C">
        <w:tc>
          <w:tcPr>
            <w:tcW w:w="4664" w:type="dxa"/>
          </w:tcPr>
          <w:p w14:paraId="79FCD021" w14:textId="0217A8E5" w:rsidR="0010072C" w:rsidRPr="0010072C" w:rsidRDefault="00827A66">
            <w:pPr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BC4755">
              <w:rPr>
                <w:rFonts w:ascii="Times New Roman"/>
                <w:sz w:val="24"/>
                <w:szCs w:val="24"/>
              </w:rPr>
              <w:t>Katjna</w:t>
            </w:r>
            <w:proofErr w:type="spellEnd"/>
            <w:r w:rsidRPr="00BC475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BC4755">
              <w:rPr>
                <w:rFonts w:ascii="Times New Roman"/>
                <w:sz w:val="24"/>
                <w:szCs w:val="24"/>
              </w:rPr>
              <w:t>et</w:t>
            </w:r>
            <w:proofErr w:type="spellEnd"/>
            <w:r w:rsidRPr="00BC4755">
              <w:rPr>
                <w:rFonts w:ascii="Times New Roman"/>
                <w:sz w:val="24"/>
                <w:szCs w:val="24"/>
              </w:rPr>
              <w:t xml:space="preserve"> al. </w:t>
            </w:r>
            <w:r w:rsidR="00823A48">
              <w:rPr>
                <w:rFonts w:ascii="Times New Roman"/>
                <w:sz w:val="24"/>
                <w:szCs w:val="24"/>
              </w:rPr>
              <w:t>[53]</w:t>
            </w:r>
          </w:p>
        </w:tc>
        <w:tc>
          <w:tcPr>
            <w:tcW w:w="4665" w:type="dxa"/>
          </w:tcPr>
          <w:p w14:paraId="72C985B6" w14:textId="77777777" w:rsidR="0010072C" w:rsidRPr="0010072C" w:rsidRDefault="0010072C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10072C">
              <w:rPr>
                <w:rFonts w:ascii="Times New Roman"/>
                <w:sz w:val="24"/>
                <w:szCs w:val="24"/>
                <w:lang w:val="en-GB"/>
              </w:rPr>
              <w:t>Big Five Observer Scale (Caprara et al., 1997)</w:t>
            </w:r>
          </w:p>
        </w:tc>
        <w:tc>
          <w:tcPr>
            <w:tcW w:w="4665" w:type="dxa"/>
          </w:tcPr>
          <w:p w14:paraId="381B7D8C" w14:textId="77777777" w:rsidR="0010072C" w:rsidRPr="0010072C" w:rsidRDefault="0010072C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10072C">
              <w:rPr>
                <w:rFonts w:ascii="Times New Roman"/>
                <w:sz w:val="24"/>
                <w:szCs w:val="24"/>
                <w:lang w:val="en-US"/>
              </w:rPr>
              <w:t xml:space="preserve">40 adjectives; dimensions: </w:t>
            </w:r>
            <w:r w:rsidRPr="0010072C">
              <w:rPr>
                <w:rFonts w:ascii="Times New Roman"/>
                <w:sz w:val="24"/>
                <w:szCs w:val="24"/>
                <w:lang w:val="en-GB"/>
              </w:rPr>
              <w:t>energy, acceptability, conscientiousness, emotional stability, openness</w:t>
            </w:r>
            <w:r>
              <w:rPr>
                <w:rFonts w:ascii="Times New Roman"/>
                <w:sz w:val="24"/>
                <w:szCs w:val="24"/>
                <w:lang w:val="en-GB"/>
              </w:rPr>
              <w:t>.</w:t>
            </w:r>
          </w:p>
        </w:tc>
      </w:tr>
      <w:tr w:rsidR="00917385" w:rsidRPr="00823A48" w14:paraId="6B957D06" w14:textId="77777777" w:rsidTr="00917385">
        <w:trPr>
          <w:trHeight w:val="70"/>
        </w:trPr>
        <w:tc>
          <w:tcPr>
            <w:tcW w:w="4664" w:type="dxa"/>
            <w:vMerge w:val="restart"/>
            <w:vAlign w:val="center"/>
          </w:tcPr>
          <w:p w14:paraId="0D3FE458" w14:textId="0054B77B" w:rsidR="00917385" w:rsidRPr="00823A48" w:rsidRDefault="00827A66" w:rsidP="005C0611">
            <w:pPr>
              <w:rPr>
                <w:rFonts w:ascii="Times New Roman"/>
                <w:sz w:val="24"/>
                <w:szCs w:val="24"/>
              </w:rPr>
            </w:pPr>
            <w:proofErr w:type="spellStart"/>
            <w:r w:rsidRPr="00BC4755">
              <w:rPr>
                <w:rFonts w:ascii="Times New Roman"/>
                <w:sz w:val="24"/>
                <w:szCs w:val="24"/>
              </w:rPr>
              <w:t>Cazenave</w:t>
            </w:r>
            <w:proofErr w:type="spellEnd"/>
            <w:r w:rsidRPr="00BC475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BC4755">
              <w:rPr>
                <w:rFonts w:ascii="Times New Roman"/>
                <w:sz w:val="24"/>
                <w:szCs w:val="24"/>
              </w:rPr>
              <w:t>et</w:t>
            </w:r>
            <w:proofErr w:type="spellEnd"/>
            <w:r w:rsidRPr="00BC4755">
              <w:rPr>
                <w:rFonts w:ascii="Times New Roman"/>
                <w:sz w:val="24"/>
                <w:szCs w:val="24"/>
              </w:rPr>
              <w:t xml:space="preserve"> al. </w:t>
            </w:r>
            <w:r w:rsidR="00823A48">
              <w:rPr>
                <w:rFonts w:ascii="Times New Roman"/>
                <w:sz w:val="24"/>
                <w:szCs w:val="24"/>
              </w:rPr>
              <w:t>[56]</w:t>
            </w:r>
          </w:p>
        </w:tc>
        <w:tc>
          <w:tcPr>
            <w:tcW w:w="4665" w:type="dxa"/>
          </w:tcPr>
          <w:p w14:paraId="6727BFE9" w14:textId="77777777" w:rsidR="00917385" w:rsidRPr="0010072C" w:rsidRDefault="00917385">
            <w:pPr>
              <w:rPr>
                <w:rFonts w:ascii="Times New Roman"/>
                <w:sz w:val="24"/>
                <w:szCs w:val="24"/>
                <w:lang w:val="en-GB"/>
              </w:rPr>
            </w:pPr>
            <w:proofErr w:type="spellStart"/>
            <w:r w:rsidRPr="0010072C">
              <w:rPr>
                <w:rFonts w:ascii="Times New Roman"/>
                <w:sz w:val="24"/>
                <w:szCs w:val="24"/>
                <w:lang w:val="en-US"/>
              </w:rPr>
              <w:t>Bem</w:t>
            </w:r>
            <w:proofErr w:type="spellEnd"/>
            <w:r w:rsidRPr="0010072C">
              <w:rPr>
                <w:rFonts w:ascii="Times New Roman"/>
                <w:sz w:val="24"/>
                <w:szCs w:val="24"/>
                <w:lang w:val="en-US"/>
              </w:rPr>
              <w:t xml:space="preserve"> Sex Role Inventory (</w:t>
            </w:r>
            <w:proofErr w:type="spellStart"/>
            <w:r w:rsidRPr="0010072C">
              <w:rPr>
                <w:rFonts w:ascii="Times New Roman"/>
                <w:sz w:val="24"/>
                <w:szCs w:val="24"/>
                <w:lang w:val="en-US"/>
              </w:rPr>
              <w:t>Bem</w:t>
            </w:r>
            <w:proofErr w:type="spellEnd"/>
            <w:r w:rsidRPr="0010072C">
              <w:rPr>
                <w:rFonts w:ascii="Times New Roman"/>
                <w:sz w:val="24"/>
                <w:szCs w:val="24"/>
                <w:lang w:val="en-US"/>
              </w:rPr>
              <w:t xml:space="preserve"> et al., 1974)</w:t>
            </w:r>
          </w:p>
        </w:tc>
        <w:tc>
          <w:tcPr>
            <w:tcW w:w="4665" w:type="dxa"/>
          </w:tcPr>
          <w:p w14:paraId="7AFA3378" w14:textId="77777777" w:rsidR="00917385" w:rsidRPr="0010072C" w:rsidRDefault="0091738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18 </w:t>
            </w:r>
            <w:r w:rsidRPr="0010072C">
              <w:rPr>
                <w:rFonts w:ascii="Times New Roman"/>
                <w:sz w:val="24"/>
                <w:szCs w:val="24"/>
                <w:lang w:val="en-US"/>
              </w:rPr>
              <w:t xml:space="preserve">items; scales: masculinity and </w:t>
            </w:r>
            <w:proofErr w:type="spellStart"/>
            <w:r w:rsidRPr="0010072C">
              <w:rPr>
                <w:rFonts w:ascii="Times New Roman"/>
                <w:sz w:val="24"/>
                <w:szCs w:val="24"/>
                <w:lang w:val="en-US"/>
              </w:rPr>
              <w:t>feminity</w:t>
            </w:r>
            <w:proofErr w:type="spellEnd"/>
            <w:r w:rsidRPr="0010072C">
              <w:rPr>
                <w:rFonts w:ascii="Times New Roman"/>
                <w:sz w:val="24"/>
                <w:szCs w:val="24"/>
                <w:lang w:val="en-US"/>
              </w:rPr>
              <w:t>. Participants are classified in four groups: masculine, feminine, androgynous or non-differentiated.</w:t>
            </w:r>
          </w:p>
        </w:tc>
      </w:tr>
      <w:tr w:rsidR="00917385" w:rsidRPr="00823A48" w14:paraId="73026E20" w14:textId="77777777" w:rsidTr="0010072C">
        <w:trPr>
          <w:trHeight w:val="70"/>
        </w:trPr>
        <w:tc>
          <w:tcPr>
            <w:tcW w:w="4664" w:type="dxa"/>
            <w:vMerge/>
          </w:tcPr>
          <w:p w14:paraId="60EA47E3" w14:textId="77777777" w:rsidR="00917385" w:rsidRPr="0010072C" w:rsidRDefault="00917385" w:rsidP="005C0611">
            <w:pPr>
              <w:rPr>
                <w:rFonts w:ascii="Times New Roman"/>
                <w:sz w:val="24"/>
                <w:szCs w:val="24"/>
                <w:lang w:val="en-GB"/>
              </w:rPr>
            </w:pPr>
          </w:p>
        </w:tc>
        <w:tc>
          <w:tcPr>
            <w:tcW w:w="4665" w:type="dxa"/>
          </w:tcPr>
          <w:p w14:paraId="16D4C149" w14:textId="77777777" w:rsidR="00917385" w:rsidRPr="0010072C" w:rsidRDefault="0091738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BA2C95">
              <w:rPr>
                <w:rFonts w:ascii="Times New Roman"/>
                <w:sz w:val="24"/>
                <w:szCs w:val="24"/>
                <w:lang w:val="en-US"/>
              </w:rPr>
              <w:t>Barrant Impulsiveness Scale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(Barrant et al., 1995)</w:t>
            </w:r>
          </w:p>
        </w:tc>
        <w:tc>
          <w:tcPr>
            <w:tcW w:w="4665" w:type="dxa"/>
          </w:tcPr>
          <w:p w14:paraId="7B07BD9F" w14:textId="77777777" w:rsidR="00917385" w:rsidRPr="0010072C" w:rsidRDefault="0091738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34 items; scales: </w:t>
            </w:r>
            <w:r w:rsidRPr="00BA2C95">
              <w:rPr>
                <w:rFonts w:ascii="Times New Roman"/>
                <w:sz w:val="24"/>
                <w:szCs w:val="24"/>
                <w:lang w:val="en-US"/>
              </w:rPr>
              <w:t>non-planning impulsivity, motor impulsivity and cognitive impulsivity</w:t>
            </w:r>
            <w:r>
              <w:rPr>
                <w:rFonts w:ascii="Times New Roman"/>
                <w:sz w:val="24"/>
                <w:szCs w:val="24"/>
                <w:lang w:val="en-US"/>
              </w:rPr>
              <w:t>.</w:t>
            </w:r>
          </w:p>
        </w:tc>
      </w:tr>
      <w:tr w:rsidR="00917385" w:rsidRPr="00823A48" w14:paraId="192FDC63" w14:textId="77777777" w:rsidTr="0010072C">
        <w:trPr>
          <w:trHeight w:val="70"/>
        </w:trPr>
        <w:tc>
          <w:tcPr>
            <w:tcW w:w="4664" w:type="dxa"/>
            <w:vMerge/>
          </w:tcPr>
          <w:p w14:paraId="3F47BB16" w14:textId="77777777" w:rsidR="00917385" w:rsidRPr="0010072C" w:rsidRDefault="00917385" w:rsidP="005C0611">
            <w:pPr>
              <w:rPr>
                <w:rFonts w:ascii="Times New Roman"/>
                <w:sz w:val="24"/>
                <w:szCs w:val="24"/>
                <w:lang w:val="en-GB"/>
              </w:rPr>
            </w:pPr>
          </w:p>
        </w:tc>
        <w:tc>
          <w:tcPr>
            <w:tcW w:w="4665" w:type="dxa"/>
          </w:tcPr>
          <w:p w14:paraId="3DE0FF67" w14:textId="77777777" w:rsidR="00917385" w:rsidRPr="00BA2C95" w:rsidRDefault="0091738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Sensation Seeking Scale (Zuckerman et al., 1974)</w:t>
            </w:r>
          </w:p>
        </w:tc>
        <w:tc>
          <w:tcPr>
            <w:tcW w:w="4665" w:type="dxa"/>
          </w:tcPr>
          <w:p w14:paraId="7BB2E609" w14:textId="77777777" w:rsidR="00917385" w:rsidRDefault="0091738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10 items; factors: thrill adventure seeking, experience seeking, disinhibition, boredom susceptibility.</w:t>
            </w:r>
          </w:p>
        </w:tc>
      </w:tr>
      <w:tr w:rsidR="00917385" w:rsidRPr="00823A48" w14:paraId="2881C513" w14:textId="77777777" w:rsidTr="0010072C">
        <w:trPr>
          <w:trHeight w:val="70"/>
        </w:trPr>
        <w:tc>
          <w:tcPr>
            <w:tcW w:w="4664" w:type="dxa"/>
            <w:vMerge/>
          </w:tcPr>
          <w:p w14:paraId="5C2671D8" w14:textId="77777777" w:rsidR="00917385" w:rsidRPr="0010072C" w:rsidRDefault="00917385" w:rsidP="005C0611">
            <w:pPr>
              <w:rPr>
                <w:rFonts w:ascii="Times New Roman"/>
                <w:sz w:val="24"/>
                <w:szCs w:val="24"/>
                <w:lang w:val="en-GB"/>
              </w:rPr>
            </w:pPr>
          </w:p>
        </w:tc>
        <w:tc>
          <w:tcPr>
            <w:tcW w:w="4665" w:type="dxa"/>
          </w:tcPr>
          <w:p w14:paraId="49EA47EE" w14:textId="77777777" w:rsidR="00917385" w:rsidRDefault="0091738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BA2C95">
              <w:rPr>
                <w:rFonts w:ascii="Times New Roman"/>
                <w:sz w:val="24"/>
                <w:szCs w:val="24"/>
                <w:lang w:val="en-US"/>
              </w:rPr>
              <w:t>Risk and Excitement Inventory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(Taylor &amp; Hamilton, 1997)</w:t>
            </w:r>
          </w:p>
        </w:tc>
        <w:tc>
          <w:tcPr>
            <w:tcW w:w="4665" w:type="dxa"/>
          </w:tcPr>
          <w:p w14:paraId="3BD654D8" w14:textId="77777777" w:rsidR="00917385" w:rsidRDefault="0091738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12 items; dimensions: escape and compensation. </w:t>
            </w:r>
          </w:p>
        </w:tc>
      </w:tr>
      <w:tr w:rsidR="00917385" w:rsidRPr="00823A48" w14:paraId="05E5425F" w14:textId="77777777" w:rsidTr="0010072C">
        <w:trPr>
          <w:trHeight w:val="70"/>
        </w:trPr>
        <w:tc>
          <w:tcPr>
            <w:tcW w:w="4664" w:type="dxa"/>
            <w:vMerge/>
          </w:tcPr>
          <w:p w14:paraId="1572453E" w14:textId="77777777" w:rsidR="00917385" w:rsidRPr="0010072C" w:rsidRDefault="00917385">
            <w:pPr>
              <w:rPr>
                <w:rFonts w:ascii="Times New Roman"/>
                <w:sz w:val="24"/>
                <w:szCs w:val="24"/>
                <w:lang w:val="en-GB"/>
              </w:rPr>
            </w:pPr>
          </w:p>
        </w:tc>
        <w:tc>
          <w:tcPr>
            <w:tcW w:w="4665" w:type="dxa"/>
          </w:tcPr>
          <w:p w14:paraId="5BD71F1B" w14:textId="77777777" w:rsidR="00917385" w:rsidRPr="00BA2C95" w:rsidRDefault="0091738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BA2C95">
              <w:rPr>
                <w:rFonts w:ascii="Times New Roman"/>
                <w:sz w:val="24"/>
                <w:szCs w:val="24"/>
                <w:lang w:val="en-US"/>
              </w:rPr>
              <w:t>Toronto Alexithymia Scale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(Bagby et al., 1964)</w:t>
            </w:r>
          </w:p>
        </w:tc>
        <w:tc>
          <w:tcPr>
            <w:tcW w:w="4665" w:type="dxa"/>
          </w:tcPr>
          <w:p w14:paraId="66D148DD" w14:textId="77777777" w:rsidR="00917385" w:rsidRDefault="0091738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20 items; factors: </w:t>
            </w:r>
            <w:r w:rsidRPr="00B85135">
              <w:rPr>
                <w:rFonts w:ascii="Times New Roman"/>
                <w:sz w:val="24"/>
                <w:szCs w:val="24"/>
                <w:lang w:val="en-US"/>
              </w:rPr>
              <w:t>difficulties do describe personal emotions, describe feelings related to others, participants do not have interest about feelings</w:t>
            </w:r>
            <w:r>
              <w:rPr>
                <w:rFonts w:ascii="Times New Roman"/>
                <w:sz w:val="24"/>
                <w:szCs w:val="24"/>
                <w:lang w:val="en-US"/>
              </w:rPr>
              <w:t>.</w:t>
            </w:r>
          </w:p>
        </w:tc>
      </w:tr>
      <w:tr w:rsidR="00B85135" w:rsidRPr="00823A48" w14:paraId="0970E075" w14:textId="77777777" w:rsidTr="0010072C">
        <w:trPr>
          <w:trHeight w:val="70"/>
        </w:trPr>
        <w:tc>
          <w:tcPr>
            <w:tcW w:w="4664" w:type="dxa"/>
          </w:tcPr>
          <w:p w14:paraId="472FE232" w14:textId="5F38719C" w:rsidR="00B85135" w:rsidRPr="0010072C" w:rsidRDefault="00827A66">
            <w:pPr>
              <w:rPr>
                <w:rFonts w:ascii="Times New Roman"/>
                <w:sz w:val="24"/>
                <w:szCs w:val="24"/>
                <w:lang w:val="en-GB"/>
              </w:rPr>
            </w:pPr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Sanchez et al.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[57]</w:t>
            </w:r>
          </w:p>
        </w:tc>
        <w:tc>
          <w:tcPr>
            <w:tcW w:w="4665" w:type="dxa"/>
          </w:tcPr>
          <w:p w14:paraId="13056E09" w14:textId="77777777" w:rsidR="00B85135" w:rsidRPr="00BA2C95" w:rsidRDefault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C31890">
              <w:rPr>
                <w:rFonts w:ascii="Times New Roman"/>
                <w:sz w:val="24"/>
                <w:szCs w:val="24"/>
                <w:lang w:val="en-US"/>
              </w:rPr>
              <w:t>Competitive State Anxiety Inventory-2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(Martens et al., 1990)</w:t>
            </w:r>
          </w:p>
        </w:tc>
        <w:tc>
          <w:tcPr>
            <w:tcW w:w="4665" w:type="dxa"/>
          </w:tcPr>
          <w:p w14:paraId="525B08E3" w14:textId="77777777" w:rsidR="00B85135" w:rsidRDefault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27 items; factors: cognitive anxiety, somatic anxiety, self-confidence.</w:t>
            </w:r>
          </w:p>
        </w:tc>
      </w:tr>
      <w:tr w:rsidR="00B85135" w:rsidRPr="00823A48" w14:paraId="7F353227" w14:textId="77777777" w:rsidTr="0010072C">
        <w:trPr>
          <w:trHeight w:val="70"/>
        </w:trPr>
        <w:tc>
          <w:tcPr>
            <w:tcW w:w="4664" w:type="dxa"/>
          </w:tcPr>
          <w:p w14:paraId="4A5FA2DF" w14:textId="38D78FEF" w:rsidR="00B85135" w:rsidRPr="00E04852" w:rsidRDefault="00827A66" w:rsidP="00B85135">
            <w:pPr>
              <w:rPr>
                <w:rFonts w:ascii="Times New Roman"/>
                <w:sz w:val="24"/>
                <w:szCs w:val="24"/>
              </w:rPr>
            </w:pPr>
            <w:proofErr w:type="spellStart"/>
            <w:r w:rsidRPr="00827A66">
              <w:rPr>
                <w:rFonts w:ascii="Times New Roman"/>
                <w:sz w:val="24"/>
                <w:szCs w:val="24"/>
              </w:rPr>
              <w:t>Sanchez</w:t>
            </w:r>
            <w:proofErr w:type="spellEnd"/>
            <w:r w:rsidRPr="00827A66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827A66">
              <w:rPr>
                <w:rFonts w:ascii="Times New Roman"/>
                <w:sz w:val="24"/>
                <w:szCs w:val="24"/>
              </w:rPr>
              <w:t>et</w:t>
            </w:r>
            <w:proofErr w:type="spellEnd"/>
            <w:r w:rsidRPr="00827A66">
              <w:rPr>
                <w:rFonts w:ascii="Times New Roman"/>
                <w:sz w:val="24"/>
                <w:szCs w:val="24"/>
              </w:rPr>
              <w:t xml:space="preserve"> al. </w:t>
            </w:r>
            <w:r w:rsidR="00823A48">
              <w:rPr>
                <w:rFonts w:ascii="Times New Roman"/>
                <w:sz w:val="24"/>
                <w:szCs w:val="24"/>
              </w:rPr>
              <w:t>[57]</w:t>
            </w:r>
            <w:r w:rsidR="00E04852" w:rsidRPr="00E04852">
              <w:rPr>
                <w:rFonts w:ascii="Times New Roman"/>
                <w:sz w:val="24"/>
                <w:szCs w:val="24"/>
              </w:rPr>
              <w:t xml:space="preserve">; </w:t>
            </w:r>
            <w:proofErr w:type="spellStart"/>
            <w:r w:rsidRPr="00827A66">
              <w:rPr>
                <w:rFonts w:ascii="Times New Roman"/>
                <w:sz w:val="24"/>
                <w:szCs w:val="24"/>
              </w:rPr>
              <w:t>Monasterio</w:t>
            </w:r>
            <w:proofErr w:type="spellEnd"/>
            <w:r w:rsidRPr="00827A66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827A66">
              <w:rPr>
                <w:rFonts w:ascii="Times New Roman"/>
                <w:sz w:val="24"/>
                <w:szCs w:val="24"/>
              </w:rPr>
              <w:t>et</w:t>
            </w:r>
            <w:proofErr w:type="spellEnd"/>
            <w:r w:rsidRPr="00827A66">
              <w:rPr>
                <w:rFonts w:ascii="Times New Roman"/>
                <w:sz w:val="24"/>
                <w:szCs w:val="24"/>
              </w:rPr>
              <w:t xml:space="preserve"> al.</w:t>
            </w:r>
            <w:r w:rsidR="00823A48">
              <w:rPr>
                <w:rFonts w:ascii="Times New Roman"/>
                <w:sz w:val="24"/>
                <w:szCs w:val="24"/>
              </w:rPr>
              <w:t xml:space="preserve"> [30]</w:t>
            </w:r>
            <w:r w:rsidR="00E60D80">
              <w:rPr>
                <w:rFonts w:ascii="Times New Roman"/>
                <w:sz w:val="24"/>
                <w:szCs w:val="24"/>
              </w:rPr>
              <w:t xml:space="preserve">; </w:t>
            </w:r>
            <w:proofErr w:type="spellStart"/>
            <w:r w:rsidRPr="00827A66">
              <w:rPr>
                <w:rFonts w:ascii="Times New Roman"/>
                <w:sz w:val="24"/>
                <w:szCs w:val="24"/>
              </w:rPr>
              <w:t>Monasterio</w:t>
            </w:r>
            <w:proofErr w:type="spellEnd"/>
            <w:r w:rsidRPr="00827A66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827A66">
              <w:rPr>
                <w:rFonts w:ascii="Times New Roman"/>
                <w:sz w:val="24"/>
                <w:szCs w:val="24"/>
              </w:rPr>
              <w:t>et</w:t>
            </w:r>
            <w:proofErr w:type="spellEnd"/>
            <w:r w:rsidRPr="00827A66">
              <w:rPr>
                <w:rFonts w:ascii="Times New Roman"/>
                <w:sz w:val="24"/>
                <w:szCs w:val="24"/>
              </w:rPr>
              <w:t xml:space="preserve"> al. </w:t>
            </w:r>
            <w:r w:rsidR="00823A48">
              <w:rPr>
                <w:rFonts w:ascii="Times New Roman"/>
                <w:sz w:val="24"/>
                <w:szCs w:val="24"/>
              </w:rPr>
              <w:t>[34]</w:t>
            </w:r>
            <w:r w:rsidR="00E60D80">
              <w:rPr>
                <w:rFonts w:ascii="Times New Roman"/>
                <w:sz w:val="24"/>
                <w:szCs w:val="24"/>
              </w:rPr>
              <w:t xml:space="preserve">; </w:t>
            </w:r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Monasterio and Cloninger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[54]</w:t>
            </w:r>
          </w:p>
        </w:tc>
        <w:tc>
          <w:tcPr>
            <w:tcW w:w="4665" w:type="dxa"/>
          </w:tcPr>
          <w:p w14:paraId="51F831F5" w14:textId="77777777" w:rsidR="00B85135" w:rsidRPr="00C31890" w:rsidRDefault="00B8513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203044">
              <w:rPr>
                <w:rFonts w:ascii="Times New Roman"/>
                <w:sz w:val="24"/>
                <w:szCs w:val="24"/>
                <w:lang w:val="en-US"/>
              </w:rPr>
              <w:t>Cloninger Temperament and Character Inventory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(Cloninger et al., 1994)</w:t>
            </w:r>
          </w:p>
        </w:tc>
        <w:tc>
          <w:tcPr>
            <w:tcW w:w="4665" w:type="dxa"/>
          </w:tcPr>
          <w:p w14:paraId="39A161E4" w14:textId="77777777" w:rsidR="00B85135" w:rsidRDefault="00B8513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235 items; dimensions of temperament: novelty seeking, harm avoidance, social recognition, persistence; dimensions of character: self-directness, cooperativeness, self-transcendence. </w:t>
            </w:r>
          </w:p>
        </w:tc>
      </w:tr>
      <w:tr w:rsidR="00FE28D5" w:rsidRPr="00823A48" w14:paraId="0D52FCD1" w14:textId="77777777" w:rsidTr="0010072C">
        <w:trPr>
          <w:trHeight w:val="70"/>
        </w:trPr>
        <w:tc>
          <w:tcPr>
            <w:tcW w:w="4664" w:type="dxa"/>
          </w:tcPr>
          <w:p w14:paraId="36D20990" w14:textId="4EBCEE42" w:rsidR="00FE28D5" w:rsidRPr="00E04852" w:rsidRDefault="00827A66" w:rsidP="00B85135">
            <w:pPr>
              <w:rPr>
                <w:rFonts w:ascii="Times New Roman"/>
                <w:sz w:val="24"/>
                <w:szCs w:val="24"/>
              </w:rPr>
            </w:pPr>
            <w:r w:rsidRPr="00BC4755">
              <w:rPr>
                <w:rFonts w:ascii="Times New Roman"/>
                <w:sz w:val="24"/>
                <w:szCs w:val="24"/>
                <w:lang w:val="en-US"/>
              </w:rPr>
              <w:lastRenderedPageBreak/>
              <w:t xml:space="preserve">Bouchat et al.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[55]</w:t>
            </w:r>
          </w:p>
        </w:tc>
        <w:tc>
          <w:tcPr>
            <w:tcW w:w="4665" w:type="dxa"/>
          </w:tcPr>
          <w:p w14:paraId="32C5BBD8" w14:textId="77777777" w:rsidR="00FE28D5" w:rsidRPr="00203044" w:rsidRDefault="00FE28D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203044">
              <w:rPr>
                <w:rFonts w:ascii="Times New Roman"/>
                <w:sz w:val="24"/>
                <w:szCs w:val="24"/>
                <w:lang w:val="en-US"/>
              </w:rPr>
              <w:t>Temperament and Character Inventory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– short version (</w:t>
            </w:r>
            <w:proofErr w:type="spellStart"/>
            <w:r>
              <w:rPr>
                <w:rFonts w:ascii="Times New Roman"/>
                <w:sz w:val="24"/>
                <w:szCs w:val="24"/>
                <w:lang w:val="en-US"/>
              </w:rPr>
              <w:t>Rigozzi</w:t>
            </w:r>
            <w:proofErr w:type="spellEnd"/>
            <w:r>
              <w:rPr>
                <w:rFonts w:ascii="Times New Roman"/>
                <w:sz w:val="24"/>
                <w:szCs w:val="24"/>
                <w:lang w:val="en-US"/>
              </w:rPr>
              <w:t xml:space="preserve"> et al., 2004; Adan et al., 2009)</w:t>
            </w:r>
          </w:p>
        </w:tc>
        <w:tc>
          <w:tcPr>
            <w:tcW w:w="4665" w:type="dxa"/>
          </w:tcPr>
          <w:p w14:paraId="66C421D6" w14:textId="77777777" w:rsidR="00FE28D5" w:rsidRDefault="00FE28D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56 items; indicators: novelty seeking, harm avoidance, reward dependence, persistence, self-directness, cooperativeness and, self-transcendence</w:t>
            </w:r>
          </w:p>
        </w:tc>
      </w:tr>
      <w:tr w:rsidR="0003037B" w:rsidRPr="00823A48" w14:paraId="2F5B48F9" w14:textId="77777777" w:rsidTr="0010072C">
        <w:trPr>
          <w:trHeight w:val="70"/>
        </w:trPr>
        <w:tc>
          <w:tcPr>
            <w:tcW w:w="4664" w:type="dxa"/>
          </w:tcPr>
          <w:p w14:paraId="43B98AE2" w14:textId="11EBC0E6" w:rsidR="0003037B" w:rsidRDefault="00827A66" w:rsidP="00B85135">
            <w:pPr>
              <w:rPr>
                <w:rFonts w:ascii="Times New Roman"/>
                <w:sz w:val="24"/>
                <w:szCs w:val="24"/>
                <w:lang w:val="en-GB"/>
              </w:rPr>
            </w:pPr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Hetland and </w:t>
            </w:r>
            <w:proofErr w:type="spellStart"/>
            <w:r w:rsidRPr="00BC4755">
              <w:rPr>
                <w:rFonts w:ascii="Times New Roman"/>
                <w:sz w:val="24"/>
                <w:szCs w:val="24"/>
                <w:lang w:val="en-US"/>
              </w:rPr>
              <w:t>Vitterso</w:t>
            </w:r>
            <w:proofErr w:type="spellEnd"/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[25]</w:t>
            </w:r>
          </w:p>
        </w:tc>
        <w:tc>
          <w:tcPr>
            <w:tcW w:w="4665" w:type="dxa"/>
          </w:tcPr>
          <w:p w14:paraId="4011D957" w14:textId="77777777" w:rsidR="0003037B" w:rsidRPr="00203044" w:rsidRDefault="0003037B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Basic Emotions State Test (</w:t>
            </w:r>
            <w:proofErr w:type="spellStart"/>
            <w:r>
              <w:rPr>
                <w:rFonts w:ascii="Times New Roman"/>
                <w:sz w:val="24"/>
                <w:szCs w:val="24"/>
                <w:lang w:val="en-US"/>
              </w:rPr>
              <w:t>Vitterso</w:t>
            </w:r>
            <w:proofErr w:type="spellEnd"/>
            <w:r>
              <w:rPr>
                <w:rFonts w:ascii="Times New Roman"/>
                <w:sz w:val="24"/>
                <w:szCs w:val="24"/>
                <w:lang w:val="en-US"/>
              </w:rPr>
              <w:t xml:space="preserve"> et al., 2009)</w:t>
            </w:r>
          </w:p>
        </w:tc>
        <w:tc>
          <w:tcPr>
            <w:tcW w:w="4665" w:type="dxa"/>
          </w:tcPr>
          <w:p w14:paraId="07CBC543" w14:textId="77777777" w:rsidR="0003037B" w:rsidRDefault="0003037B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45 items; scales: pleasure, engagement, negative emotions. </w:t>
            </w:r>
          </w:p>
        </w:tc>
      </w:tr>
      <w:tr w:rsidR="0003037B" w:rsidRPr="00823A48" w14:paraId="5C341F8B" w14:textId="77777777" w:rsidTr="0010072C">
        <w:trPr>
          <w:trHeight w:val="70"/>
        </w:trPr>
        <w:tc>
          <w:tcPr>
            <w:tcW w:w="4664" w:type="dxa"/>
          </w:tcPr>
          <w:p w14:paraId="5C0B43AF" w14:textId="3FC91817" w:rsidR="0003037B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Chang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[29]</w:t>
            </w:r>
          </w:p>
        </w:tc>
        <w:tc>
          <w:tcPr>
            <w:tcW w:w="4665" w:type="dxa"/>
          </w:tcPr>
          <w:p w14:paraId="37307880" w14:textId="77777777" w:rsidR="0003037B" w:rsidRDefault="0003037B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Flow experience questionnaire (Heo et al, 2010)</w:t>
            </w:r>
          </w:p>
        </w:tc>
        <w:tc>
          <w:tcPr>
            <w:tcW w:w="4665" w:type="dxa"/>
          </w:tcPr>
          <w:p w14:paraId="598B9DDD" w14:textId="77777777" w:rsidR="0003037B" w:rsidRDefault="0003037B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4 items; dimensions: mood; attention to other things</w:t>
            </w:r>
            <w:r w:rsidR="00E60D80">
              <w:rPr>
                <w:rFonts w:ascii="Times New Roman"/>
                <w:sz w:val="24"/>
                <w:szCs w:val="24"/>
                <w:lang w:val="en-US"/>
              </w:rPr>
              <w:t>.</w:t>
            </w:r>
          </w:p>
        </w:tc>
      </w:tr>
      <w:tr w:rsidR="00917385" w:rsidRPr="0010072C" w14:paraId="0A52A9CA" w14:textId="77777777" w:rsidTr="00917385">
        <w:trPr>
          <w:trHeight w:val="70"/>
        </w:trPr>
        <w:tc>
          <w:tcPr>
            <w:tcW w:w="4664" w:type="dxa"/>
            <w:vMerge w:val="restart"/>
            <w:vAlign w:val="center"/>
          </w:tcPr>
          <w:p w14:paraId="56AB05CA" w14:textId="661F1299" w:rsidR="00917385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BC4755">
              <w:rPr>
                <w:rFonts w:ascii="Times New Roman"/>
                <w:sz w:val="24"/>
                <w:szCs w:val="24"/>
                <w:lang w:val="en-US"/>
              </w:rPr>
              <w:t>Bekaroglu</w:t>
            </w:r>
            <w:proofErr w:type="spellEnd"/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 and Bozo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[32]</w:t>
            </w:r>
          </w:p>
        </w:tc>
        <w:tc>
          <w:tcPr>
            <w:tcW w:w="4665" w:type="dxa"/>
          </w:tcPr>
          <w:p w14:paraId="7A09FE9B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Experience in Close Relationships (Fraley et al., 2020)</w:t>
            </w:r>
          </w:p>
        </w:tc>
        <w:tc>
          <w:tcPr>
            <w:tcW w:w="4665" w:type="dxa"/>
          </w:tcPr>
          <w:p w14:paraId="6C79738C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36 items; dimensions: anxiety, avoidance.</w:t>
            </w:r>
          </w:p>
        </w:tc>
      </w:tr>
      <w:tr w:rsidR="00917385" w:rsidRPr="00823A48" w14:paraId="43B4EA69" w14:textId="77777777" w:rsidTr="0010072C">
        <w:trPr>
          <w:trHeight w:val="70"/>
        </w:trPr>
        <w:tc>
          <w:tcPr>
            <w:tcW w:w="4664" w:type="dxa"/>
            <w:vMerge/>
          </w:tcPr>
          <w:p w14:paraId="20485B77" w14:textId="77777777" w:rsidR="00917385" w:rsidRPr="0038075E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</w:p>
        </w:tc>
        <w:tc>
          <w:tcPr>
            <w:tcW w:w="4665" w:type="dxa"/>
          </w:tcPr>
          <w:p w14:paraId="12E996BC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426D70">
              <w:rPr>
                <w:rFonts w:ascii="Times New Roman"/>
                <w:sz w:val="24"/>
                <w:szCs w:val="24"/>
                <w:lang w:val="en-US"/>
              </w:rPr>
              <w:t>Di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fficulty of Emotion Regulation </w:t>
            </w:r>
            <w:r w:rsidRPr="00426D70">
              <w:rPr>
                <w:rFonts w:ascii="Times New Roman"/>
                <w:sz w:val="24"/>
                <w:szCs w:val="24"/>
                <w:lang w:val="en-US"/>
              </w:rPr>
              <w:t>Health Promoting Lifestyle Profile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(Gratz and Roemer, 2004)</w:t>
            </w:r>
          </w:p>
        </w:tc>
        <w:tc>
          <w:tcPr>
            <w:tcW w:w="4665" w:type="dxa"/>
          </w:tcPr>
          <w:p w14:paraId="26486E1C" w14:textId="77777777" w:rsidR="00917385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36 items; scales: lack of awareness about emotional responses,</w:t>
            </w:r>
            <w:r w:rsidRPr="00F81C7C">
              <w:rPr>
                <w:lang w:val="en-US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lack of clarity </w:t>
            </w:r>
            <w:r w:rsidRPr="00F81C7C">
              <w:rPr>
                <w:rFonts w:ascii="Times New Roman"/>
                <w:sz w:val="24"/>
                <w:szCs w:val="24"/>
                <w:lang w:val="en-US"/>
              </w:rPr>
              <w:t>about emotional responses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, nonacceptance of emotional responses lack of </w:t>
            </w:r>
            <w:r w:rsidRPr="00F81C7C">
              <w:rPr>
                <w:rFonts w:ascii="Times New Roman"/>
                <w:sz w:val="24"/>
                <w:szCs w:val="24"/>
                <w:lang w:val="en-US"/>
              </w:rPr>
              <w:t>strategies while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dealing with negative emotions, impulse control difficulties </w:t>
            </w:r>
            <w:r w:rsidRPr="00F81C7C">
              <w:rPr>
                <w:rFonts w:ascii="Times New Roman"/>
                <w:sz w:val="24"/>
                <w:szCs w:val="24"/>
                <w:lang w:val="en-US"/>
              </w:rPr>
              <w:t>while dealing with negative emotions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, </w:t>
            </w:r>
            <w:r w:rsidRPr="00F81C7C">
              <w:rPr>
                <w:rFonts w:ascii="Times New Roman"/>
                <w:sz w:val="24"/>
                <w:szCs w:val="24"/>
                <w:lang w:val="en-US"/>
              </w:rPr>
              <w:t>lack of goal-directed behavior while dealing with negative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emotions.</w:t>
            </w:r>
          </w:p>
        </w:tc>
      </w:tr>
      <w:tr w:rsidR="00E60D80" w:rsidRPr="00823A48" w14:paraId="1CE126EB" w14:textId="77777777" w:rsidTr="0010072C">
        <w:trPr>
          <w:trHeight w:val="70"/>
        </w:trPr>
        <w:tc>
          <w:tcPr>
            <w:tcW w:w="4664" w:type="dxa"/>
          </w:tcPr>
          <w:p w14:paraId="0E918781" w14:textId="26ACE7D0" w:rsidR="00E60D80" w:rsidRPr="0038075E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BC4755">
              <w:rPr>
                <w:rFonts w:ascii="Times New Roman"/>
                <w:sz w:val="24"/>
                <w:szCs w:val="24"/>
                <w:lang w:val="en-US"/>
              </w:rPr>
              <w:t>Krokosz</w:t>
            </w:r>
            <w:proofErr w:type="spellEnd"/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BC4755">
              <w:rPr>
                <w:rFonts w:ascii="Times New Roman"/>
                <w:sz w:val="24"/>
                <w:szCs w:val="24"/>
                <w:lang w:val="en-US"/>
              </w:rPr>
              <w:t>Jochimek</w:t>
            </w:r>
            <w:proofErr w:type="spellEnd"/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[33]</w:t>
            </w:r>
          </w:p>
        </w:tc>
        <w:tc>
          <w:tcPr>
            <w:tcW w:w="4665" w:type="dxa"/>
          </w:tcPr>
          <w:p w14:paraId="00080CAD" w14:textId="77777777" w:rsidR="00E60D80" w:rsidRPr="00426D70" w:rsidRDefault="00E60D80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COPE questionnaire (Carver, 1997, </w:t>
            </w:r>
            <w:proofErr w:type="spellStart"/>
            <w:r>
              <w:rPr>
                <w:rFonts w:ascii="Times New Roman"/>
                <w:sz w:val="24"/>
                <w:szCs w:val="24"/>
                <w:lang w:val="en-US"/>
              </w:rPr>
              <w:t>Juczynski</w:t>
            </w:r>
            <w:proofErr w:type="spellEnd"/>
            <w:r>
              <w:rPr>
                <w:rFonts w:ascii="Times New Roman"/>
                <w:sz w:val="24"/>
                <w:szCs w:val="24"/>
                <w:lang w:val="en-US"/>
              </w:rPr>
              <w:t xml:space="preserve"> et al., 2009)</w:t>
            </w:r>
          </w:p>
        </w:tc>
        <w:tc>
          <w:tcPr>
            <w:tcW w:w="4665" w:type="dxa"/>
          </w:tcPr>
          <w:p w14:paraId="4FDAEDC9" w14:textId="77777777" w:rsidR="00E60D80" w:rsidRDefault="00E60D80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28 items; 14 dimensions: </w:t>
            </w:r>
            <w:r w:rsidRPr="00934BCD">
              <w:rPr>
                <w:rFonts w:ascii="Times New Roman"/>
                <w:sz w:val="24"/>
                <w:szCs w:val="24"/>
                <w:lang w:val="en-US"/>
              </w:rPr>
              <w:t>active coping, planning, positive reframing, ac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ceptance, humor, religion, use </w:t>
            </w:r>
            <w:r w:rsidRPr="00934BCD">
              <w:rPr>
                <w:rFonts w:ascii="Times New Roman"/>
                <w:sz w:val="24"/>
                <w:szCs w:val="24"/>
                <w:lang w:val="en-US"/>
              </w:rPr>
              <w:t>of emotional support, use of instrumental sup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port, self-distraction, denial, </w:t>
            </w:r>
            <w:r w:rsidRPr="00934BCD">
              <w:rPr>
                <w:rFonts w:ascii="Times New Roman"/>
                <w:sz w:val="24"/>
                <w:szCs w:val="24"/>
                <w:lang w:val="en-US"/>
              </w:rPr>
              <w:t>venting, substance use, behavioral disengagement, and self-blame</w:t>
            </w:r>
            <w:r>
              <w:rPr>
                <w:rFonts w:ascii="Times New Roman"/>
                <w:sz w:val="24"/>
                <w:szCs w:val="24"/>
                <w:lang w:val="en-US"/>
              </w:rPr>
              <w:t>.</w:t>
            </w:r>
          </w:p>
        </w:tc>
      </w:tr>
      <w:tr w:rsidR="00917385" w:rsidRPr="00823A48" w14:paraId="2A90D2E6" w14:textId="77777777" w:rsidTr="00917385">
        <w:trPr>
          <w:trHeight w:val="70"/>
        </w:trPr>
        <w:tc>
          <w:tcPr>
            <w:tcW w:w="4664" w:type="dxa"/>
            <w:vMerge w:val="restart"/>
            <w:vAlign w:val="center"/>
          </w:tcPr>
          <w:p w14:paraId="049EBFE5" w14:textId="0645F49B" w:rsidR="00917385" w:rsidRPr="00C31890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Boyd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[49]</w:t>
            </w:r>
          </w:p>
        </w:tc>
        <w:tc>
          <w:tcPr>
            <w:tcW w:w="4665" w:type="dxa"/>
          </w:tcPr>
          <w:p w14:paraId="59346259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DC0B1E">
              <w:rPr>
                <w:rFonts w:ascii="Times New Roman"/>
                <w:sz w:val="24"/>
                <w:szCs w:val="24"/>
                <w:lang w:val="en-US"/>
              </w:rPr>
              <w:t>Attitude Toward Risk Questionnair</w:t>
            </w:r>
            <w:r>
              <w:rPr>
                <w:rFonts w:ascii="Times New Roman"/>
                <w:sz w:val="24"/>
                <w:szCs w:val="24"/>
                <w:lang w:val="en-US"/>
              </w:rPr>
              <w:t>e (</w:t>
            </w:r>
            <w:r w:rsidRPr="003A4F86">
              <w:rPr>
                <w:rFonts w:ascii="Times New Roman"/>
                <w:sz w:val="24"/>
                <w:szCs w:val="24"/>
                <w:lang w:val="en-US"/>
              </w:rPr>
              <w:t>Franken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et al., </w:t>
            </w:r>
            <w:r w:rsidRPr="003A4F86">
              <w:rPr>
                <w:rFonts w:ascii="Times New Roman"/>
                <w:sz w:val="24"/>
                <w:szCs w:val="24"/>
                <w:lang w:val="en-US"/>
              </w:rPr>
              <w:t>1992</w:t>
            </w:r>
            <w:r>
              <w:rPr>
                <w:rFonts w:asci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5" w:type="dxa"/>
          </w:tcPr>
          <w:p w14:paraId="49ADC5FA" w14:textId="77777777" w:rsidR="00917385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10 items; one dimension: physical risk.</w:t>
            </w:r>
          </w:p>
        </w:tc>
      </w:tr>
      <w:tr w:rsidR="00917385" w:rsidRPr="00823A48" w14:paraId="7341CCFA" w14:textId="77777777" w:rsidTr="00917385">
        <w:trPr>
          <w:trHeight w:val="70"/>
        </w:trPr>
        <w:tc>
          <w:tcPr>
            <w:tcW w:w="4664" w:type="dxa"/>
            <w:vMerge/>
            <w:vAlign w:val="center"/>
          </w:tcPr>
          <w:p w14:paraId="10F79B8C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</w:p>
        </w:tc>
        <w:tc>
          <w:tcPr>
            <w:tcW w:w="4665" w:type="dxa"/>
          </w:tcPr>
          <w:p w14:paraId="0617031C" w14:textId="77777777" w:rsidR="00917385" w:rsidRPr="00DC0B1E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DC0B1E">
              <w:rPr>
                <w:rFonts w:ascii="Times New Roman"/>
                <w:sz w:val="24"/>
                <w:szCs w:val="24"/>
                <w:lang w:val="en-US"/>
              </w:rPr>
              <w:t>Perception of Success Questionnaire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(Franken et al., 1992)</w:t>
            </w:r>
          </w:p>
        </w:tc>
        <w:tc>
          <w:tcPr>
            <w:tcW w:w="4665" w:type="dxa"/>
          </w:tcPr>
          <w:p w14:paraId="3BDEF3F5" w14:textId="77777777" w:rsidR="00917385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12 items; two dimensions: task orientation, ego orientation.  </w:t>
            </w:r>
          </w:p>
        </w:tc>
      </w:tr>
      <w:tr w:rsidR="00917385" w:rsidRPr="0010072C" w14:paraId="0B19DB6E" w14:textId="77777777" w:rsidTr="00917385">
        <w:trPr>
          <w:trHeight w:val="70"/>
        </w:trPr>
        <w:tc>
          <w:tcPr>
            <w:tcW w:w="4664" w:type="dxa"/>
            <w:vMerge/>
            <w:vAlign w:val="center"/>
          </w:tcPr>
          <w:p w14:paraId="3E617DE5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</w:p>
        </w:tc>
        <w:tc>
          <w:tcPr>
            <w:tcW w:w="4665" w:type="dxa"/>
          </w:tcPr>
          <w:p w14:paraId="3D278366" w14:textId="77777777" w:rsidR="00917385" w:rsidRPr="00DC0B1E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DC0B1E">
              <w:rPr>
                <w:rFonts w:ascii="Times New Roman"/>
                <w:sz w:val="24"/>
                <w:szCs w:val="24"/>
                <w:lang w:val="en-US"/>
              </w:rPr>
              <w:t>Behavioral Regulation in Sport Questionnaire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(Lonsdale et al., 2018)</w:t>
            </w:r>
          </w:p>
        </w:tc>
        <w:tc>
          <w:tcPr>
            <w:tcW w:w="4665" w:type="dxa"/>
          </w:tcPr>
          <w:p w14:paraId="2FE8A54A" w14:textId="77777777" w:rsidR="00917385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Intrinsic motivation subscale.</w:t>
            </w:r>
          </w:p>
        </w:tc>
      </w:tr>
      <w:tr w:rsidR="00606240" w:rsidRPr="00823A48" w14:paraId="59233AAF" w14:textId="77777777" w:rsidTr="0010072C">
        <w:trPr>
          <w:trHeight w:val="70"/>
        </w:trPr>
        <w:tc>
          <w:tcPr>
            <w:tcW w:w="4664" w:type="dxa"/>
          </w:tcPr>
          <w:p w14:paraId="7A03D2BD" w14:textId="6B80E948" w:rsidR="00606240" w:rsidRDefault="00823A48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823A48">
              <w:rPr>
                <w:rFonts w:ascii="Times New Roman"/>
                <w:sz w:val="24"/>
                <w:szCs w:val="24"/>
                <w:lang w:val="en-US"/>
              </w:rPr>
              <w:t>Frühauf</w:t>
            </w:r>
            <w:r w:rsidRPr="00823A48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  <w:r w:rsidR="00827A66" w:rsidRPr="00BC4755">
              <w:rPr>
                <w:rFonts w:ascii="Times New Roman"/>
                <w:sz w:val="24"/>
                <w:szCs w:val="24"/>
                <w:lang w:val="en-US"/>
              </w:rPr>
              <w:t xml:space="preserve">et al. </w:t>
            </w:r>
            <w:r>
              <w:rPr>
                <w:rFonts w:ascii="Times New Roman"/>
                <w:sz w:val="24"/>
                <w:szCs w:val="24"/>
                <w:lang w:val="en-US"/>
              </w:rPr>
              <w:t>[37]</w:t>
            </w:r>
          </w:p>
        </w:tc>
        <w:tc>
          <w:tcPr>
            <w:tcW w:w="4665" w:type="dxa"/>
          </w:tcPr>
          <w:p w14:paraId="7FB89D4F" w14:textId="77777777" w:rsidR="00606240" w:rsidRPr="00AA376E" w:rsidRDefault="00606240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C31890">
              <w:rPr>
                <w:rFonts w:ascii="Times New Roman"/>
                <w:sz w:val="24"/>
                <w:szCs w:val="24"/>
                <w:lang w:val="en-US"/>
              </w:rPr>
              <w:t>German Sensat</w:t>
            </w:r>
            <w:r w:rsidR="00AA376E">
              <w:rPr>
                <w:rFonts w:ascii="Times New Roman"/>
                <w:sz w:val="24"/>
                <w:szCs w:val="24"/>
                <w:lang w:val="en-US"/>
              </w:rPr>
              <w:t>ion Seeking, Emotion Regulation,</w:t>
            </w:r>
            <w:r w:rsidRPr="00C31890">
              <w:rPr>
                <w:rFonts w:ascii="Times New Roman"/>
                <w:sz w:val="24"/>
                <w:szCs w:val="24"/>
                <w:lang w:val="en-US"/>
              </w:rPr>
              <w:t xml:space="preserve"> Agency Scale</w:t>
            </w:r>
            <w:r w:rsidRPr="00AA376E">
              <w:rPr>
                <w:rFonts w:ascii="Times New Roman"/>
                <w:sz w:val="24"/>
                <w:szCs w:val="24"/>
                <w:lang w:val="en-US"/>
              </w:rPr>
              <w:t xml:space="preserve"> </w:t>
            </w:r>
            <w:r w:rsidR="00AA376E">
              <w:rPr>
                <w:rFonts w:ascii="Times New Roman"/>
                <w:sz w:val="24"/>
                <w:szCs w:val="24"/>
                <w:lang w:val="en-US"/>
              </w:rPr>
              <w:t>(</w:t>
            </w:r>
            <w:r w:rsidR="00AA376E" w:rsidRPr="00AA376E">
              <w:rPr>
                <w:rFonts w:ascii="Times New Roman"/>
                <w:sz w:val="24"/>
                <w:szCs w:val="24"/>
                <w:lang w:val="en-US"/>
              </w:rPr>
              <w:t>Frühauf</w:t>
            </w:r>
            <w:r w:rsidR="00AA376E">
              <w:rPr>
                <w:rFonts w:ascii="Times New Roman"/>
                <w:sz w:val="24"/>
                <w:szCs w:val="24"/>
                <w:lang w:val="en-US"/>
              </w:rPr>
              <w:t xml:space="preserve"> et al., 2018)</w:t>
            </w:r>
          </w:p>
        </w:tc>
        <w:tc>
          <w:tcPr>
            <w:tcW w:w="4665" w:type="dxa"/>
          </w:tcPr>
          <w:p w14:paraId="6877DB41" w14:textId="77777777" w:rsidR="00606240" w:rsidRDefault="00606240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42 items; three inventories: time points between participating, while participating, after participating.  </w:t>
            </w:r>
          </w:p>
        </w:tc>
      </w:tr>
      <w:tr w:rsidR="00AA376E" w:rsidRPr="00823A48" w14:paraId="70A28507" w14:textId="77777777" w:rsidTr="0010072C">
        <w:trPr>
          <w:trHeight w:val="70"/>
        </w:trPr>
        <w:tc>
          <w:tcPr>
            <w:tcW w:w="4664" w:type="dxa"/>
          </w:tcPr>
          <w:p w14:paraId="378F1EE5" w14:textId="26FF6465" w:rsidR="00AA376E" w:rsidRPr="00C31890" w:rsidRDefault="00823A48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823A48">
              <w:rPr>
                <w:rFonts w:ascii="Times New Roman"/>
                <w:sz w:val="24"/>
                <w:szCs w:val="24"/>
                <w:lang w:val="en-US"/>
              </w:rPr>
              <w:t>Bostancı</w:t>
            </w:r>
            <w:proofErr w:type="spellEnd"/>
            <w:r w:rsidR="00827A66" w:rsidRPr="00BC4755">
              <w:rPr>
                <w:rFonts w:ascii="Times New Roman"/>
                <w:sz w:val="24"/>
                <w:szCs w:val="24"/>
                <w:lang w:val="en-US"/>
              </w:rPr>
              <w:t xml:space="preserve"> et al. (2019)</w:t>
            </w:r>
          </w:p>
        </w:tc>
        <w:tc>
          <w:tcPr>
            <w:tcW w:w="4665" w:type="dxa"/>
          </w:tcPr>
          <w:p w14:paraId="08A1106F" w14:textId="77777777" w:rsidR="00AA376E" w:rsidRPr="00C31890" w:rsidRDefault="00AA376E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Self-C</w:t>
            </w:r>
            <w:r w:rsidRPr="00C31890">
              <w:rPr>
                <w:rFonts w:ascii="Times New Roman"/>
                <w:sz w:val="24"/>
                <w:szCs w:val="24"/>
                <w:lang w:val="en-US"/>
              </w:rPr>
              <w:t>onfidence scale</w:t>
            </w:r>
            <w:r>
              <w:rPr>
                <w:rFonts w:ascii="Times New Roman"/>
                <w:sz w:val="24"/>
                <w:szCs w:val="24"/>
                <w:lang w:val="en-US"/>
              </w:rPr>
              <w:t xml:space="preserve"> (Akin, 2007)</w:t>
            </w:r>
          </w:p>
        </w:tc>
        <w:tc>
          <w:tcPr>
            <w:tcW w:w="4665" w:type="dxa"/>
          </w:tcPr>
          <w:p w14:paraId="2600329D" w14:textId="77777777" w:rsidR="00AA376E" w:rsidRDefault="00AA376E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30 items; two dimensions: internal self-confidence, external self-confidence. </w:t>
            </w:r>
          </w:p>
        </w:tc>
      </w:tr>
      <w:tr w:rsidR="00AA376E" w:rsidRPr="00823A48" w14:paraId="41E630CB" w14:textId="77777777" w:rsidTr="0010072C">
        <w:trPr>
          <w:trHeight w:val="70"/>
        </w:trPr>
        <w:tc>
          <w:tcPr>
            <w:tcW w:w="4664" w:type="dxa"/>
          </w:tcPr>
          <w:p w14:paraId="25D64F23" w14:textId="09911E74" w:rsidR="00AA376E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823A48">
              <w:rPr>
                <w:rFonts w:ascii="Times New Roman"/>
                <w:sz w:val="24"/>
                <w:szCs w:val="24"/>
                <w:lang w:val="de-DE"/>
              </w:rPr>
              <w:t xml:space="preserve">Gardner et al. </w:t>
            </w:r>
            <w:r w:rsidR="00823A48">
              <w:rPr>
                <w:rFonts w:ascii="Times New Roman"/>
                <w:sz w:val="24"/>
                <w:szCs w:val="24"/>
                <w:lang w:val="de-DE"/>
              </w:rPr>
              <w:t>[41]</w:t>
            </w:r>
            <w:r w:rsidR="00FE28D5" w:rsidRPr="00823A48">
              <w:rPr>
                <w:rFonts w:ascii="Times New Roman"/>
                <w:sz w:val="24"/>
                <w:szCs w:val="24"/>
                <w:lang w:val="de-DE"/>
              </w:rPr>
              <w:t xml:space="preserve">; </w:t>
            </w:r>
            <w:r w:rsidRPr="00823A48">
              <w:rPr>
                <w:rFonts w:ascii="Times New Roman"/>
                <w:sz w:val="24"/>
                <w:szCs w:val="24"/>
                <w:lang w:val="de-DE"/>
              </w:rPr>
              <w:t xml:space="preserve">Weishaar et al.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[42]</w:t>
            </w:r>
          </w:p>
        </w:tc>
        <w:tc>
          <w:tcPr>
            <w:tcW w:w="4665" w:type="dxa"/>
          </w:tcPr>
          <w:p w14:paraId="29A6B347" w14:textId="77777777" w:rsidR="00AA376E" w:rsidRDefault="00AA376E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Sensation Seeking Personality Scale (Conner, 2020)</w:t>
            </w:r>
          </w:p>
        </w:tc>
        <w:tc>
          <w:tcPr>
            <w:tcW w:w="4665" w:type="dxa"/>
          </w:tcPr>
          <w:p w14:paraId="7B388228" w14:textId="77777777" w:rsidR="00AA376E" w:rsidRDefault="00AA376E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10 items; two dimensions: experience-seeking and risk-seeking. </w:t>
            </w:r>
          </w:p>
        </w:tc>
      </w:tr>
      <w:tr w:rsidR="00AA376E" w:rsidRPr="00823A48" w14:paraId="4939AE56" w14:textId="77777777" w:rsidTr="0010072C">
        <w:trPr>
          <w:trHeight w:val="70"/>
        </w:trPr>
        <w:tc>
          <w:tcPr>
            <w:tcW w:w="4664" w:type="dxa"/>
          </w:tcPr>
          <w:p w14:paraId="36EAA3C1" w14:textId="0EA97919" w:rsidR="00AA376E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Gardner et al.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[41]</w:t>
            </w:r>
          </w:p>
        </w:tc>
        <w:tc>
          <w:tcPr>
            <w:tcW w:w="4665" w:type="dxa"/>
          </w:tcPr>
          <w:p w14:paraId="6298EBF1" w14:textId="77777777" w:rsidR="00FE28D5" w:rsidRPr="00FE28D5" w:rsidRDefault="00FE28D5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Barratt impulsiveness scale version 11 </w:t>
            </w:r>
            <w:r w:rsidRPr="00FE28D5">
              <w:rPr>
                <w:rFonts w:ascii="Times New Roman"/>
                <w:sz w:val="24"/>
                <w:szCs w:val="24"/>
                <w:lang w:val="en-US"/>
              </w:rPr>
              <w:t>(Patton</w:t>
            </w:r>
          </w:p>
          <w:p w14:paraId="1FA06BAC" w14:textId="77777777" w:rsidR="00AA376E" w:rsidRDefault="00FE28D5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FE28D5">
              <w:rPr>
                <w:rFonts w:ascii="Times New Roman"/>
                <w:sz w:val="24"/>
                <w:szCs w:val="24"/>
                <w:lang w:val="en-US"/>
              </w:rPr>
              <w:t>et al., 1995; Stanford et al., 2009)</w:t>
            </w:r>
          </w:p>
        </w:tc>
        <w:tc>
          <w:tcPr>
            <w:tcW w:w="4665" w:type="dxa"/>
          </w:tcPr>
          <w:p w14:paraId="684F6745" w14:textId="77777777" w:rsidR="00AA376E" w:rsidRDefault="00FE28D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30 items; three factors related to impulsivity (attentional, motor, </w:t>
            </w:r>
            <w:proofErr w:type="spellStart"/>
            <w:r>
              <w:rPr>
                <w:rFonts w:ascii="Times New Roman"/>
                <w:sz w:val="24"/>
                <w:szCs w:val="24"/>
                <w:lang w:val="en-US"/>
              </w:rPr>
              <w:t>nonplaning</w:t>
            </w:r>
            <w:proofErr w:type="spellEnd"/>
            <w:r>
              <w:rPr>
                <w:rFonts w:ascii="Times New Roman"/>
                <w:sz w:val="24"/>
                <w:szCs w:val="24"/>
                <w:lang w:val="en-US"/>
              </w:rPr>
              <w:t>).</w:t>
            </w:r>
          </w:p>
        </w:tc>
      </w:tr>
      <w:tr w:rsidR="00917385" w:rsidRPr="00823A48" w14:paraId="25A5E3E1" w14:textId="77777777" w:rsidTr="00917385">
        <w:trPr>
          <w:trHeight w:val="70"/>
        </w:trPr>
        <w:tc>
          <w:tcPr>
            <w:tcW w:w="4664" w:type="dxa"/>
            <w:vMerge w:val="restart"/>
            <w:vAlign w:val="center"/>
          </w:tcPr>
          <w:p w14:paraId="44E20524" w14:textId="6DC508BA" w:rsidR="00917385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Bouchat et al.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[55]</w:t>
            </w:r>
          </w:p>
        </w:tc>
        <w:tc>
          <w:tcPr>
            <w:tcW w:w="4665" w:type="dxa"/>
          </w:tcPr>
          <w:p w14:paraId="2DEBFF22" w14:textId="77777777" w:rsidR="00917385" w:rsidRDefault="00917385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Sports Mental Toughness Questionnaire (Sheard et al., 2009)</w:t>
            </w:r>
          </w:p>
        </w:tc>
        <w:tc>
          <w:tcPr>
            <w:tcW w:w="4665" w:type="dxa"/>
          </w:tcPr>
          <w:p w14:paraId="51A79903" w14:textId="77777777" w:rsidR="00917385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9 items; three dimensions: confidence, constancy, control.</w:t>
            </w:r>
          </w:p>
        </w:tc>
      </w:tr>
      <w:tr w:rsidR="00917385" w:rsidRPr="00823A48" w14:paraId="4BBE6399" w14:textId="77777777" w:rsidTr="0010072C">
        <w:trPr>
          <w:trHeight w:val="70"/>
        </w:trPr>
        <w:tc>
          <w:tcPr>
            <w:tcW w:w="4664" w:type="dxa"/>
            <w:vMerge/>
          </w:tcPr>
          <w:p w14:paraId="6823F5C5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</w:p>
        </w:tc>
        <w:tc>
          <w:tcPr>
            <w:tcW w:w="4665" w:type="dxa"/>
          </w:tcPr>
          <w:p w14:paraId="469867E6" w14:textId="77777777" w:rsidR="00917385" w:rsidRDefault="00917385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Sports Mental Training Questionnaire (Behnke et al., 2019) - adapted</w:t>
            </w:r>
          </w:p>
        </w:tc>
        <w:tc>
          <w:tcPr>
            <w:tcW w:w="4665" w:type="dxa"/>
          </w:tcPr>
          <w:p w14:paraId="5FD6BA85" w14:textId="77777777" w:rsidR="00917385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10 items; four factors: foundation skills, performance skills, self-talk, imagery.</w:t>
            </w:r>
          </w:p>
        </w:tc>
      </w:tr>
      <w:tr w:rsidR="00FE28D5" w:rsidRPr="00823A48" w14:paraId="692C01D8" w14:textId="77777777" w:rsidTr="0010072C">
        <w:trPr>
          <w:trHeight w:val="70"/>
        </w:trPr>
        <w:tc>
          <w:tcPr>
            <w:tcW w:w="4664" w:type="dxa"/>
          </w:tcPr>
          <w:p w14:paraId="61FFB1E8" w14:textId="1BB2E415" w:rsidR="00FE28D5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Weishaar et al.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[42]</w:t>
            </w:r>
          </w:p>
        </w:tc>
        <w:tc>
          <w:tcPr>
            <w:tcW w:w="4665" w:type="dxa"/>
          </w:tcPr>
          <w:p w14:paraId="2958FC81" w14:textId="77777777" w:rsidR="00FE28D5" w:rsidRDefault="005A4B54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The Negative urgency, Lack of premeditation, Lack of perseverance, Sensation Seeking, Positive Urgency Impulsive Behavior scale (Moeller et al., 2001; Whiteside et al., 2001)</w:t>
            </w:r>
          </w:p>
        </w:tc>
        <w:tc>
          <w:tcPr>
            <w:tcW w:w="4665" w:type="dxa"/>
          </w:tcPr>
          <w:p w14:paraId="55DBB7EE" w14:textId="77777777" w:rsidR="00FE28D5" w:rsidRDefault="005A4B54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46 items; four scales: lack of premeditation, lack of perseverance, positive urgency, negative urgency. </w:t>
            </w:r>
          </w:p>
        </w:tc>
      </w:tr>
      <w:tr w:rsidR="00917385" w:rsidRPr="00823A48" w14:paraId="5A74521B" w14:textId="77777777" w:rsidTr="00917385">
        <w:trPr>
          <w:trHeight w:val="70"/>
        </w:trPr>
        <w:tc>
          <w:tcPr>
            <w:tcW w:w="4664" w:type="dxa"/>
            <w:vMerge w:val="restart"/>
            <w:vAlign w:val="center"/>
          </w:tcPr>
          <w:p w14:paraId="584FBA3F" w14:textId="100645D1" w:rsidR="00917385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Ionel et al.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[43]</w:t>
            </w:r>
          </w:p>
        </w:tc>
        <w:tc>
          <w:tcPr>
            <w:tcW w:w="4665" w:type="dxa"/>
          </w:tcPr>
          <w:p w14:paraId="05A8E99E" w14:textId="77777777" w:rsidR="00917385" w:rsidRPr="005A4B54" w:rsidRDefault="00917385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5A4B54">
              <w:rPr>
                <w:rFonts w:ascii="Times New Roman"/>
                <w:sz w:val="24"/>
                <w:szCs w:val="24"/>
                <w:lang w:val="en-US"/>
              </w:rPr>
              <w:t>Big Five Inventory–2 Short Form (Soto and John, 2017)</w:t>
            </w:r>
          </w:p>
        </w:tc>
        <w:tc>
          <w:tcPr>
            <w:tcW w:w="4665" w:type="dxa"/>
          </w:tcPr>
          <w:p w14:paraId="3C170700" w14:textId="77777777" w:rsidR="00917385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30 items; five dimensions: neuroticism, extraversion, openness, agreeableness, conscientiousness.</w:t>
            </w:r>
          </w:p>
        </w:tc>
      </w:tr>
      <w:tr w:rsidR="00917385" w:rsidRPr="0010072C" w14:paraId="033AD0FB" w14:textId="77777777" w:rsidTr="00917385">
        <w:trPr>
          <w:trHeight w:val="70"/>
        </w:trPr>
        <w:tc>
          <w:tcPr>
            <w:tcW w:w="4664" w:type="dxa"/>
            <w:vMerge/>
            <w:vAlign w:val="center"/>
          </w:tcPr>
          <w:p w14:paraId="3B7EBE1C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</w:p>
        </w:tc>
        <w:tc>
          <w:tcPr>
            <w:tcW w:w="4665" w:type="dxa"/>
          </w:tcPr>
          <w:p w14:paraId="08500C05" w14:textId="77777777" w:rsidR="00917385" w:rsidRPr="005A4B54" w:rsidRDefault="00917385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5A4B54">
              <w:rPr>
                <w:rFonts w:ascii="Times New Roman"/>
                <w:sz w:val="24"/>
                <w:szCs w:val="24"/>
                <w:lang w:val="en-US"/>
              </w:rPr>
              <w:t>Grit inventory (Duckworth et al., 2007)</w:t>
            </w:r>
          </w:p>
        </w:tc>
        <w:tc>
          <w:tcPr>
            <w:tcW w:w="4665" w:type="dxa"/>
          </w:tcPr>
          <w:p w14:paraId="01E9D91D" w14:textId="77777777" w:rsidR="00917385" w:rsidRPr="005A4B54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 w:rsidRPr="005A4B54">
              <w:rPr>
                <w:rFonts w:ascii="Times New Roman"/>
                <w:sz w:val="24"/>
                <w:szCs w:val="24"/>
                <w:lang w:val="en-US"/>
              </w:rPr>
              <w:t>12 items; one factor: grit</w:t>
            </w:r>
            <w:r>
              <w:rPr>
                <w:rFonts w:ascii="Times New Roman"/>
                <w:sz w:val="24"/>
                <w:szCs w:val="24"/>
                <w:lang w:val="en-US"/>
              </w:rPr>
              <w:t>.</w:t>
            </w:r>
          </w:p>
        </w:tc>
      </w:tr>
      <w:tr w:rsidR="00917385" w:rsidRPr="00823A48" w14:paraId="0AE6DAFD" w14:textId="77777777" w:rsidTr="00917385">
        <w:trPr>
          <w:trHeight w:val="70"/>
        </w:trPr>
        <w:tc>
          <w:tcPr>
            <w:tcW w:w="4664" w:type="dxa"/>
            <w:vMerge w:val="restart"/>
            <w:vAlign w:val="center"/>
          </w:tcPr>
          <w:p w14:paraId="026FDD72" w14:textId="549D2196" w:rsidR="00917385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proofErr w:type="spellStart"/>
            <w:r w:rsidRPr="00BC4755">
              <w:rPr>
                <w:rFonts w:ascii="Times New Roman"/>
                <w:sz w:val="24"/>
                <w:szCs w:val="24"/>
                <w:lang w:val="en-US"/>
              </w:rPr>
              <w:t>Aghedu</w:t>
            </w:r>
            <w:proofErr w:type="spellEnd"/>
            <w:r w:rsidRPr="00BC4755">
              <w:rPr>
                <w:rFonts w:ascii="Times New Roman"/>
                <w:sz w:val="24"/>
                <w:szCs w:val="24"/>
                <w:lang w:val="en-US"/>
              </w:rPr>
              <w:t xml:space="preserve"> et al. </w:t>
            </w:r>
            <w:r w:rsidR="00823A48">
              <w:rPr>
                <w:rFonts w:ascii="Times New Roman"/>
                <w:sz w:val="24"/>
                <w:szCs w:val="24"/>
                <w:lang w:val="en-US"/>
              </w:rPr>
              <w:t>[44]</w:t>
            </w:r>
          </w:p>
        </w:tc>
        <w:tc>
          <w:tcPr>
            <w:tcW w:w="4665" w:type="dxa"/>
          </w:tcPr>
          <w:p w14:paraId="188F01A1" w14:textId="77777777" w:rsidR="00917385" w:rsidRPr="005A4B54" w:rsidRDefault="00917385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Multidimensional Evaluation of Love (Cannas et al., 2019)</w:t>
            </w:r>
          </w:p>
        </w:tc>
        <w:tc>
          <w:tcPr>
            <w:tcW w:w="4665" w:type="dxa"/>
          </w:tcPr>
          <w:p w14:paraId="413E3793" w14:textId="77777777" w:rsidR="00917385" w:rsidRPr="005A4B54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21 items; seven dimensions: positive idealization, negative idealization, sexual attraction; positive emotions, negative emotions, obsessive thinking, taking love for granted.</w:t>
            </w:r>
          </w:p>
        </w:tc>
      </w:tr>
      <w:tr w:rsidR="00917385" w:rsidRPr="00823A48" w14:paraId="1051E3D6" w14:textId="77777777" w:rsidTr="00917385">
        <w:trPr>
          <w:trHeight w:val="70"/>
        </w:trPr>
        <w:tc>
          <w:tcPr>
            <w:tcW w:w="4664" w:type="dxa"/>
            <w:vMerge/>
            <w:vAlign w:val="center"/>
          </w:tcPr>
          <w:p w14:paraId="556BE257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</w:p>
        </w:tc>
        <w:tc>
          <w:tcPr>
            <w:tcW w:w="4665" w:type="dxa"/>
          </w:tcPr>
          <w:p w14:paraId="26D719EB" w14:textId="77777777" w:rsidR="00917385" w:rsidRDefault="00917385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Passionate Love Scale – short version (Cannas et al., 2018) </w:t>
            </w:r>
          </w:p>
        </w:tc>
        <w:tc>
          <w:tcPr>
            <w:tcW w:w="4665" w:type="dxa"/>
          </w:tcPr>
          <w:p w14:paraId="250A1EF2" w14:textId="77777777" w:rsidR="00917385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15 dimensions; one dimension: passionate level. </w:t>
            </w:r>
          </w:p>
        </w:tc>
      </w:tr>
      <w:tr w:rsidR="00917385" w:rsidRPr="00823A48" w14:paraId="5BC5A312" w14:textId="77777777" w:rsidTr="0010072C">
        <w:trPr>
          <w:trHeight w:val="70"/>
        </w:trPr>
        <w:tc>
          <w:tcPr>
            <w:tcW w:w="4664" w:type="dxa"/>
            <w:vMerge/>
          </w:tcPr>
          <w:p w14:paraId="309E4BE1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</w:p>
        </w:tc>
        <w:tc>
          <w:tcPr>
            <w:tcW w:w="4665" w:type="dxa"/>
          </w:tcPr>
          <w:p w14:paraId="43D1C6FD" w14:textId="77777777" w:rsidR="00917385" w:rsidRDefault="00917385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Rosenberg Self-Esteem Scale (Rosenberg, 1965)</w:t>
            </w:r>
          </w:p>
        </w:tc>
        <w:tc>
          <w:tcPr>
            <w:tcW w:w="4665" w:type="dxa"/>
          </w:tcPr>
          <w:p w14:paraId="61CB9FFD" w14:textId="77777777" w:rsidR="00917385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10 items; one dimension: self-esteem. </w:t>
            </w:r>
          </w:p>
        </w:tc>
      </w:tr>
      <w:tr w:rsidR="00917385" w:rsidRPr="00823A48" w14:paraId="074C92EF" w14:textId="77777777" w:rsidTr="0010072C">
        <w:trPr>
          <w:trHeight w:val="70"/>
        </w:trPr>
        <w:tc>
          <w:tcPr>
            <w:tcW w:w="4664" w:type="dxa"/>
            <w:vMerge/>
          </w:tcPr>
          <w:p w14:paraId="480DD489" w14:textId="77777777" w:rsidR="00917385" w:rsidRDefault="00917385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</w:p>
        </w:tc>
        <w:tc>
          <w:tcPr>
            <w:tcW w:w="4665" w:type="dxa"/>
          </w:tcPr>
          <w:p w14:paraId="559F744B" w14:textId="77777777" w:rsidR="00917385" w:rsidRDefault="00917385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Ten-Item Personality Inventory- short version (</w:t>
            </w:r>
            <w:proofErr w:type="spellStart"/>
            <w:r>
              <w:rPr>
                <w:rFonts w:ascii="Times New Roman"/>
                <w:sz w:val="24"/>
                <w:szCs w:val="24"/>
                <w:lang w:val="en-US"/>
              </w:rPr>
              <w:t>Chiorri</w:t>
            </w:r>
            <w:proofErr w:type="spellEnd"/>
            <w:r>
              <w:rPr>
                <w:rFonts w:ascii="Times New Roman"/>
                <w:sz w:val="24"/>
                <w:szCs w:val="24"/>
                <w:lang w:val="en-US"/>
              </w:rPr>
              <w:t xml:space="preserve"> et al., 2015)</w:t>
            </w:r>
          </w:p>
        </w:tc>
        <w:tc>
          <w:tcPr>
            <w:tcW w:w="4665" w:type="dxa"/>
          </w:tcPr>
          <w:p w14:paraId="613D49FF" w14:textId="77777777" w:rsidR="00917385" w:rsidRDefault="00917385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10 items; five dimensions: extraversion, agreeableness, conscientiousness, emotional stability and, openness to experience.</w:t>
            </w:r>
          </w:p>
        </w:tc>
      </w:tr>
      <w:tr w:rsidR="00E23B37" w:rsidRPr="00823A48" w14:paraId="60E1D2C0" w14:textId="77777777" w:rsidTr="0010072C">
        <w:trPr>
          <w:trHeight w:val="70"/>
        </w:trPr>
        <w:tc>
          <w:tcPr>
            <w:tcW w:w="4664" w:type="dxa"/>
          </w:tcPr>
          <w:p w14:paraId="1FAD7F64" w14:textId="4AF1F32A" w:rsidR="00E23B37" w:rsidRDefault="00827A66" w:rsidP="00B8513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Boudreau et al. </w:t>
            </w:r>
            <w:r w:rsidR="004315FB">
              <w:rPr>
                <w:rFonts w:ascii="Times New Roman"/>
                <w:sz w:val="24"/>
                <w:szCs w:val="24"/>
                <w:lang w:val="en-US"/>
              </w:rPr>
              <w:t>[52]</w:t>
            </w:r>
          </w:p>
        </w:tc>
        <w:tc>
          <w:tcPr>
            <w:tcW w:w="4665" w:type="dxa"/>
          </w:tcPr>
          <w:p w14:paraId="5DFCEB61" w14:textId="77777777" w:rsidR="00E23B37" w:rsidRDefault="00E23B37" w:rsidP="00FE28D5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Core Flow questionnaire (Martin and Jackson, 2008)</w:t>
            </w:r>
          </w:p>
        </w:tc>
        <w:tc>
          <w:tcPr>
            <w:tcW w:w="4665" w:type="dxa"/>
          </w:tcPr>
          <w:p w14:paraId="4ADED017" w14:textId="77777777" w:rsidR="00E23B37" w:rsidRDefault="00E23B37" w:rsidP="00E04852">
            <w:pPr>
              <w:rPr>
                <w:rFonts w:ascii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 xml:space="preserve">It allows to determine the central subjective optimal experience and, measures emotions shared by clutch states and flow. </w:t>
            </w:r>
          </w:p>
        </w:tc>
      </w:tr>
    </w:tbl>
    <w:p w14:paraId="525F0C21" w14:textId="77777777" w:rsidR="00B47E44" w:rsidRPr="00E76BE6" w:rsidRDefault="00E76BE6" w:rsidP="00E76BE6">
      <w:pPr>
        <w:ind w:right="254"/>
        <w:jc w:val="both"/>
        <w:rPr>
          <w:rFonts w:ascii="Times New Roman"/>
          <w:sz w:val="24"/>
          <w:szCs w:val="24"/>
          <w:lang w:val="en-US"/>
        </w:rPr>
      </w:pPr>
      <w:r w:rsidRPr="00E76BE6">
        <w:rPr>
          <w:rFonts w:ascii="Times New Roman"/>
          <w:sz w:val="24"/>
          <w:szCs w:val="24"/>
          <w:lang w:val="en-US"/>
        </w:rPr>
        <w:t xml:space="preserve">Studies by Allman et al. </w:t>
      </w:r>
      <w:r w:rsidRPr="00823A48">
        <w:rPr>
          <w:rFonts w:ascii="Times New Roman"/>
          <w:sz w:val="24"/>
          <w:szCs w:val="24"/>
          <w:lang w:val="de-DE"/>
        </w:rPr>
        <w:t xml:space="preserve">(2009), </w:t>
      </w:r>
      <w:r w:rsidR="00827A66" w:rsidRPr="00823A48">
        <w:rPr>
          <w:rFonts w:ascii="Times New Roman"/>
          <w:sz w:val="24"/>
          <w:szCs w:val="24"/>
          <w:lang w:val="de-DE"/>
        </w:rPr>
        <w:t>Fave et al. (2003)</w:t>
      </w:r>
      <w:r w:rsidRPr="00823A48">
        <w:rPr>
          <w:rFonts w:ascii="Times New Roman"/>
          <w:sz w:val="24"/>
          <w:szCs w:val="24"/>
          <w:lang w:val="de-DE"/>
        </w:rPr>
        <w:t xml:space="preserve">, Brymer and Schweitzer (2013a, 2013b, 2017), Heirene et al. (2016), Frühauf et al. </w:t>
      </w:r>
      <w:r w:rsidRPr="00E76BE6">
        <w:rPr>
          <w:rFonts w:ascii="Times New Roman"/>
          <w:sz w:val="24"/>
          <w:szCs w:val="24"/>
          <w:lang w:val="en-US"/>
        </w:rPr>
        <w:t xml:space="preserve">(2017, 2020, 2022), </w:t>
      </w:r>
      <w:r w:rsidR="00827A66" w:rsidRPr="00BC4755">
        <w:rPr>
          <w:rFonts w:ascii="Times New Roman"/>
          <w:sz w:val="24"/>
          <w:szCs w:val="24"/>
          <w:lang w:val="en-US"/>
        </w:rPr>
        <w:t>Langseth and Salvesen (2018)</w:t>
      </w:r>
      <w:r w:rsidRPr="00E76BE6">
        <w:rPr>
          <w:rFonts w:ascii="Times New Roman"/>
          <w:sz w:val="24"/>
          <w:szCs w:val="24"/>
          <w:lang w:val="en-US"/>
        </w:rPr>
        <w:t xml:space="preserve">, Green et al. (2020), </w:t>
      </w:r>
      <w:proofErr w:type="spellStart"/>
      <w:r w:rsidR="00827A66" w:rsidRPr="00BC4755">
        <w:rPr>
          <w:rFonts w:ascii="Times New Roman"/>
          <w:sz w:val="24"/>
          <w:szCs w:val="24"/>
          <w:lang w:val="en-US"/>
        </w:rPr>
        <w:t>Tostesen</w:t>
      </w:r>
      <w:proofErr w:type="spellEnd"/>
      <w:r w:rsidR="00827A66" w:rsidRPr="00BC4755">
        <w:rPr>
          <w:rFonts w:ascii="Times New Roman"/>
          <w:sz w:val="24"/>
          <w:szCs w:val="24"/>
          <w:lang w:val="en-US"/>
        </w:rPr>
        <w:t xml:space="preserve"> and Langseth (2021)</w:t>
      </w:r>
      <w:r w:rsidR="00827A66">
        <w:rPr>
          <w:rFonts w:ascii="Times New Roman"/>
          <w:sz w:val="24"/>
          <w:szCs w:val="24"/>
          <w:lang w:val="en-US"/>
        </w:rPr>
        <w:t xml:space="preserve"> </w:t>
      </w:r>
      <w:r w:rsidR="00E23B37">
        <w:rPr>
          <w:rFonts w:ascii="Times New Roman"/>
          <w:sz w:val="24"/>
          <w:szCs w:val="24"/>
          <w:lang w:val="en-US"/>
        </w:rPr>
        <w:t xml:space="preserve">used uniquely qualitative analysis. </w:t>
      </w:r>
      <w:r>
        <w:rPr>
          <w:rFonts w:ascii="Times New Roman"/>
          <w:sz w:val="24"/>
          <w:szCs w:val="24"/>
          <w:lang w:val="en-US"/>
        </w:rPr>
        <w:t xml:space="preserve">The questionnaire citation was not present in the studies of Dean (2012), Raue et al. (2018), </w:t>
      </w:r>
      <w:r w:rsidRPr="00C31890">
        <w:rPr>
          <w:rFonts w:ascii="Times New Roman"/>
          <w:sz w:val="24"/>
          <w:szCs w:val="24"/>
          <w:lang w:val="en-US"/>
        </w:rPr>
        <w:t>Hetland et al.</w:t>
      </w:r>
      <w:r>
        <w:rPr>
          <w:rFonts w:ascii="Times New Roman"/>
          <w:sz w:val="24"/>
          <w:szCs w:val="24"/>
          <w:lang w:val="en-US"/>
        </w:rPr>
        <w:t xml:space="preserve"> (</w:t>
      </w:r>
      <w:r w:rsidRPr="00C31890">
        <w:rPr>
          <w:rFonts w:ascii="Times New Roman"/>
          <w:sz w:val="24"/>
          <w:szCs w:val="24"/>
          <w:lang w:val="en-US"/>
        </w:rPr>
        <w:t>2018</w:t>
      </w:r>
      <w:r>
        <w:rPr>
          <w:rFonts w:ascii="Times New Roman"/>
          <w:sz w:val="24"/>
          <w:szCs w:val="24"/>
          <w:lang w:val="en-US"/>
        </w:rPr>
        <w:t>,</w:t>
      </w:r>
      <w:r w:rsidR="00E23B37">
        <w:rPr>
          <w:rFonts w:ascii="Times New Roman"/>
          <w:sz w:val="24"/>
          <w:szCs w:val="24"/>
          <w:lang w:val="en-US"/>
        </w:rPr>
        <w:t xml:space="preserve"> 2019), and </w:t>
      </w:r>
      <w:proofErr w:type="spellStart"/>
      <w:r w:rsidR="00E23B37">
        <w:rPr>
          <w:rFonts w:ascii="Times New Roman"/>
          <w:sz w:val="24"/>
          <w:szCs w:val="24"/>
          <w:lang w:val="en-US"/>
        </w:rPr>
        <w:t>Kuzikova</w:t>
      </w:r>
      <w:proofErr w:type="spellEnd"/>
      <w:r w:rsidR="00E23B37">
        <w:rPr>
          <w:rFonts w:ascii="Times New Roman"/>
          <w:sz w:val="24"/>
          <w:szCs w:val="24"/>
          <w:lang w:val="en-US"/>
        </w:rPr>
        <w:t xml:space="preserve"> et al. (2020).</w:t>
      </w:r>
    </w:p>
    <w:sectPr w:rsidR="00B47E44" w:rsidRPr="00E76BE6" w:rsidSect="0010072C">
      <w:pgSz w:w="16838" w:h="11906" w:orient="landscape"/>
      <w:pgMar w:top="1701" w:right="1417" w:bottom="170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2C"/>
    <w:rsid w:val="0003037B"/>
    <w:rsid w:val="0010072C"/>
    <w:rsid w:val="001D61DC"/>
    <w:rsid w:val="004315FB"/>
    <w:rsid w:val="004C61CE"/>
    <w:rsid w:val="005A4B54"/>
    <w:rsid w:val="00606240"/>
    <w:rsid w:val="00823A48"/>
    <w:rsid w:val="00827A66"/>
    <w:rsid w:val="00917385"/>
    <w:rsid w:val="00AA376E"/>
    <w:rsid w:val="00B47E44"/>
    <w:rsid w:val="00B5545C"/>
    <w:rsid w:val="00B85135"/>
    <w:rsid w:val="00E04852"/>
    <w:rsid w:val="00E23B37"/>
    <w:rsid w:val="00E60D80"/>
    <w:rsid w:val="00E76BE6"/>
    <w:rsid w:val="00FE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3107"/>
  <w15:chartTrackingRefBased/>
  <w15:docId w15:val="{8FF747E4-1FDA-4273-B341-407C70B2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100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Tipodeletrapredefinidodopargrafo"/>
    <w:uiPriority w:val="22"/>
    <w:qFormat/>
    <w:rsid w:val="00917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979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Vicente Martinho</dc:creator>
  <cp:keywords/>
  <dc:description/>
  <cp:lastModifiedBy>Diogo Martinho</cp:lastModifiedBy>
  <cp:revision>4</cp:revision>
  <dcterms:created xsi:type="dcterms:W3CDTF">2023-06-29T21:07:00Z</dcterms:created>
  <dcterms:modified xsi:type="dcterms:W3CDTF">2024-09-12T10:47:00Z</dcterms:modified>
</cp:coreProperties>
</file>