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16304" w14:textId="77777777" w:rsidR="00E003ED" w:rsidRPr="00EF51CC" w:rsidRDefault="00E003ED" w:rsidP="00E003ED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  <w:r w:rsidRPr="00EF51CC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Appendix</w:t>
      </w:r>
    </w:p>
    <w:p w14:paraId="72704700" w14:textId="77777777" w:rsidR="00E003ED" w:rsidRPr="000903A8" w:rsidRDefault="00E003ED" w:rsidP="00E003ED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Table 1. The evaluation of the risk of bias of the papers based on </w:t>
      </w:r>
      <w:r w:rsidRPr="000903A8">
        <w:rPr>
          <w:rFonts w:ascii="Times New Roman" w:eastAsia="Times New Roman" w:hAnsi="Times New Roman" w:cs="Times New Roman"/>
          <w:sz w:val="24"/>
          <w:szCs w:val="24"/>
          <w:lang w:val="en-GB"/>
        </w:rPr>
        <w:t>Joanna Briggs Institute (JBI) critical appraisal tool (Moola et al., 2020)</w:t>
      </w:r>
    </w:p>
    <w:tbl>
      <w:tblPr>
        <w:tblStyle w:val="Tblzatrcsosvilgos"/>
        <w:tblW w:w="14492" w:type="dxa"/>
        <w:tblLayout w:type="fixed"/>
        <w:tblLook w:val="04A0" w:firstRow="1" w:lastRow="0" w:firstColumn="1" w:lastColumn="0" w:noHBand="0" w:noVBand="1"/>
      </w:tblPr>
      <w:tblGrid>
        <w:gridCol w:w="3539"/>
        <w:gridCol w:w="1143"/>
        <w:gridCol w:w="1143"/>
        <w:gridCol w:w="1143"/>
        <w:gridCol w:w="1143"/>
        <w:gridCol w:w="1143"/>
        <w:gridCol w:w="1143"/>
        <w:gridCol w:w="1143"/>
        <w:gridCol w:w="1143"/>
        <w:gridCol w:w="1809"/>
      </w:tblGrid>
      <w:tr w:rsidR="00E003ED" w:rsidRPr="000903A8" w14:paraId="37705BAA" w14:textId="77777777" w:rsidTr="007B7402">
        <w:trPr>
          <w:trHeight w:val="552"/>
        </w:trPr>
        <w:tc>
          <w:tcPr>
            <w:tcW w:w="3539" w:type="dxa"/>
            <w:noWrap/>
            <w:hideMark/>
          </w:tcPr>
          <w:p w14:paraId="5860ADD4" w14:textId="77777777" w:rsidR="00E003ED" w:rsidRPr="000903A8" w:rsidRDefault="00E003ED" w:rsidP="007B7402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u-HU" w:eastAsia="hu-HU"/>
              </w:rPr>
            </w:pPr>
          </w:p>
        </w:tc>
        <w:tc>
          <w:tcPr>
            <w:tcW w:w="1143" w:type="dxa"/>
          </w:tcPr>
          <w:p w14:paraId="0FF98E56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u-HU" w:eastAsia="hu-HU"/>
              </w:rPr>
              <w:t>Q1</w:t>
            </w:r>
          </w:p>
        </w:tc>
        <w:tc>
          <w:tcPr>
            <w:tcW w:w="1143" w:type="dxa"/>
          </w:tcPr>
          <w:p w14:paraId="73D6376E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u-HU" w:eastAsia="hu-HU"/>
              </w:rPr>
              <w:t>Q2</w:t>
            </w:r>
          </w:p>
        </w:tc>
        <w:tc>
          <w:tcPr>
            <w:tcW w:w="1143" w:type="dxa"/>
          </w:tcPr>
          <w:p w14:paraId="7C196E05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u-HU" w:eastAsia="hu-HU"/>
              </w:rPr>
              <w:t>Q3</w:t>
            </w:r>
          </w:p>
        </w:tc>
        <w:tc>
          <w:tcPr>
            <w:tcW w:w="1143" w:type="dxa"/>
          </w:tcPr>
          <w:p w14:paraId="769EA7C8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u-HU" w:eastAsia="hu-HU"/>
              </w:rPr>
              <w:t>Q4</w:t>
            </w:r>
          </w:p>
        </w:tc>
        <w:tc>
          <w:tcPr>
            <w:tcW w:w="1143" w:type="dxa"/>
          </w:tcPr>
          <w:p w14:paraId="3F978823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u-HU" w:eastAsia="hu-HU"/>
              </w:rPr>
              <w:t>Q5</w:t>
            </w:r>
          </w:p>
        </w:tc>
        <w:tc>
          <w:tcPr>
            <w:tcW w:w="1143" w:type="dxa"/>
          </w:tcPr>
          <w:p w14:paraId="334E7085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u-HU" w:eastAsia="hu-HU"/>
              </w:rPr>
              <w:t>Q6</w:t>
            </w:r>
          </w:p>
        </w:tc>
        <w:tc>
          <w:tcPr>
            <w:tcW w:w="1143" w:type="dxa"/>
          </w:tcPr>
          <w:p w14:paraId="633F74EF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u-HU" w:eastAsia="hu-HU"/>
              </w:rPr>
              <w:t>Q7</w:t>
            </w:r>
          </w:p>
        </w:tc>
        <w:tc>
          <w:tcPr>
            <w:tcW w:w="1143" w:type="dxa"/>
          </w:tcPr>
          <w:p w14:paraId="1475CDC4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u-HU" w:eastAsia="hu-HU"/>
              </w:rPr>
              <w:t>Q8</w:t>
            </w:r>
          </w:p>
        </w:tc>
        <w:tc>
          <w:tcPr>
            <w:tcW w:w="1809" w:type="dxa"/>
            <w:noWrap/>
          </w:tcPr>
          <w:p w14:paraId="0663A2FC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u-HU" w:eastAsia="hu-HU"/>
              </w:rPr>
              <w:t>Risk assessment</w:t>
            </w:r>
          </w:p>
        </w:tc>
      </w:tr>
      <w:tr w:rsidR="00E003ED" w:rsidRPr="000903A8" w14:paraId="10B7DD3B" w14:textId="77777777" w:rsidTr="007B7402">
        <w:trPr>
          <w:trHeight w:val="552"/>
        </w:trPr>
        <w:tc>
          <w:tcPr>
            <w:tcW w:w="3539" w:type="dxa"/>
            <w:noWrap/>
            <w:hideMark/>
          </w:tcPr>
          <w:p w14:paraId="6C79527C" w14:textId="77777777" w:rsidR="00E003ED" w:rsidRPr="000903A8" w:rsidRDefault="00E003ED" w:rsidP="007B740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Ahn et al (2016)</w:t>
            </w:r>
          </w:p>
        </w:tc>
        <w:tc>
          <w:tcPr>
            <w:tcW w:w="1143" w:type="dxa"/>
            <w:noWrap/>
            <w:hideMark/>
          </w:tcPr>
          <w:p w14:paraId="055E5510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No</w:t>
            </w:r>
          </w:p>
        </w:tc>
        <w:tc>
          <w:tcPr>
            <w:tcW w:w="1143" w:type="dxa"/>
            <w:noWrap/>
            <w:hideMark/>
          </w:tcPr>
          <w:p w14:paraId="0EF1FD97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No</w:t>
            </w:r>
          </w:p>
        </w:tc>
        <w:tc>
          <w:tcPr>
            <w:tcW w:w="1143" w:type="dxa"/>
            <w:noWrap/>
            <w:hideMark/>
          </w:tcPr>
          <w:p w14:paraId="749A34DD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5AEAE62A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008CB80C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317D4F38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2F54ED4A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681FFBF8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809" w:type="dxa"/>
            <w:noWrap/>
            <w:hideMark/>
          </w:tcPr>
          <w:p w14:paraId="2E12579D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Low</w:t>
            </w:r>
          </w:p>
        </w:tc>
      </w:tr>
      <w:tr w:rsidR="00E003ED" w:rsidRPr="000903A8" w14:paraId="7DE3B8F9" w14:textId="77777777" w:rsidTr="007B7402">
        <w:trPr>
          <w:trHeight w:val="552"/>
        </w:trPr>
        <w:tc>
          <w:tcPr>
            <w:tcW w:w="3539" w:type="dxa"/>
            <w:noWrap/>
            <w:hideMark/>
          </w:tcPr>
          <w:p w14:paraId="78AEE6F0" w14:textId="77777777" w:rsidR="00E003ED" w:rsidRPr="000903A8" w:rsidRDefault="00E003ED" w:rsidP="007B740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Albert et al. (2019)</w:t>
            </w:r>
          </w:p>
        </w:tc>
        <w:tc>
          <w:tcPr>
            <w:tcW w:w="1143" w:type="dxa"/>
            <w:noWrap/>
            <w:hideMark/>
          </w:tcPr>
          <w:p w14:paraId="68DE8277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3B40040B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21E7FAA8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5B87BEA5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01A9A1F4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63B6B13B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72BA08FC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65F7AE12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809" w:type="dxa"/>
            <w:noWrap/>
            <w:hideMark/>
          </w:tcPr>
          <w:p w14:paraId="69DDD28F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Low</w:t>
            </w:r>
          </w:p>
        </w:tc>
      </w:tr>
      <w:tr w:rsidR="00E003ED" w:rsidRPr="000903A8" w14:paraId="5686F416" w14:textId="77777777" w:rsidTr="007B7402">
        <w:trPr>
          <w:trHeight w:val="552"/>
        </w:trPr>
        <w:tc>
          <w:tcPr>
            <w:tcW w:w="3539" w:type="dxa"/>
            <w:noWrap/>
            <w:hideMark/>
          </w:tcPr>
          <w:p w14:paraId="243C206B" w14:textId="77777777" w:rsidR="00E003ED" w:rsidRPr="000903A8" w:rsidRDefault="00E003ED" w:rsidP="007B740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Baron-Thiene &amp; Alferman (2015)</w:t>
            </w:r>
          </w:p>
        </w:tc>
        <w:tc>
          <w:tcPr>
            <w:tcW w:w="1143" w:type="dxa"/>
            <w:noWrap/>
            <w:hideMark/>
          </w:tcPr>
          <w:p w14:paraId="31B47B5E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73ED9E76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7DE5027C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559D455C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0D7AAD12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364E4C6E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74D6D6F9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71020571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809" w:type="dxa"/>
            <w:noWrap/>
            <w:hideMark/>
          </w:tcPr>
          <w:p w14:paraId="7597AAF8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Low</w:t>
            </w:r>
          </w:p>
        </w:tc>
      </w:tr>
      <w:tr w:rsidR="00E003ED" w:rsidRPr="000903A8" w14:paraId="56DDED42" w14:textId="77777777" w:rsidTr="007B7402">
        <w:trPr>
          <w:trHeight w:val="552"/>
        </w:trPr>
        <w:tc>
          <w:tcPr>
            <w:tcW w:w="3539" w:type="dxa"/>
            <w:noWrap/>
            <w:hideMark/>
          </w:tcPr>
          <w:p w14:paraId="124EE3E9" w14:textId="77777777" w:rsidR="00E003ED" w:rsidRPr="000903A8" w:rsidRDefault="00E003ED" w:rsidP="007B740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Bars et al. (2009)</w:t>
            </w:r>
          </w:p>
        </w:tc>
        <w:tc>
          <w:tcPr>
            <w:tcW w:w="1143" w:type="dxa"/>
            <w:noWrap/>
            <w:hideMark/>
          </w:tcPr>
          <w:p w14:paraId="778A150B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07563811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11B19B67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65A36CDF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49949887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64AC5400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421F5F7D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489F0FEF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809" w:type="dxa"/>
            <w:noWrap/>
            <w:hideMark/>
          </w:tcPr>
          <w:p w14:paraId="19330F48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Low</w:t>
            </w:r>
          </w:p>
        </w:tc>
      </w:tr>
      <w:tr w:rsidR="00E003ED" w:rsidRPr="000903A8" w14:paraId="345E45C4" w14:textId="77777777" w:rsidTr="007B7402">
        <w:trPr>
          <w:trHeight w:val="552"/>
        </w:trPr>
        <w:tc>
          <w:tcPr>
            <w:tcW w:w="3539" w:type="dxa"/>
            <w:noWrap/>
            <w:hideMark/>
          </w:tcPr>
          <w:p w14:paraId="1AE3EE58" w14:textId="77777777" w:rsidR="00E003ED" w:rsidRPr="000903A8" w:rsidRDefault="00E003ED" w:rsidP="007B740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Calvo &amp; Topa (2019)</w:t>
            </w:r>
          </w:p>
        </w:tc>
        <w:tc>
          <w:tcPr>
            <w:tcW w:w="1143" w:type="dxa"/>
            <w:noWrap/>
            <w:hideMark/>
          </w:tcPr>
          <w:p w14:paraId="353B78FE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459D65A4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4251155A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3BACF031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7487611D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08A58329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No</w:t>
            </w:r>
          </w:p>
        </w:tc>
        <w:tc>
          <w:tcPr>
            <w:tcW w:w="1143" w:type="dxa"/>
            <w:noWrap/>
            <w:hideMark/>
          </w:tcPr>
          <w:p w14:paraId="50A5657B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7432F240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809" w:type="dxa"/>
            <w:noWrap/>
            <w:hideMark/>
          </w:tcPr>
          <w:p w14:paraId="618487E5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Moderate</w:t>
            </w:r>
          </w:p>
        </w:tc>
      </w:tr>
      <w:tr w:rsidR="00E003ED" w:rsidRPr="000903A8" w14:paraId="312B48FB" w14:textId="77777777" w:rsidTr="007B7402">
        <w:trPr>
          <w:trHeight w:val="552"/>
        </w:trPr>
        <w:tc>
          <w:tcPr>
            <w:tcW w:w="3539" w:type="dxa"/>
            <w:noWrap/>
            <w:hideMark/>
          </w:tcPr>
          <w:p w14:paraId="1FA7476C" w14:textId="77777777" w:rsidR="00E003ED" w:rsidRPr="000903A8" w:rsidRDefault="00E003ED" w:rsidP="007B740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Cervelló et al (2007)</w:t>
            </w:r>
          </w:p>
        </w:tc>
        <w:tc>
          <w:tcPr>
            <w:tcW w:w="1143" w:type="dxa"/>
            <w:noWrap/>
            <w:hideMark/>
          </w:tcPr>
          <w:p w14:paraId="6F6BBE31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136C5457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3DEC4EDE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2D9A7C82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1AA7433F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1DCB8E52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251FAFBD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4BA5B83B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809" w:type="dxa"/>
            <w:noWrap/>
            <w:hideMark/>
          </w:tcPr>
          <w:p w14:paraId="2F998FB8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Low</w:t>
            </w:r>
          </w:p>
        </w:tc>
      </w:tr>
      <w:tr w:rsidR="00E003ED" w:rsidRPr="000903A8" w14:paraId="744DB582" w14:textId="77777777" w:rsidTr="007B7402">
        <w:trPr>
          <w:trHeight w:val="552"/>
        </w:trPr>
        <w:tc>
          <w:tcPr>
            <w:tcW w:w="3539" w:type="dxa"/>
            <w:noWrap/>
            <w:hideMark/>
          </w:tcPr>
          <w:p w14:paraId="649B956E" w14:textId="77777777" w:rsidR="00E003ED" w:rsidRPr="000903A8" w:rsidRDefault="00E003ED" w:rsidP="007B740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Consoni et al. (2021)</w:t>
            </w:r>
          </w:p>
        </w:tc>
        <w:tc>
          <w:tcPr>
            <w:tcW w:w="1143" w:type="dxa"/>
            <w:noWrap/>
            <w:hideMark/>
          </w:tcPr>
          <w:p w14:paraId="3FC08B68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58B0E494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153DECC4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03B0DD5E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33292189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4BF85C10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11F09CBE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56B9F113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809" w:type="dxa"/>
            <w:noWrap/>
            <w:hideMark/>
          </w:tcPr>
          <w:p w14:paraId="36624DC1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Low</w:t>
            </w:r>
          </w:p>
        </w:tc>
      </w:tr>
      <w:tr w:rsidR="00E003ED" w:rsidRPr="000903A8" w14:paraId="4FE840F3" w14:textId="77777777" w:rsidTr="007B7402">
        <w:trPr>
          <w:trHeight w:val="552"/>
        </w:trPr>
        <w:tc>
          <w:tcPr>
            <w:tcW w:w="3539" w:type="dxa"/>
            <w:noWrap/>
            <w:hideMark/>
          </w:tcPr>
          <w:p w14:paraId="6439389B" w14:textId="77777777" w:rsidR="00E003ED" w:rsidRPr="000903A8" w:rsidRDefault="00E003ED" w:rsidP="007B740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Duda (1988)</w:t>
            </w:r>
          </w:p>
        </w:tc>
        <w:tc>
          <w:tcPr>
            <w:tcW w:w="1143" w:type="dxa"/>
            <w:noWrap/>
            <w:hideMark/>
          </w:tcPr>
          <w:p w14:paraId="023D803C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0C6D1CD2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50F75F69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3D1415AE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469076E6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No</w:t>
            </w:r>
          </w:p>
        </w:tc>
        <w:tc>
          <w:tcPr>
            <w:tcW w:w="1143" w:type="dxa"/>
            <w:noWrap/>
            <w:hideMark/>
          </w:tcPr>
          <w:p w14:paraId="2F2E225C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No</w:t>
            </w:r>
          </w:p>
        </w:tc>
        <w:tc>
          <w:tcPr>
            <w:tcW w:w="1143" w:type="dxa"/>
            <w:noWrap/>
            <w:hideMark/>
          </w:tcPr>
          <w:p w14:paraId="17E8DDDE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5B945B33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809" w:type="dxa"/>
            <w:noWrap/>
            <w:hideMark/>
          </w:tcPr>
          <w:p w14:paraId="657B8D4A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Moderate</w:t>
            </w:r>
          </w:p>
        </w:tc>
      </w:tr>
      <w:tr w:rsidR="00E003ED" w:rsidRPr="000903A8" w14:paraId="5FBF4834" w14:textId="77777777" w:rsidTr="007B7402">
        <w:trPr>
          <w:trHeight w:val="552"/>
        </w:trPr>
        <w:tc>
          <w:tcPr>
            <w:tcW w:w="3539" w:type="dxa"/>
            <w:noWrap/>
            <w:hideMark/>
          </w:tcPr>
          <w:p w14:paraId="1C1087CA" w14:textId="77777777" w:rsidR="00E003ED" w:rsidRPr="000903A8" w:rsidRDefault="00E003ED" w:rsidP="007B740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Eime et al (2014)</w:t>
            </w:r>
          </w:p>
        </w:tc>
        <w:tc>
          <w:tcPr>
            <w:tcW w:w="1143" w:type="dxa"/>
            <w:noWrap/>
            <w:hideMark/>
          </w:tcPr>
          <w:p w14:paraId="41361E3C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5432B312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380C9A1F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56817645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3FA31B32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6F5716BE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7B105F18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3E1D2776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809" w:type="dxa"/>
            <w:noWrap/>
            <w:hideMark/>
          </w:tcPr>
          <w:p w14:paraId="7F7FAA90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Low</w:t>
            </w:r>
          </w:p>
        </w:tc>
      </w:tr>
      <w:tr w:rsidR="00E003ED" w:rsidRPr="000903A8" w14:paraId="0AA154B4" w14:textId="77777777" w:rsidTr="007B7402">
        <w:trPr>
          <w:trHeight w:val="552"/>
        </w:trPr>
        <w:tc>
          <w:tcPr>
            <w:tcW w:w="3539" w:type="dxa"/>
            <w:noWrap/>
            <w:hideMark/>
          </w:tcPr>
          <w:p w14:paraId="4841D053" w14:textId="77777777" w:rsidR="00E003ED" w:rsidRPr="000903A8" w:rsidRDefault="00E003ED" w:rsidP="007B740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Fraser-Thomas et al. (2008)</w:t>
            </w:r>
          </w:p>
        </w:tc>
        <w:tc>
          <w:tcPr>
            <w:tcW w:w="1143" w:type="dxa"/>
            <w:noWrap/>
            <w:hideMark/>
          </w:tcPr>
          <w:p w14:paraId="1FE1ED66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395D3573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47D85CFC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52741214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49E65DA2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No</w:t>
            </w:r>
          </w:p>
        </w:tc>
        <w:tc>
          <w:tcPr>
            <w:tcW w:w="1143" w:type="dxa"/>
            <w:noWrap/>
            <w:hideMark/>
          </w:tcPr>
          <w:p w14:paraId="25A2FDEC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No</w:t>
            </w:r>
          </w:p>
        </w:tc>
        <w:tc>
          <w:tcPr>
            <w:tcW w:w="1143" w:type="dxa"/>
            <w:noWrap/>
            <w:hideMark/>
          </w:tcPr>
          <w:p w14:paraId="78F41A0D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47986453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809" w:type="dxa"/>
            <w:noWrap/>
            <w:hideMark/>
          </w:tcPr>
          <w:p w14:paraId="3C4DAAE1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Moderate</w:t>
            </w:r>
          </w:p>
        </w:tc>
      </w:tr>
      <w:tr w:rsidR="00E003ED" w:rsidRPr="000903A8" w14:paraId="3DB9D46D" w14:textId="77777777" w:rsidTr="007B7402">
        <w:trPr>
          <w:trHeight w:val="552"/>
        </w:trPr>
        <w:tc>
          <w:tcPr>
            <w:tcW w:w="3539" w:type="dxa"/>
            <w:noWrap/>
            <w:hideMark/>
          </w:tcPr>
          <w:p w14:paraId="6A3B447F" w14:textId="77777777" w:rsidR="00E003ED" w:rsidRPr="000903A8" w:rsidRDefault="00E003ED" w:rsidP="007B740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Gucciardi &amp; Jackson (2015)</w:t>
            </w:r>
          </w:p>
        </w:tc>
        <w:tc>
          <w:tcPr>
            <w:tcW w:w="1143" w:type="dxa"/>
            <w:noWrap/>
            <w:hideMark/>
          </w:tcPr>
          <w:p w14:paraId="7EBFA46F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19143089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3696B523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4EAFD07D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49DE1DE8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692E2698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2A8B82D7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452741FB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809" w:type="dxa"/>
            <w:noWrap/>
            <w:hideMark/>
          </w:tcPr>
          <w:p w14:paraId="0E1B05CA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Low</w:t>
            </w:r>
          </w:p>
        </w:tc>
      </w:tr>
      <w:tr w:rsidR="00E003ED" w:rsidRPr="000903A8" w14:paraId="41B39E08" w14:textId="77777777" w:rsidTr="007B7402">
        <w:trPr>
          <w:trHeight w:val="552"/>
        </w:trPr>
        <w:tc>
          <w:tcPr>
            <w:tcW w:w="3539" w:type="dxa"/>
            <w:noWrap/>
            <w:hideMark/>
          </w:tcPr>
          <w:p w14:paraId="1D171C5C" w14:textId="77777777" w:rsidR="00E003ED" w:rsidRPr="000903A8" w:rsidRDefault="00E003ED" w:rsidP="007B740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Guillet et al. (2002)</w:t>
            </w:r>
          </w:p>
        </w:tc>
        <w:tc>
          <w:tcPr>
            <w:tcW w:w="1143" w:type="dxa"/>
            <w:noWrap/>
            <w:hideMark/>
          </w:tcPr>
          <w:p w14:paraId="1AA7C932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31DE397D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35503E56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62743F7C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20B45483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411ADE9C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3EDAE947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6F342421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809" w:type="dxa"/>
            <w:noWrap/>
            <w:hideMark/>
          </w:tcPr>
          <w:p w14:paraId="3E5AEFF0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Low</w:t>
            </w:r>
          </w:p>
        </w:tc>
      </w:tr>
      <w:tr w:rsidR="00E003ED" w:rsidRPr="000903A8" w14:paraId="6612F422" w14:textId="77777777" w:rsidTr="007B7402">
        <w:trPr>
          <w:trHeight w:val="552"/>
        </w:trPr>
        <w:tc>
          <w:tcPr>
            <w:tcW w:w="3539" w:type="dxa"/>
            <w:noWrap/>
            <w:hideMark/>
          </w:tcPr>
          <w:p w14:paraId="22C27C90" w14:textId="77777777" w:rsidR="00E003ED" w:rsidRPr="000903A8" w:rsidRDefault="00E003ED" w:rsidP="007B740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lastRenderedPageBreak/>
              <w:t>Joessar et al. (2011)</w:t>
            </w:r>
          </w:p>
        </w:tc>
        <w:tc>
          <w:tcPr>
            <w:tcW w:w="1143" w:type="dxa"/>
            <w:noWrap/>
            <w:hideMark/>
          </w:tcPr>
          <w:p w14:paraId="1A316A1F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74C0D783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2518BBE5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40ED0B0C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60CD9071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492B2B06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181E5535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5EB7856E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809" w:type="dxa"/>
            <w:noWrap/>
            <w:hideMark/>
          </w:tcPr>
          <w:p w14:paraId="4186A91F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Low</w:t>
            </w:r>
          </w:p>
        </w:tc>
      </w:tr>
      <w:tr w:rsidR="00E003ED" w:rsidRPr="000903A8" w14:paraId="4A35AE21" w14:textId="77777777" w:rsidTr="007B7402">
        <w:trPr>
          <w:trHeight w:val="552"/>
        </w:trPr>
        <w:tc>
          <w:tcPr>
            <w:tcW w:w="3539" w:type="dxa"/>
            <w:noWrap/>
            <w:hideMark/>
          </w:tcPr>
          <w:p w14:paraId="002CAF72" w14:textId="77777777" w:rsidR="00E003ED" w:rsidRPr="000903A8" w:rsidRDefault="00E003ED" w:rsidP="007B740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Lea &amp; Branco (2020)</w:t>
            </w:r>
          </w:p>
        </w:tc>
        <w:tc>
          <w:tcPr>
            <w:tcW w:w="1143" w:type="dxa"/>
            <w:noWrap/>
            <w:hideMark/>
          </w:tcPr>
          <w:p w14:paraId="4D535BE4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No</w:t>
            </w:r>
          </w:p>
        </w:tc>
        <w:tc>
          <w:tcPr>
            <w:tcW w:w="1143" w:type="dxa"/>
            <w:noWrap/>
            <w:hideMark/>
          </w:tcPr>
          <w:p w14:paraId="11F90B81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No</w:t>
            </w:r>
          </w:p>
        </w:tc>
        <w:tc>
          <w:tcPr>
            <w:tcW w:w="1143" w:type="dxa"/>
            <w:noWrap/>
            <w:hideMark/>
          </w:tcPr>
          <w:p w14:paraId="1A3B1547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67AC0E38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4EAA7AD8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7D379E03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59B5C85B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2DD44139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809" w:type="dxa"/>
            <w:noWrap/>
            <w:hideMark/>
          </w:tcPr>
          <w:p w14:paraId="42D6EC57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Low</w:t>
            </w:r>
          </w:p>
        </w:tc>
      </w:tr>
      <w:tr w:rsidR="00E003ED" w:rsidRPr="000903A8" w14:paraId="3815372B" w14:textId="77777777" w:rsidTr="007B7402">
        <w:trPr>
          <w:trHeight w:val="552"/>
        </w:trPr>
        <w:tc>
          <w:tcPr>
            <w:tcW w:w="3539" w:type="dxa"/>
            <w:noWrap/>
            <w:hideMark/>
          </w:tcPr>
          <w:p w14:paraId="086610BE" w14:textId="77777777" w:rsidR="00E003ED" w:rsidRPr="000903A8" w:rsidRDefault="00E003ED" w:rsidP="007B740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Lukwu &amp; Luján (2011)</w:t>
            </w:r>
          </w:p>
        </w:tc>
        <w:tc>
          <w:tcPr>
            <w:tcW w:w="1143" w:type="dxa"/>
            <w:noWrap/>
            <w:hideMark/>
          </w:tcPr>
          <w:p w14:paraId="4E9CF9F3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772DD091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33A73D18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31DF8348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66BC3885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5DD13E93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3F5A7BB2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0D4843E5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809" w:type="dxa"/>
            <w:noWrap/>
            <w:hideMark/>
          </w:tcPr>
          <w:p w14:paraId="28614EB5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Low</w:t>
            </w:r>
          </w:p>
        </w:tc>
      </w:tr>
      <w:tr w:rsidR="00E003ED" w:rsidRPr="000903A8" w14:paraId="06A7E643" w14:textId="77777777" w:rsidTr="007B7402">
        <w:trPr>
          <w:trHeight w:val="552"/>
        </w:trPr>
        <w:tc>
          <w:tcPr>
            <w:tcW w:w="3539" w:type="dxa"/>
            <w:noWrap/>
            <w:hideMark/>
          </w:tcPr>
          <w:p w14:paraId="20F2360E" w14:textId="77777777" w:rsidR="00E003ED" w:rsidRPr="000903A8" w:rsidRDefault="00E003ED" w:rsidP="007B740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Miller &amp; Siegel (2017)</w:t>
            </w:r>
          </w:p>
        </w:tc>
        <w:tc>
          <w:tcPr>
            <w:tcW w:w="1143" w:type="dxa"/>
            <w:noWrap/>
            <w:hideMark/>
          </w:tcPr>
          <w:p w14:paraId="07106ADD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1BE06778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0AEE2F81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6EA11139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341E9BBD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15496805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3C2850CC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71B078CC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809" w:type="dxa"/>
            <w:noWrap/>
            <w:hideMark/>
          </w:tcPr>
          <w:p w14:paraId="1A173062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Low</w:t>
            </w:r>
          </w:p>
        </w:tc>
      </w:tr>
      <w:tr w:rsidR="00E003ED" w:rsidRPr="000903A8" w14:paraId="11EE0E9F" w14:textId="77777777" w:rsidTr="007B7402">
        <w:trPr>
          <w:trHeight w:val="552"/>
        </w:trPr>
        <w:tc>
          <w:tcPr>
            <w:tcW w:w="3539" w:type="dxa"/>
            <w:noWrap/>
            <w:hideMark/>
          </w:tcPr>
          <w:p w14:paraId="723956D4" w14:textId="77777777" w:rsidR="00E003ED" w:rsidRPr="000903A8" w:rsidRDefault="00E003ED" w:rsidP="007B740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Pelletier et al. (2002)</w:t>
            </w:r>
          </w:p>
        </w:tc>
        <w:tc>
          <w:tcPr>
            <w:tcW w:w="1143" w:type="dxa"/>
            <w:noWrap/>
            <w:hideMark/>
          </w:tcPr>
          <w:p w14:paraId="1CC4EF97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4A282EF9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029EEC5D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25DE6076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5F275CF1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042584BD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2E61EB74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7D927BBB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809" w:type="dxa"/>
            <w:noWrap/>
            <w:hideMark/>
          </w:tcPr>
          <w:p w14:paraId="77A1B6C8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Low</w:t>
            </w:r>
          </w:p>
        </w:tc>
      </w:tr>
      <w:tr w:rsidR="00E003ED" w:rsidRPr="000903A8" w14:paraId="316C0476" w14:textId="77777777" w:rsidTr="007B7402">
        <w:trPr>
          <w:trHeight w:val="552"/>
        </w:trPr>
        <w:tc>
          <w:tcPr>
            <w:tcW w:w="3539" w:type="dxa"/>
            <w:noWrap/>
            <w:hideMark/>
          </w:tcPr>
          <w:p w14:paraId="74B395E4" w14:textId="77777777" w:rsidR="00E003ED" w:rsidRPr="000903A8" w:rsidRDefault="00E003ED" w:rsidP="007B740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Ryan et al. (1997)</w:t>
            </w:r>
          </w:p>
        </w:tc>
        <w:tc>
          <w:tcPr>
            <w:tcW w:w="1143" w:type="dxa"/>
            <w:noWrap/>
            <w:hideMark/>
          </w:tcPr>
          <w:p w14:paraId="288A4B82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No</w:t>
            </w:r>
          </w:p>
        </w:tc>
        <w:tc>
          <w:tcPr>
            <w:tcW w:w="1143" w:type="dxa"/>
            <w:noWrap/>
            <w:hideMark/>
          </w:tcPr>
          <w:p w14:paraId="5C7F817B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No</w:t>
            </w:r>
          </w:p>
        </w:tc>
        <w:tc>
          <w:tcPr>
            <w:tcW w:w="1143" w:type="dxa"/>
            <w:noWrap/>
            <w:hideMark/>
          </w:tcPr>
          <w:p w14:paraId="229741EC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1FC8C657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746DB5A5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No</w:t>
            </w:r>
          </w:p>
        </w:tc>
        <w:tc>
          <w:tcPr>
            <w:tcW w:w="1143" w:type="dxa"/>
            <w:noWrap/>
            <w:hideMark/>
          </w:tcPr>
          <w:p w14:paraId="2FDE6411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No</w:t>
            </w:r>
          </w:p>
        </w:tc>
        <w:tc>
          <w:tcPr>
            <w:tcW w:w="1143" w:type="dxa"/>
            <w:noWrap/>
            <w:hideMark/>
          </w:tcPr>
          <w:p w14:paraId="01B1B406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19540779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809" w:type="dxa"/>
            <w:noWrap/>
            <w:hideMark/>
          </w:tcPr>
          <w:p w14:paraId="47AF76C3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Moderate</w:t>
            </w:r>
          </w:p>
        </w:tc>
      </w:tr>
      <w:tr w:rsidR="00E003ED" w:rsidRPr="000903A8" w14:paraId="6A2D0825" w14:textId="77777777" w:rsidTr="007B7402">
        <w:trPr>
          <w:trHeight w:val="552"/>
        </w:trPr>
        <w:tc>
          <w:tcPr>
            <w:tcW w:w="3539" w:type="dxa"/>
            <w:noWrap/>
            <w:hideMark/>
          </w:tcPr>
          <w:p w14:paraId="17F3F2BE" w14:textId="77777777" w:rsidR="00E003ED" w:rsidRPr="000903A8" w:rsidRDefault="00E003ED" w:rsidP="007B740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Sarrazin et al (2002)</w:t>
            </w:r>
          </w:p>
        </w:tc>
        <w:tc>
          <w:tcPr>
            <w:tcW w:w="1143" w:type="dxa"/>
            <w:noWrap/>
            <w:hideMark/>
          </w:tcPr>
          <w:p w14:paraId="04B42EA1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0F6D9488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79E7E82A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50C28D64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52B7122A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5440B11E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50D7C043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7FF7A78C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809" w:type="dxa"/>
            <w:noWrap/>
            <w:hideMark/>
          </w:tcPr>
          <w:p w14:paraId="5AE3A490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Low</w:t>
            </w:r>
          </w:p>
        </w:tc>
      </w:tr>
      <w:tr w:rsidR="00E003ED" w:rsidRPr="000903A8" w14:paraId="7E2A872E" w14:textId="77777777" w:rsidTr="007B7402">
        <w:trPr>
          <w:trHeight w:val="552"/>
        </w:trPr>
        <w:tc>
          <w:tcPr>
            <w:tcW w:w="3539" w:type="dxa"/>
            <w:noWrap/>
            <w:hideMark/>
          </w:tcPr>
          <w:p w14:paraId="5C9E597E" w14:textId="77777777" w:rsidR="00E003ED" w:rsidRPr="000903A8" w:rsidRDefault="00E003ED" w:rsidP="007B740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Vella et al. (2014)</w:t>
            </w:r>
          </w:p>
        </w:tc>
        <w:tc>
          <w:tcPr>
            <w:tcW w:w="1143" w:type="dxa"/>
            <w:noWrap/>
            <w:hideMark/>
          </w:tcPr>
          <w:p w14:paraId="41DC1FC0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34BACE96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7D940F0E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34127FA0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44B6FA90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3AB72D32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204DAA90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5E951028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809" w:type="dxa"/>
            <w:noWrap/>
            <w:hideMark/>
          </w:tcPr>
          <w:p w14:paraId="1799B111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Low</w:t>
            </w:r>
          </w:p>
        </w:tc>
      </w:tr>
      <w:tr w:rsidR="00E003ED" w:rsidRPr="000903A8" w14:paraId="3A1278CE" w14:textId="77777777" w:rsidTr="007B7402">
        <w:trPr>
          <w:trHeight w:val="552"/>
        </w:trPr>
        <w:tc>
          <w:tcPr>
            <w:tcW w:w="3539" w:type="dxa"/>
            <w:noWrap/>
            <w:hideMark/>
          </w:tcPr>
          <w:p w14:paraId="4090DDC8" w14:textId="77777777" w:rsidR="00E003ED" w:rsidRPr="000903A8" w:rsidRDefault="00E003ED" w:rsidP="007B740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Westmattelmann et al (2021)</w:t>
            </w:r>
          </w:p>
        </w:tc>
        <w:tc>
          <w:tcPr>
            <w:tcW w:w="1143" w:type="dxa"/>
            <w:noWrap/>
            <w:hideMark/>
          </w:tcPr>
          <w:p w14:paraId="1099150E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5BC973EE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5A7153FE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48B00BA4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24BB80A6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484333A0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55205A5D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143" w:type="dxa"/>
            <w:noWrap/>
            <w:hideMark/>
          </w:tcPr>
          <w:p w14:paraId="55378870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Yes</w:t>
            </w:r>
          </w:p>
        </w:tc>
        <w:tc>
          <w:tcPr>
            <w:tcW w:w="1809" w:type="dxa"/>
            <w:noWrap/>
            <w:hideMark/>
          </w:tcPr>
          <w:p w14:paraId="4E7A04AE" w14:textId="77777777" w:rsidR="00E003ED" w:rsidRPr="000903A8" w:rsidRDefault="00E003ED" w:rsidP="007B7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0903A8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Low</w:t>
            </w:r>
          </w:p>
        </w:tc>
      </w:tr>
    </w:tbl>
    <w:p w14:paraId="71B13865" w14:textId="77777777" w:rsidR="00E003ED" w:rsidRPr="000903A8" w:rsidRDefault="00E003ED" w:rsidP="00E003ED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  <w:r w:rsidRPr="000903A8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Note: Questions of JBI are as follows: Q1. Were the criteria for inclusion in the sample clearly defined? Q2. Were the study subjects and the setting described in detail? Q3. Was the exposure measured in a valid and reliable way? Q4. Were objective, standard criteria used for measurement of the condition?</w:t>
      </w:r>
      <w:r w:rsidRPr="000903A8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ab/>
        <w:t>Q5. Were confounding factors identified? Q6. Were strategies to deal with confounding factors stated? Q7. Were the outcomes measured in a valid and reliable way? Q8. Was appropriate statistical analysis used?</w:t>
      </w:r>
    </w:p>
    <w:p w14:paraId="593EE034" w14:textId="77777777" w:rsidR="00785CB4" w:rsidRDefault="00785CB4"/>
    <w:sectPr w:rsidR="00785CB4" w:rsidSect="00F23F39">
      <w:pgSz w:w="16834" w:h="11909" w:orient="landscape"/>
      <w:pgMar w:top="1440" w:right="1440" w:bottom="1440" w:left="1440" w:header="720" w:footer="720" w:gutter="0"/>
      <w:lnNumType w:countBy="1" w:restart="continuous"/>
      <w:pgNumType w:start="1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302"/>
    <w:rsid w:val="0002004D"/>
    <w:rsid w:val="002B2302"/>
    <w:rsid w:val="00785CB4"/>
    <w:rsid w:val="00E00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680AD4-B937-48A5-A76B-25C7F9507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rsid w:val="00E003ED"/>
    <w:pPr>
      <w:spacing w:after="0" w:line="276" w:lineRule="auto"/>
    </w:pPr>
    <w:rPr>
      <w:rFonts w:ascii="Arial" w:eastAsia="Arial" w:hAnsi="Arial" w:cs="Arial"/>
      <w:kern w:val="0"/>
      <w:lang w:val="hu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Tblzatrcsosvilgos">
    <w:name w:val="Grid Table Light"/>
    <w:basedOn w:val="Normltblzat"/>
    <w:uiPriority w:val="40"/>
    <w:rsid w:val="00E003ED"/>
    <w:pPr>
      <w:spacing w:after="0" w:line="240" w:lineRule="auto"/>
    </w:pPr>
    <w:rPr>
      <w:rFonts w:ascii="Arial" w:eastAsia="Arial" w:hAnsi="Arial" w:cs="Arial"/>
      <w:kern w:val="0"/>
      <w:lang w:val="hu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Sorszma">
    <w:name w:val="line number"/>
    <w:basedOn w:val="Bekezdsalapbettpusa"/>
    <w:uiPriority w:val="99"/>
    <w:semiHidden/>
    <w:unhideWhenUsed/>
    <w:rsid w:val="00E003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1705</Characters>
  <Application>Microsoft Office Word</Application>
  <DocSecurity>0</DocSecurity>
  <Lines>14</Lines>
  <Paragraphs>3</Paragraphs>
  <ScaleCrop>false</ScaleCrop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Eszter Kovács</dc:creator>
  <cp:keywords/>
  <dc:description/>
  <cp:lastModifiedBy>Karolina Eszter Kovács</cp:lastModifiedBy>
  <cp:revision>2</cp:revision>
  <dcterms:created xsi:type="dcterms:W3CDTF">2023-10-07T20:53:00Z</dcterms:created>
  <dcterms:modified xsi:type="dcterms:W3CDTF">2023-10-07T20:53:00Z</dcterms:modified>
</cp:coreProperties>
</file>