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4AD87A">
      <w:pPr>
        <w:rPr>
          <w:rFonts w:hint="eastAsia" w:ascii="Calibri" w:hAnsi="Calibri" w:cs="Calibri"/>
          <w:sz w:val="22"/>
          <w:szCs w:val="22"/>
          <w:lang w:val="en-US" w:eastAsia="zh-CN"/>
        </w:rPr>
      </w:pPr>
      <w:r>
        <w:rPr>
          <w:rFonts w:hint="eastAsia" w:ascii="Calibri" w:hAnsi="Calibri" w:cs="Calibri"/>
          <w:sz w:val="22"/>
          <w:szCs w:val="22"/>
          <w:lang w:val="en-US" w:eastAsia="zh-CN"/>
        </w:rPr>
        <w:t>S</w:t>
      </w:r>
      <w:r>
        <w:rPr>
          <w:rFonts w:hint="default" w:ascii="Calibri" w:hAnsi="Calibri" w:cs="Calibri"/>
          <w:sz w:val="22"/>
          <w:szCs w:val="22"/>
          <w:lang w:val="en-US" w:eastAsia="zh-CN"/>
        </w:rPr>
        <w:t xml:space="preserve">upplementary </w:t>
      </w:r>
      <w:r>
        <w:rPr>
          <w:rFonts w:hint="eastAsia" w:ascii="Calibri" w:hAnsi="Calibri" w:cs="Calibri"/>
          <w:sz w:val="22"/>
          <w:szCs w:val="22"/>
          <w:lang w:val="en-US" w:eastAsia="zh-CN"/>
        </w:rPr>
        <w:t>M</w:t>
      </w:r>
      <w:r>
        <w:rPr>
          <w:rFonts w:hint="default" w:ascii="Calibri" w:hAnsi="Calibri" w:cs="Calibri"/>
          <w:sz w:val="22"/>
          <w:szCs w:val="22"/>
          <w:lang w:val="en-US" w:eastAsia="zh-CN"/>
        </w:rPr>
        <w:t xml:space="preserve">aterial </w:t>
      </w:r>
      <w:r>
        <w:rPr>
          <w:rFonts w:hint="eastAsia" w:ascii="Calibri" w:hAnsi="Calibri" w:cs="Calibri"/>
          <w:sz w:val="22"/>
          <w:szCs w:val="22"/>
          <w:lang w:val="en-US" w:eastAsia="zh-CN"/>
        </w:rPr>
        <w:t>1:</w:t>
      </w:r>
    </w:p>
    <w:p w14:paraId="4F606750">
      <w:pPr>
        <w:rPr>
          <w:rFonts w:hint="default" w:ascii="Calibri" w:hAnsi="Calibri" w:cs="Calibri"/>
          <w:sz w:val="22"/>
          <w:szCs w:val="22"/>
          <w:lang w:eastAsia="en-US"/>
        </w:rPr>
      </w:pPr>
      <w:r>
        <w:rPr>
          <w:rFonts w:hint="default" w:ascii="Calibri" w:hAnsi="Calibri" w:cs="Calibri"/>
          <w:sz w:val="22"/>
          <w:szCs w:val="22"/>
          <w:lang w:eastAsia="en-US"/>
        </w:rPr>
        <w:t>Research constructs and related items.</w:t>
      </w:r>
    </w:p>
    <w:tbl>
      <w:tblPr>
        <w:tblStyle w:val="3"/>
        <w:tblW w:w="86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8"/>
      </w:tblGrid>
      <w:tr w14:paraId="7197B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28" w:type="dxa"/>
            <w:tcBorders>
              <w:left w:val="nil"/>
              <w:right w:val="nil"/>
            </w:tcBorders>
            <w:shd w:val="clear" w:color="auto" w:fill="auto"/>
            <w:vAlign w:val="top"/>
          </w:tcPr>
          <w:p w14:paraId="24314C01">
            <w:pPr>
              <w:rPr>
                <w:rFonts w:hint="default" w:ascii="Calibri" w:hAnsi="Calibri" w:cs="Calibri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b/>
                <w:bCs/>
                <w:sz w:val="22"/>
                <w:szCs w:val="22"/>
                <w:lang w:val="en-US" w:eastAsia="zh-CN"/>
              </w:rPr>
              <w:t>C</w:t>
            </w:r>
            <w:r>
              <w:rPr>
                <w:rFonts w:hint="default" w:ascii="Calibri" w:hAnsi="Calibri" w:cs="Calibri"/>
                <w:b/>
                <w:bCs/>
                <w:sz w:val="22"/>
                <w:szCs w:val="22"/>
                <w:lang w:eastAsia="en-US"/>
              </w:rPr>
              <w:t>onstructs</w:t>
            </w:r>
          </w:p>
        </w:tc>
      </w:tr>
      <w:tr w14:paraId="44926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8628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6ACCFC25">
            <w:pP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b/>
                <w:bCs/>
                <w:sz w:val="22"/>
                <w:szCs w:val="22"/>
                <w:lang w:val="en-US" w:eastAsia="zh-CN"/>
              </w:rPr>
              <w:t>Perceived Uncertainty</w:t>
            </w:r>
          </w:p>
        </w:tc>
      </w:tr>
      <w:tr w14:paraId="37205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86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9167811">
            <w:pP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eastAsia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 the face of blind boxes, I find it difficult to be sure whether the goods I get are suitable for me.</w:t>
            </w:r>
          </w:p>
        </w:tc>
      </w:tr>
      <w:tr w14:paraId="18C51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7B93A9">
            <w:pP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In the face of blind boxes,I feel unsure whether the itemsI draw are completely consistent with my expectations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.</w:t>
            </w:r>
          </w:p>
        </w:tc>
      </w:tr>
      <w:tr w14:paraId="39F8A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4B0BAC4">
            <w:pP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In the face of blind boxes,I feel unable to judge the real material and quality level of the goods in the box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.</w:t>
            </w:r>
          </w:p>
        </w:tc>
      </w:tr>
      <w:tr w14:paraId="511C4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862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30693E02">
            <w:pP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b/>
                <w:bCs/>
                <w:sz w:val="22"/>
                <w:szCs w:val="22"/>
                <w:lang w:val="en-US" w:eastAsia="zh-CN"/>
              </w:rPr>
              <w:t>Instant gratification (IG) items</w:t>
            </w:r>
          </w:p>
        </w:tc>
      </w:tr>
      <w:tr w14:paraId="635C0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86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F1C4B4A">
            <w:pP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eastAsia" w:cs="Times New Roman" w:eastAsiaTheme="minorEastAsia"/>
                <w:b w:val="0"/>
                <w:bCs w:val="0"/>
                <w:lang w:val="en-US" w:eastAsia="zh-CN"/>
              </w:rPr>
              <w:t>I experience pleasure when I make an impulse purchase of a doll blind box from an offline blind box store</w:t>
            </w:r>
            <w:r>
              <w:rPr>
                <w:rFonts w:hint="eastAsia" w:cs="Times New Roman"/>
                <w:b w:val="0"/>
                <w:bCs w:val="0"/>
                <w:lang w:val="en-US" w:eastAsia="zh-CN"/>
              </w:rPr>
              <w:t>.</w:t>
            </w:r>
          </w:p>
        </w:tc>
      </w:tr>
      <w:tr w14:paraId="7478A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553AC4">
            <w:pP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eastAsia" w:cs="Times New Roman" w:eastAsiaTheme="minorEastAsia"/>
                <w:b w:val="0"/>
                <w:bCs w:val="0"/>
                <w:lang w:val="en-US" w:eastAsia="zh-CN"/>
              </w:rPr>
              <w:t xml:space="preserve">I experience </w:t>
            </w:r>
            <w:r>
              <w:rPr>
                <w:rFonts w:hint="eastAsia" w:cs="Times New Roman"/>
                <w:b w:val="0"/>
                <w:bCs w:val="0"/>
                <w:lang w:val="en-US" w:eastAsia="zh-CN"/>
              </w:rPr>
              <w:t>exciting</w:t>
            </w:r>
            <w:r>
              <w:rPr>
                <w:rFonts w:hint="eastAsia" w:cs="Times New Roman" w:eastAsiaTheme="minorEastAsia"/>
                <w:b w:val="0"/>
                <w:bCs w:val="0"/>
                <w:lang w:val="en-US" w:eastAsia="zh-CN"/>
              </w:rPr>
              <w:t xml:space="preserve"> when I make an impulse purchase of a doll blind box from an offline blind box store</w:t>
            </w:r>
            <w:r>
              <w:rPr>
                <w:rFonts w:hint="eastAsia" w:cs="Times New Roman"/>
                <w:b w:val="0"/>
                <w:bCs w:val="0"/>
                <w:lang w:val="en-US" w:eastAsia="zh-CN"/>
              </w:rPr>
              <w:t>.</w:t>
            </w:r>
          </w:p>
        </w:tc>
      </w:tr>
      <w:tr w14:paraId="79A9C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86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2D2508DB">
            <w:pP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Purchase in </w:t>
            </w:r>
            <w:r>
              <w:rPr>
                <w:rFonts w:hint="eastAsia" w:cs="Times New Roman" w:eastAsiaTheme="minorEastAsia"/>
                <w:b w:val="0"/>
                <w:bCs w:val="0"/>
                <w:lang w:val="en-US" w:eastAsia="zh-CN"/>
              </w:rPr>
              <w:t>offline blind box store</w:t>
            </w:r>
            <w:r>
              <w:rPr>
                <w:rFonts w:hint="eastAsia" w:cs="Times New Roman"/>
                <w:b w:val="0"/>
                <w:bCs w:val="0"/>
                <w:lang w:val="en-US" w:eastAsia="zh-CN"/>
              </w:rPr>
              <w:t xml:space="preserve"> 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on an impulse brings me immediate enjoyment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.</w:t>
            </w:r>
          </w:p>
        </w:tc>
      </w:tr>
      <w:tr w14:paraId="6895E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862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2E719EF1">
            <w:pP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b/>
                <w:bCs/>
                <w:sz w:val="22"/>
                <w:szCs w:val="22"/>
                <w:lang w:val="en-US" w:eastAsia="zh-CN"/>
              </w:rPr>
              <w:t>Gambler</w:t>
            </w:r>
            <w:r>
              <w:rPr>
                <w:rFonts w:hint="default" w:ascii="Calibri" w:hAnsi="Calibri" w:cs="Calibri"/>
                <w:b/>
                <w:bCs/>
                <w:sz w:val="22"/>
                <w:szCs w:val="22"/>
                <w:lang w:val="en-US" w:eastAsia="zh-CN"/>
              </w:rPr>
              <w:t>’</w:t>
            </w:r>
            <w:r>
              <w:rPr>
                <w:rFonts w:hint="eastAsia" w:ascii="Calibri" w:hAnsi="Calibri" w:cs="Calibri"/>
                <w:b/>
                <w:bCs/>
                <w:sz w:val="22"/>
                <w:szCs w:val="22"/>
                <w:lang w:val="en-US" w:eastAsia="zh-CN"/>
              </w:rPr>
              <w:t>s Fallacy</w:t>
            </w:r>
            <w:r>
              <w:rPr>
                <w:rFonts w:hint="default" w:ascii="Calibri" w:hAnsi="Calibri" w:cs="Calibri"/>
                <w:b/>
                <w:bCs/>
                <w:sz w:val="22"/>
                <w:szCs w:val="22"/>
                <w:lang w:val="en-US" w:eastAsia="zh-CN"/>
              </w:rPr>
              <w:t>(</w:t>
            </w:r>
            <w:r>
              <w:rPr>
                <w:rFonts w:hint="eastAsia" w:ascii="Calibri" w:hAnsi="Calibri" w:cs="Calibri"/>
                <w:b/>
                <w:bCs/>
                <w:sz w:val="22"/>
                <w:szCs w:val="22"/>
                <w:lang w:val="en-US" w:eastAsia="zh-CN"/>
              </w:rPr>
              <w:t>GF</w:t>
            </w:r>
            <w:r>
              <w:rPr>
                <w:rFonts w:hint="default" w:ascii="Calibri" w:hAnsi="Calibri" w:cs="Calibri"/>
                <w:b/>
                <w:bCs/>
                <w:sz w:val="22"/>
                <w:szCs w:val="22"/>
                <w:lang w:val="en-US" w:eastAsia="zh-CN"/>
              </w:rPr>
              <w:t>)</w:t>
            </w:r>
            <w:r>
              <w:rPr>
                <w:rFonts w:hint="eastAsia" w:ascii="Calibri" w:hAnsi="Calibri" w:cs="Calibri"/>
                <w:b/>
                <w:bCs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Calibri" w:hAnsi="Calibri" w:cs="Calibri"/>
                <w:b/>
                <w:bCs/>
                <w:sz w:val="22"/>
                <w:szCs w:val="22"/>
                <w:lang w:val="en-US" w:eastAsia="zh-CN"/>
              </w:rPr>
              <w:t>items</w:t>
            </w:r>
          </w:p>
        </w:tc>
      </w:tr>
      <w:tr w14:paraId="1CD84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86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07C36DA">
            <w:pPr>
              <w:rPr>
                <w:rFonts w:hint="eastAsia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If I successfully draw the blind box toy I want, it's because my </w:t>
            </w:r>
            <w:r>
              <w:rPr>
                <w:rFonts w:hint="eastAsia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drawing </w:t>
            </w:r>
            <w:r>
              <w:rPr>
                <w:rFonts w:hint="eastAsia" w:cs="Times New Roman"/>
                <w:color w:val="000000" w:themeColor="text1"/>
                <w:lang w:val="en-GB"/>
                <w14:textFill>
                  <w14:solidFill>
                    <w14:schemeClr w14:val="tx1"/>
                  </w14:solidFill>
                </w14:textFill>
              </w:rPr>
              <w:t>skill</w:t>
            </w:r>
            <w:r>
              <w:rPr>
                <w:rFonts w:hint="eastAsia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</w:tr>
      <w:tr w14:paraId="0A033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0FE180">
            <w:pP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My technique of drawing blind boxes 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is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 a way to 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take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 money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.</w:t>
            </w:r>
          </w:p>
        </w:tc>
      </w:tr>
      <w:tr w14:paraId="1EAE7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86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07A2F124">
            <w:pP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As long as I draw the blind box enough times, I'll be rewarded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.</w:t>
            </w:r>
          </w:p>
        </w:tc>
      </w:tr>
      <w:tr w14:paraId="1147C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8628" w:type="dxa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top"/>
          </w:tcPr>
          <w:p w14:paraId="68BA2A86">
            <w:pP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b/>
                <w:bCs/>
                <w:sz w:val="22"/>
                <w:szCs w:val="22"/>
                <w:lang w:val="en-US" w:eastAsia="zh-CN"/>
              </w:rPr>
              <w:t>Perceived Scarcity</w:t>
            </w:r>
            <w:r>
              <w:rPr>
                <w:rFonts w:hint="default" w:ascii="Calibri" w:hAnsi="Calibri" w:cs="Calibri"/>
                <w:b/>
                <w:bCs/>
                <w:sz w:val="22"/>
                <w:szCs w:val="22"/>
                <w:lang w:val="en-US" w:eastAsia="zh-CN"/>
              </w:rPr>
              <w:t>(</w:t>
            </w:r>
            <w:r>
              <w:rPr>
                <w:rFonts w:hint="eastAsia" w:ascii="Calibri" w:hAnsi="Calibri" w:cs="Calibri"/>
                <w:b/>
                <w:bCs/>
                <w:sz w:val="22"/>
                <w:szCs w:val="22"/>
                <w:lang w:val="en-US" w:eastAsia="zh-CN"/>
              </w:rPr>
              <w:t>PS</w:t>
            </w:r>
            <w:r>
              <w:rPr>
                <w:rFonts w:hint="default" w:ascii="Calibri" w:hAnsi="Calibri" w:cs="Calibri"/>
                <w:b/>
                <w:bCs/>
                <w:sz w:val="22"/>
                <w:szCs w:val="22"/>
                <w:lang w:val="en-US" w:eastAsia="zh-CN"/>
              </w:rPr>
              <w:t>) items</w:t>
            </w:r>
          </w:p>
        </w:tc>
      </w:tr>
      <w:tr w14:paraId="56F00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8628" w:type="dxa"/>
            <w:tcBorders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1E2693">
            <w:pPr>
              <w:rPr>
                <w:rFonts w:hint="eastAsia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In my opinion, popular</w:t>
            </w:r>
            <w:r>
              <w:rPr>
                <w:rFonts w:hint="default" w:ascii="Calibri" w:hAnsi="Calibri" w:cs="Calibri"/>
                <w:sz w:val="22"/>
                <w:szCs w:val="22"/>
                <w:lang w:eastAsia="en-US"/>
              </w:rPr>
              <w:t xml:space="preserve"> blind box product will soon be sold out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.</w:t>
            </w:r>
          </w:p>
        </w:tc>
      </w:tr>
      <w:tr w14:paraId="3C2A1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96A2B7A">
            <w:pPr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eastAsia="en-US"/>
              </w:rPr>
              <w:t>I think the secret blind box is more attractive than regular blind box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es.</w:t>
            </w:r>
          </w:p>
        </w:tc>
      </w:tr>
      <w:tr w14:paraId="19E1B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550E51">
            <w:pPr>
              <w:rPr>
                <w:rFonts w:hint="eastAsia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eastAsia="en-US"/>
              </w:rPr>
              <w:t xml:space="preserve">The number of the 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secret blind box</w:t>
            </w:r>
            <w:r>
              <w:rPr>
                <w:rFonts w:hint="default" w:ascii="Calibri" w:hAnsi="Calibri" w:cs="Calibri"/>
                <w:sz w:val="22"/>
                <w:szCs w:val="22"/>
                <w:lang w:eastAsia="en-US"/>
              </w:rPr>
              <w:t xml:space="preserve"> is very limited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.</w:t>
            </w:r>
          </w:p>
        </w:tc>
      </w:tr>
      <w:tr w14:paraId="5EF8F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1A3905D">
            <w:pPr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eastAsia="en-US"/>
              </w:rPr>
              <w:t xml:space="preserve">It is difficult to acquire the 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secret blind box.</w:t>
            </w:r>
          </w:p>
        </w:tc>
      </w:tr>
      <w:tr w14:paraId="56394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86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3FC2713F">
            <w:pPr>
              <w:rPr>
                <w:rFonts w:hint="eastAsia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T</w:t>
            </w:r>
            <w:r>
              <w:rPr>
                <w:rFonts w:hint="default" w:ascii="Calibri" w:hAnsi="Calibri" w:cs="Calibri"/>
                <w:sz w:val="22"/>
                <w:szCs w:val="22"/>
                <w:lang w:eastAsia="en-US"/>
              </w:rPr>
              <w:t xml:space="preserve">he 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 xml:space="preserve">secret blind boxe </w:t>
            </w:r>
            <w:r>
              <w:rPr>
                <w:rFonts w:hint="default" w:ascii="Calibri" w:hAnsi="Calibri" w:cs="Calibri"/>
                <w:sz w:val="22"/>
                <w:szCs w:val="22"/>
                <w:lang w:eastAsia="en-US"/>
              </w:rPr>
              <w:t>is scare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.</w:t>
            </w:r>
          </w:p>
        </w:tc>
      </w:tr>
      <w:tr w14:paraId="46193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862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182D3646">
            <w:pP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b/>
                <w:bCs/>
                <w:sz w:val="22"/>
                <w:szCs w:val="22"/>
                <w:lang w:val="en-US" w:eastAsia="zh-CN"/>
              </w:rPr>
              <w:t xml:space="preserve">Irrational Consumption Behaviour </w:t>
            </w:r>
            <w:r>
              <w:rPr>
                <w:rFonts w:hint="default" w:ascii="Calibri" w:hAnsi="Calibri" w:cs="Calibri"/>
                <w:b/>
                <w:bCs/>
                <w:sz w:val="22"/>
                <w:szCs w:val="22"/>
                <w:lang w:val="en-US" w:eastAsia="zh-CN"/>
              </w:rPr>
              <w:t>(</w:t>
            </w:r>
            <w:r>
              <w:rPr>
                <w:rFonts w:hint="eastAsia" w:ascii="Calibri" w:hAnsi="Calibri" w:cs="Calibri"/>
                <w:b/>
                <w:bCs/>
                <w:sz w:val="22"/>
                <w:szCs w:val="22"/>
                <w:lang w:val="en-US" w:eastAsia="zh-CN"/>
              </w:rPr>
              <w:t>ICB</w:t>
            </w:r>
            <w:r>
              <w:rPr>
                <w:rFonts w:hint="default" w:ascii="Calibri" w:hAnsi="Calibri" w:cs="Calibri"/>
                <w:b/>
                <w:bCs/>
                <w:sz w:val="22"/>
                <w:szCs w:val="22"/>
                <w:lang w:val="en-US" w:eastAsia="zh-CN"/>
              </w:rPr>
              <w:t>) items</w:t>
            </w:r>
          </w:p>
        </w:tc>
      </w:tr>
      <w:tr w14:paraId="3DE14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86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953CAFD">
            <w:pP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eastAsia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 will stock up on doll blind boxes in large quantities</w:t>
            </w:r>
          </w:p>
        </w:tc>
      </w:tr>
      <w:tr w14:paraId="5D9D5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D562B5A">
            <w:pP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If I hear that one blind box brand launched a new series, I will recommend other blind box enthusiasts ibuy it.</w:t>
            </w:r>
          </w:p>
        </w:tc>
      </w:tr>
      <w:tr w14:paraId="0DAA3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39317F5">
            <w:pP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If a particular blind box product is very popular, I'll buy it no matter how inaccurate the information it provides is.</w:t>
            </w:r>
          </w:p>
        </w:tc>
      </w:tr>
      <w:tr w14:paraId="76CD1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86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75AE1F74">
            <w:pP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 xml:space="preserve">If people around me is now 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buy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ing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 xml:space="preserve"> a particular 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 xml:space="preserve">blind box 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product, I'll get in on the rush.</w:t>
            </w:r>
          </w:p>
        </w:tc>
      </w:tr>
    </w:tbl>
    <w:p w14:paraId="7FDF7E57">
      <w:pPr>
        <w:rPr>
          <w:rFonts w:hint="default" w:ascii="Calibri" w:hAnsi="Calibri" w:cs="Calibri"/>
          <w:sz w:val="22"/>
          <w:szCs w:val="22"/>
        </w:rPr>
      </w:pPr>
    </w:p>
    <w:p w14:paraId="31495B38">
      <w:pPr>
        <w:rPr>
          <w:rFonts w:hint="default" w:ascii="Calibri" w:hAnsi="Calibri" w:cs="Calibri"/>
          <w:sz w:val="22"/>
          <w:szCs w:val="22"/>
        </w:rPr>
      </w:pPr>
    </w:p>
    <w:p w14:paraId="486651AE">
      <w:pPr>
        <w:rPr>
          <w:rFonts w:hint="default" w:ascii="Calibri" w:hAnsi="Calibri" w:cs="Calibri"/>
          <w:sz w:val="22"/>
          <w:szCs w:val="22"/>
        </w:rPr>
      </w:pPr>
    </w:p>
    <w:p w14:paraId="3C4B5DD2">
      <w:pPr>
        <w:rPr>
          <w:rFonts w:hint="default" w:ascii="Calibri" w:hAnsi="Calibri" w:cs="Calibri"/>
          <w:sz w:val="22"/>
          <w:szCs w:val="22"/>
        </w:rPr>
      </w:pPr>
    </w:p>
    <w:p w14:paraId="50CDEBC5">
      <w:pPr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br w:type="page"/>
      </w:r>
    </w:p>
    <w:p w14:paraId="457F1364">
      <w:pPr>
        <w:rPr>
          <w:rFonts w:hint="eastAsia" w:ascii="Calibri" w:hAnsi="Calibri" w:cs="Calibri"/>
          <w:sz w:val="22"/>
          <w:szCs w:val="22"/>
          <w:lang w:val="en-US" w:eastAsia="zh-CN"/>
        </w:rPr>
      </w:pPr>
      <w:r>
        <w:rPr>
          <w:rFonts w:hint="eastAsia" w:ascii="Calibri" w:hAnsi="Calibri" w:cs="Calibri"/>
          <w:sz w:val="22"/>
          <w:szCs w:val="22"/>
          <w:lang w:val="en-US" w:eastAsia="zh-CN"/>
        </w:rPr>
        <w:t>S</w:t>
      </w:r>
      <w:r>
        <w:rPr>
          <w:rFonts w:hint="default" w:ascii="Calibri" w:hAnsi="Calibri" w:cs="Calibri"/>
          <w:sz w:val="22"/>
          <w:szCs w:val="22"/>
          <w:lang w:val="en-US" w:eastAsia="zh-CN"/>
        </w:rPr>
        <w:t xml:space="preserve">upplementary </w:t>
      </w:r>
      <w:r>
        <w:rPr>
          <w:rFonts w:hint="eastAsia" w:ascii="Calibri" w:hAnsi="Calibri" w:cs="Calibri"/>
          <w:sz w:val="22"/>
          <w:szCs w:val="22"/>
          <w:lang w:val="en-US" w:eastAsia="zh-CN"/>
        </w:rPr>
        <w:t>M</w:t>
      </w:r>
      <w:r>
        <w:rPr>
          <w:rFonts w:hint="default" w:ascii="Calibri" w:hAnsi="Calibri" w:cs="Calibri"/>
          <w:sz w:val="22"/>
          <w:szCs w:val="22"/>
          <w:lang w:val="en-US" w:eastAsia="zh-CN"/>
        </w:rPr>
        <w:t xml:space="preserve">aterial </w:t>
      </w:r>
      <w:r>
        <w:rPr>
          <w:rFonts w:hint="eastAsia" w:ascii="Calibri" w:hAnsi="Calibri" w:cs="Calibri"/>
          <w:sz w:val="22"/>
          <w:szCs w:val="22"/>
          <w:lang w:val="en-US" w:eastAsia="zh-CN"/>
        </w:rPr>
        <w:t>2:</w:t>
      </w:r>
    </w:p>
    <w:p w14:paraId="12CB3658">
      <w:pPr>
        <w:pStyle w:val="2"/>
        <w:ind w:firstLine="0" w:firstLineChars="0"/>
        <w:rPr>
          <w:rFonts w:hint="default" w:ascii="Calibri" w:hAnsi="Calibri" w:cs="Calibri" w:eastAsiaTheme="minorEastAsia"/>
          <w:kern w:val="2"/>
          <w:sz w:val="22"/>
          <w:szCs w:val="22"/>
          <w:lang w:val="en-GB" w:eastAsia="en-US" w:bidi="ar-SA"/>
        </w:rPr>
      </w:pPr>
      <w:r>
        <w:rPr>
          <w:rFonts w:hint="default" w:ascii="Calibri" w:hAnsi="Calibri" w:cs="Calibri" w:eastAsiaTheme="minorEastAsia"/>
          <w:kern w:val="2"/>
          <w:sz w:val="22"/>
          <w:szCs w:val="22"/>
          <w:lang w:val="en-GB" w:eastAsia="en-US" w:bidi="ar-SA"/>
        </w:rPr>
        <w:t>Multigroup analysis results</w:t>
      </w:r>
    </w:p>
    <w:tbl>
      <w:tblPr>
        <w:tblStyle w:val="4"/>
        <w:tblpPr w:leftFromText="180" w:rightFromText="180" w:vertAnchor="text" w:horzAnchor="page" w:tblpX="1153" w:tblpY="283"/>
        <w:tblOverlap w:val="never"/>
        <w:tblW w:w="530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2"/>
        <w:gridCol w:w="2350"/>
        <w:gridCol w:w="2370"/>
        <w:gridCol w:w="2048"/>
      </w:tblGrid>
      <w:tr w14:paraId="62F00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pct"/>
          </w:tcPr>
          <w:p w14:paraId="08F67A3B">
            <w:pPr>
              <w:pStyle w:val="6"/>
              <w:widowControl w:val="0"/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 w:eastAsiaTheme="minorEastAsia"/>
                <w:kern w:val="2"/>
                <w:sz w:val="22"/>
                <w:szCs w:val="22"/>
                <w:lang w:val="en-US" w:eastAsia="zh-CN" w:bidi="ar-SA"/>
              </w:rPr>
              <w:t>Hypothesis</w:t>
            </w:r>
          </w:p>
        </w:tc>
        <w:tc>
          <w:tcPr>
            <w:tcW w:w="1298" w:type="pct"/>
          </w:tcPr>
          <w:p w14:paraId="5221CE68">
            <w:pPr>
              <w:pStyle w:val="6"/>
              <w:widowControl w:val="0"/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zh-CN" w:bidi="ar-SA"/>
              </w:rPr>
              <w:t>β</w:t>
            </w:r>
            <w:r>
              <w:rPr>
                <w:rFonts w:hint="eastAsia" w:ascii="Calibri" w:hAnsi="Calibri" w:cs="Calibri" w:eastAsiaTheme="minorEastAsia"/>
                <w:kern w:val="2"/>
                <w:sz w:val="22"/>
                <w:szCs w:val="22"/>
                <w:lang w:val="en-US" w:eastAsia="zh-CN" w:bidi="ar-SA"/>
              </w:rPr>
              <w:t xml:space="preserve"> </w:t>
            </w:r>
            <w:r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zh-CN" w:bidi="ar-SA"/>
              </w:rPr>
              <w:t>Difference</w:t>
            </w:r>
          </w:p>
          <w:p w14:paraId="155BEC7C">
            <w:pPr>
              <w:pStyle w:val="6"/>
              <w:widowControl w:val="0"/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 w:eastAsiaTheme="minorEastAsia"/>
                <w:kern w:val="2"/>
                <w:sz w:val="22"/>
                <w:szCs w:val="22"/>
                <w:lang w:val="en-US" w:eastAsia="zh-CN" w:bidi="ar-SA"/>
              </w:rPr>
              <w:t>(</w:t>
            </w:r>
            <w:r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zh-CN" w:bidi="ar-SA"/>
              </w:rPr>
              <w:t>Male-</w:t>
            </w:r>
            <w:r>
              <w:rPr>
                <w:rFonts w:hint="eastAsia" w:ascii="Calibri" w:hAnsi="Calibri" w:cs="Calibri" w:eastAsiaTheme="minorEastAsia"/>
                <w:kern w:val="2"/>
                <w:sz w:val="22"/>
                <w:szCs w:val="22"/>
                <w:lang w:val="en-US" w:eastAsia="zh-CN" w:bidi="ar-SA"/>
              </w:rPr>
              <w:t>F</w:t>
            </w:r>
            <w:r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zh-CN" w:bidi="ar-SA"/>
              </w:rPr>
              <w:t>emale</w:t>
            </w:r>
            <w:r>
              <w:rPr>
                <w:rFonts w:hint="eastAsia" w:ascii="Calibri" w:hAnsi="Calibri" w:cs="Calibri" w:eastAsiaTheme="minorEastAsia"/>
                <w:kern w:val="2"/>
                <w:sz w:val="22"/>
                <w:szCs w:val="22"/>
                <w:lang w:val="en-US" w:eastAsia="zh-CN" w:bidi="ar-SA"/>
              </w:rPr>
              <w:t>)</w:t>
            </w:r>
          </w:p>
        </w:tc>
        <w:tc>
          <w:tcPr>
            <w:tcW w:w="1309" w:type="pct"/>
          </w:tcPr>
          <w:p w14:paraId="4DCDC360">
            <w:pPr>
              <w:pStyle w:val="6"/>
              <w:widowControl w:val="0"/>
              <w:numPr>
                <w:ilvl w:val="0"/>
                <w:numId w:val="1"/>
              </w:numPr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zh-CN" w:bidi="ar-SA"/>
              </w:rPr>
              <w:t>value</w:t>
            </w:r>
          </w:p>
          <w:p w14:paraId="475D123D">
            <w:pPr>
              <w:pStyle w:val="6"/>
              <w:widowControl w:val="0"/>
              <w:numPr>
                <w:ilvl w:val="255"/>
                <w:numId w:val="0"/>
              </w:numPr>
              <w:ind w:firstLine="440" w:firstLineChars="200"/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 w:eastAsiaTheme="minorEastAsia"/>
                <w:kern w:val="2"/>
                <w:sz w:val="22"/>
                <w:szCs w:val="22"/>
                <w:lang w:val="en-US" w:eastAsia="zh-CN" w:bidi="ar-SA"/>
              </w:rPr>
              <w:t>(</w:t>
            </w:r>
            <w:r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zh-CN" w:bidi="ar-SA"/>
              </w:rPr>
              <w:t>Male</w:t>
            </w:r>
            <w:r>
              <w:rPr>
                <w:rFonts w:hint="eastAsia" w:ascii="Calibri" w:hAnsi="Calibri" w:cs="Calibri" w:eastAsiaTheme="minorEastAsia"/>
                <w:kern w:val="2"/>
                <w:sz w:val="22"/>
                <w:szCs w:val="22"/>
                <w:lang w:val="en-US" w:eastAsia="zh-CN" w:bidi="ar-SA"/>
              </w:rPr>
              <w:t xml:space="preserve"> vs. F</w:t>
            </w:r>
            <w:r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zh-CN" w:bidi="ar-SA"/>
              </w:rPr>
              <w:t>emale</w:t>
            </w:r>
            <w:r>
              <w:rPr>
                <w:rFonts w:hint="eastAsia" w:ascii="Calibri" w:hAnsi="Calibri" w:cs="Calibri" w:eastAsiaTheme="minorEastAsia"/>
                <w:kern w:val="2"/>
                <w:sz w:val="22"/>
                <w:szCs w:val="22"/>
                <w:lang w:val="en-US" w:eastAsia="zh-CN" w:bidi="ar-SA"/>
              </w:rPr>
              <w:t>)</w:t>
            </w:r>
          </w:p>
        </w:tc>
        <w:tc>
          <w:tcPr>
            <w:tcW w:w="1131" w:type="pct"/>
          </w:tcPr>
          <w:p w14:paraId="7EFAEDC9">
            <w:pPr>
              <w:pStyle w:val="6"/>
              <w:widowControl w:val="0"/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 w:eastAsiaTheme="minorEastAsia"/>
                <w:kern w:val="2"/>
                <w:sz w:val="22"/>
                <w:szCs w:val="22"/>
                <w:lang w:val="en-US" w:eastAsia="zh-CN" w:bidi="ar-SA"/>
              </w:rPr>
              <w:t>P</w:t>
            </w:r>
            <w:r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zh-CN" w:bidi="ar-SA"/>
              </w:rPr>
              <w:t>-value</w:t>
            </w:r>
          </w:p>
          <w:p w14:paraId="26813A20">
            <w:pPr>
              <w:pStyle w:val="6"/>
              <w:widowControl w:val="0"/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 w:eastAsiaTheme="minorEastAsia"/>
                <w:kern w:val="2"/>
                <w:sz w:val="22"/>
                <w:szCs w:val="22"/>
                <w:lang w:val="en-US" w:eastAsia="zh-CN" w:bidi="ar-SA"/>
              </w:rPr>
              <w:t>(</w:t>
            </w:r>
            <w:r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zh-CN" w:bidi="ar-SA"/>
              </w:rPr>
              <w:t>Male</w:t>
            </w:r>
            <w:r>
              <w:rPr>
                <w:rFonts w:hint="eastAsia" w:ascii="Calibri" w:hAnsi="Calibri" w:cs="Calibri" w:eastAsiaTheme="minorEastAsia"/>
                <w:kern w:val="2"/>
                <w:sz w:val="22"/>
                <w:szCs w:val="22"/>
                <w:lang w:val="en-US" w:eastAsia="zh-CN" w:bidi="ar-SA"/>
              </w:rPr>
              <w:t xml:space="preserve"> vs. F</w:t>
            </w:r>
            <w:r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US" w:eastAsia="zh-CN" w:bidi="ar-SA"/>
              </w:rPr>
              <w:t>emale</w:t>
            </w:r>
            <w:r>
              <w:rPr>
                <w:rFonts w:hint="eastAsia" w:ascii="Calibri" w:hAnsi="Calibri" w:cs="Calibri" w:eastAsiaTheme="minorEastAsia"/>
                <w:kern w:val="2"/>
                <w:sz w:val="22"/>
                <w:szCs w:val="22"/>
                <w:lang w:val="en-US" w:eastAsia="zh-CN" w:bidi="ar-SA"/>
              </w:rPr>
              <w:t>)</w:t>
            </w:r>
          </w:p>
        </w:tc>
      </w:tr>
      <w:tr w14:paraId="58B44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pct"/>
            <w:shd w:val="clear" w:color="auto" w:fill="auto"/>
            <w:vAlign w:val="center"/>
          </w:tcPr>
          <w:p w14:paraId="077E96C3">
            <w:pPr>
              <w:widowControl/>
              <w:tabs>
                <w:tab w:val="left" w:pos="1300"/>
              </w:tabs>
              <w:spacing w:line="360" w:lineRule="auto"/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</w:pPr>
            <w:r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  <w:t>H1: PU→IG</w:t>
            </w:r>
          </w:p>
        </w:tc>
        <w:tc>
          <w:tcPr>
            <w:tcW w:w="1298" w:type="pct"/>
            <w:shd w:val="clear" w:color="auto" w:fill="auto"/>
            <w:vAlign w:val="center"/>
          </w:tcPr>
          <w:p w14:paraId="73D10E71">
            <w:pPr>
              <w:tabs>
                <w:tab w:val="left" w:pos="1300"/>
              </w:tabs>
              <w:spacing w:line="360" w:lineRule="auto"/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</w:pPr>
            <w:r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  <w:t>-0.286</w:t>
            </w:r>
          </w:p>
        </w:tc>
        <w:tc>
          <w:tcPr>
            <w:tcW w:w="1309" w:type="pct"/>
            <w:vAlign w:val="center"/>
          </w:tcPr>
          <w:p w14:paraId="4D469F7E">
            <w:pPr>
              <w:tabs>
                <w:tab w:val="left" w:pos="1300"/>
              </w:tabs>
              <w:spacing w:line="360" w:lineRule="auto"/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</w:pPr>
            <w:r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  <w:t>2.823</w:t>
            </w:r>
          </w:p>
        </w:tc>
        <w:tc>
          <w:tcPr>
            <w:tcW w:w="1131" w:type="pct"/>
            <w:shd w:val="clear" w:color="auto" w:fill="auto"/>
            <w:vAlign w:val="center"/>
          </w:tcPr>
          <w:p w14:paraId="28E04910">
            <w:pPr>
              <w:tabs>
                <w:tab w:val="left" w:pos="1300"/>
              </w:tabs>
              <w:spacing w:line="360" w:lineRule="auto"/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</w:pPr>
            <w:r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  <w:t>0.006*</w:t>
            </w:r>
          </w:p>
        </w:tc>
      </w:tr>
      <w:tr w14:paraId="6D2F1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pct"/>
            <w:shd w:val="clear" w:color="auto" w:fill="auto"/>
            <w:vAlign w:val="center"/>
          </w:tcPr>
          <w:p w14:paraId="327B15FD">
            <w:pPr>
              <w:widowControl/>
              <w:tabs>
                <w:tab w:val="left" w:pos="1300"/>
              </w:tabs>
              <w:spacing w:line="360" w:lineRule="auto"/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</w:pPr>
            <w:r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  <w:t>H2: PU→GF</w:t>
            </w:r>
          </w:p>
        </w:tc>
        <w:tc>
          <w:tcPr>
            <w:tcW w:w="1298" w:type="pct"/>
            <w:shd w:val="clear" w:color="auto" w:fill="auto"/>
            <w:vAlign w:val="center"/>
          </w:tcPr>
          <w:p w14:paraId="2E5AC4B2">
            <w:pPr>
              <w:tabs>
                <w:tab w:val="left" w:pos="1300"/>
              </w:tabs>
              <w:spacing w:line="360" w:lineRule="auto"/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</w:pPr>
            <w:r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  <w:t>-0.008</w:t>
            </w:r>
          </w:p>
        </w:tc>
        <w:tc>
          <w:tcPr>
            <w:tcW w:w="1309" w:type="pct"/>
            <w:vAlign w:val="center"/>
          </w:tcPr>
          <w:p w14:paraId="4508644F">
            <w:pPr>
              <w:tabs>
                <w:tab w:val="left" w:pos="1300"/>
              </w:tabs>
              <w:spacing w:line="360" w:lineRule="auto"/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</w:pPr>
            <w:r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  <w:t>0.116</w:t>
            </w:r>
          </w:p>
        </w:tc>
        <w:tc>
          <w:tcPr>
            <w:tcW w:w="1131" w:type="pct"/>
            <w:shd w:val="clear" w:color="auto" w:fill="auto"/>
            <w:vAlign w:val="center"/>
          </w:tcPr>
          <w:p w14:paraId="66B568A5">
            <w:pPr>
              <w:tabs>
                <w:tab w:val="left" w:pos="1300"/>
              </w:tabs>
              <w:spacing w:line="360" w:lineRule="auto"/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</w:pPr>
            <w:r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  <w:t>0.904</w:t>
            </w:r>
          </w:p>
        </w:tc>
      </w:tr>
      <w:tr w14:paraId="6EDD9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pct"/>
            <w:shd w:val="clear" w:color="auto" w:fill="auto"/>
            <w:vAlign w:val="center"/>
          </w:tcPr>
          <w:p w14:paraId="1E66F389">
            <w:pPr>
              <w:widowControl/>
              <w:tabs>
                <w:tab w:val="left" w:pos="1300"/>
              </w:tabs>
              <w:spacing w:line="360" w:lineRule="auto"/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</w:pPr>
            <w:r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  <w:t>H3: IG→ ICB</w:t>
            </w:r>
          </w:p>
        </w:tc>
        <w:tc>
          <w:tcPr>
            <w:tcW w:w="1298" w:type="pct"/>
            <w:vAlign w:val="center"/>
          </w:tcPr>
          <w:p w14:paraId="2E70ED60">
            <w:pPr>
              <w:tabs>
                <w:tab w:val="left" w:pos="1300"/>
              </w:tabs>
              <w:spacing w:line="360" w:lineRule="auto"/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</w:pPr>
            <w:r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  <w:t>-0.096</w:t>
            </w:r>
          </w:p>
        </w:tc>
        <w:tc>
          <w:tcPr>
            <w:tcW w:w="1309" w:type="pct"/>
            <w:vAlign w:val="center"/>
          </w:tcPr>
          <w:p w14:paraId="5AB67A94">
            <w:pPr>
              <w:tabs>
                <w:tab w:val="left" w:pos="1300"/>
              </w:tabs>
              <w:spacing w:line="360" w:lineRule="auto"/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</w:pPr>
            <w:r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  <w:t>1.076</w:t>
            </w:r>
          </w:p>
        </w:tc>
        <w:tc>
          <w:tcPr>
            <w:tcW w:w="1131" w:type="pct"/>
            <w:shd w:val="clear" w:color="auto" w:fill="auto"/>
            <w:vAlign w:val="center"/>
          </w:tcPr>
          <w:p w14:paraId="015F32B9">
            <w:pPr>
              <w:tabs>
                <w:tab w:val="left" w:pos="1300"/>
              </w:tabs>
              <w:spacing w:line="360" w:lineRule="auto"/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</w:pPr>
            <w:r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  <w:t>0.289</w:t>
            </w:r>
          </w:p>
        </w:tc>
      </w:tr>
      <w:tr w14:paraId="033BF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pct"/>
            <w:shd w:val="clear" w:color="auto" w:fill="auto"/>
            <w:vAlign w:val="center"/>
          </w:tcPr>
          <w:p w14:paraId="2EAC70BA">
            <w:pPr>
              <w:widowControl/>
              <w:tabs>
                <w:tab w:val="left" w:pos="1300"/>
              </w:tabs>
              <w:spacing w:line="360" w:lineRule="auto"/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</w:pPr>
            <w:r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  <w:t>H4: GF→ ICB</w:t>
            </w:r>
          </w:p>
        </w:tc>
        <w:tc>
          <w:tcPr>
            <w:tcW w:w="1298" w:type="pct"/>
            <w:shd w:val="clear" w:color="auto" w:fill="auto"/>
            <w:vAlign w:val="center"/>
          </w:tcPr>
          <w:p w14:paraId="28993CF5">
            <w:pPr>
              <w:tabs>
                <w:tab w:val="left" w:pos="1300"/>
              </w:tabs>
              <w:spacing w:line="360" w:lineRule="auto"/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</w:pPr>
            <w:r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  <w:t>-0.101</w:t>
            </w:r>
          </w:p>
        </w:tc>
        <w:tc>
          <w:tcPr>
            <w:tcW w:w="1309" w:type="pct"/>
            <w:vAlign w:val="center"/>
          </w:tcPr>
          <w:p w14:paraId="30A08FB5">
            <w:pPr>
              <w:tabs>
                <w:tab w:val="left" w:pos="1300"/>
              </w:tabs>
              <w:spacing w:line="360" w:lineRule="auto"/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</w:pPr>
            <w:r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  <w:t>1.254</w:t>
            </w:r>
          </w:p>
        </w:tc>
        <w:tc>
          <w:tcPr>
            <w:tcW w:w="1131" w:type="pct"/>
            <w:shd w:val="clear" w:color="auto" w:fill="auto"/>
            <w:vAlign w:val="center"/>
          </w:tcPr>
          <w:p w14:paraId="654B47AE">
            <w:pPr>
              <w:tabs>
                <w:tab w:val="left" w:pos="1300"/>
              </w:tabs>
              <w:spacing w:line="360" w:lineRule="auto"/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</w:pPr>
            <w:r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  <w:t>0.212</w:t>
            </w:r>
          </w:p>
        </w:tc>
      </w:tr>
      <w:tr w14:paraId="58F86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260" w:type="pct"/>
            <w:vAlign w:val="center"/>
          </w:tcPr>
          <w:p w14:paraId="6964164C">
            <w:pPr>
              <w:tabs>
                <w:tab w:val="left" w:pos="1300"/>
              </w:tabs>
              <w:spacing w:line="360" w:lineRule="auto"/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</w:pPr>
            <w:r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  <w:t xml:space="preserve">H5: </w:t>
            </w:r>
            <w:r>
              <w:rPr>
                <w:rFonts w:hint="eastAsia" w:ascii="Calibri" w:hAnsi="Calibri" w:cs="Calibri" w:eastAsiaTheme="minorEastAsia"/>
                <w:kern w:val="2"/>
                <w:sz w:val="22"/>
                <w:szCs w:val="22"/>
                <w:lang w:val="en-US" w:eastAsia="en-US" w:bidi="ar-SA"/>
              </w:rPr>
              <w:t>PS × IG →ICB</w:t>
            </w:r>
          </w:p>
        </w:tc>
        <w:tc>
          <w:tcPr>
            <w:tcW w:w="1298" w:type="pct"/>
            <w:vAlign w:val="center"/>
          </w:tcPr>
          <w:p w14:paraId="0EF92F97">
            <w:pPr>
              <w:tabs>
                <w:tab w:val="left" w:pos="1300"/>
              </w:tabs>
              <w:spacing w:line="360" w:lineRule="auto"/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</w:pPr>
            <w:r>
              <w:rPr>
                <w:rFonts w:hint="eastAsia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  <w:t>0.237</w:t>
            </w:r>
          </w:p>
        </w:tc>
        <w:tc>
          <w:tcPr>
            <w:tcW w:w="1309" w:type="pct"/>
            <w:vAlign w:val="center"/>
          </w:tcPr>
          <w:p w14:paraId="11C9DCAF">
            <w:pPr>
              <w:tabs>
                <w:tab w:val="left" w:pos="1300"/>
              </w:tabs>
              <w:spacing w:line="360" w:lineRule="auto"/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</w:pPr>
            <w:r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  <w:t>2.232</w:t>
            </w:r>
          </w:p>
        </w:tc>
        <w:tc>
          <w:tcPr>
            <w:tcW w:w="1131" w:type="pct"/>
            <w:vAlign w:val="center"/>
          </w:tcPr>
          <w:p w14:paraId="259A2BFB">
            <w:pPr>
              <w:tabs>
                <w:tab w:val="left" w:pos="1300"/>
              </w:tabs>
              <w:spacing w:line="360" w:lineRule="auto"/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</w:pPr>
            <w:r>
              <w:rPr>
                <w:rFonts w:hint="eastAsia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  <w:t>0.04</w:t>
            </w:r>
            <w:r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  <w:t>0*</w:t>
            </w:r>
          </w:p>
        </w:tc>
      </w:tr>
      <w:tr w14:paraId="48EB6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pct"/>
            <w:vAlign w:val="center"/>
          </w:tcPr>
          <w:p w14:paraId="49E835BF">
            <w:pPr>
              <w:tabs>
                <w:tab w:val="left" w:pos="1300"/>
              </w:tabs>
              <w:spacing w:line="360" w:lineRule="auto"/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</w:pPr>
            <w:r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  <w:t xml:space="preserve">H6: </w:t>
            </w:r>
            <w:r>
              <w:rPr>
                <w:rFonts w:hint="eastAsia" w:ascii="Calibri" w:hAnsi="Calibri" w:cs="Calibri" w:eastAsiaTheme="minorEastAsia"/>
                <w:kern w:val="2"/>
                <w:sz w:val="22"/>
                <w:szCs w:val="22"/>
                <w:lang w:val="en-US" w:eastAsia="en-US" w:bidi="ar-SA"/>
              </w:rPr>
              <w:t>PS × GF → ICB</w:t>
            </w:r>
          </w:p>
        </w:tc>
        <w:tc>
          <w:tcPr>
            <w:tcW w:w="1298" w:type="pct"/>
            <w:vAlign w:val="center"/>
          </w:tcPr>
          <w:p w14:paraId="2A1D9129">
            <w:pPr>
              <w:tabs>
                <w:tab w:val="left" w:pos="1300"/>
              </w:tabs>
              <w:spacing w:line="360" w:lineRule="auto"/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</w:pPr>
            <w:r>
              <w:rPr>
                <w:rFonts w:hint="eastAsia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  <w:t>-0.219</w:t>
            </w:r>
          </w:p>
        </w:tc>
        <w:tc>
          <w:tcPr>
            <w:tcW w:w="1309" w:type="pct"/>
            <w:vAlign w:val="center"/>
          </w:tcPr>
          <w:p w14:paraId="16BA0EB5">
            <w:pPr>
              <w:tabs>
                <w:tab w:val="left" w:pos="1300"/>
              </w:tabs>
              <w:spacing w:line="360" w:lineRule="auto"/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</w:pPr>
            <w:r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  <w:t>1.957</w:t>
            </w:r>
          </w:p>
        </w:tc>
        <w:tc>
          <w:tcPr>
            <w:tcW w:w="1131" w:type="pct"/>
            <w:vAlign w:val="center"/>
          </w:tcPr>
          <w:p w14:paraId="7F1F3B6D">
            <w:pPr>
              <w:tabs>
                <w:tab w:val="left" w:pos="1300"/>
              </w:tabs>
              <w:spacing w:line="360" w:lineRule="auto"/>
              <w:jc w:val="center"/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</w:pPr>
            <w:r>
              <w:rPr>
                <w:rFonts w:hint="eastAsia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  <w:t>0.031</w:t>
            </w:r>
            <w:r>
              <w:rPr>
                <w:rFonts w:hint="default" w:ascii="Calibri" w:hAnsi="Calibri" w:cs="Calibri" w:eastAsiaTheme="minorEastAsia"/>
                <w:kern w:val="2"/>
                <w:sz w:val="22"/>
                <w:szCs w:val="22"/>
                <w:lang w:val="en-GB" w:eastAsia="en-US" w:bidi="ar-SA"/>
              </w:rPr>
              <w:t>*</w:t>
            </w:r>
          </w:p>
        </w:tc>
      </w:tr>
    </w:tbl>
    <w:p w14:paraId="145C905B"/>
    <w:p w14:paraId="7AC6ECFB">
      <w:pPr>
        <w:rPr>
          <w:rFonts w:hint="default" w:ascii="Calibri" w:hAnsi="Calibri" w:cs="Calibri"/>
          <w:sz w:val="22"/>
          <w:szCs w:val="2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F7037E"/>
    <w:multiLevelType w:val="singleLevel"/>
    <w:tmpl w:val="70F7037E"/>
    <w:lvl w:ilvl="0" w:tentative="0">
      <w:start w:val="20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mMGRkZTc0NGI1YWEzZmQwM2RmZjc5NWQyZGIyYmIifQ=="/>
  </w:docVars>
  <w:rsids>
    <w:rsidRoot w:val="00000000"/>
    <w:rsid w:val="07DA347C"/>
    <w:rsid w:val="11D37BD7"/>
    <w:rsid w:val="1B222034"/>
    <w:rsid w:val="2FA417BA"/>
    <w:rsid w:val="31D96988"/>
    <w:rsid w:val="329F5E32"/>
    <w:rsid w:val="358E3777"/>
    <w:rsid w:val="573A3225"/>
    <w:rsid w:val="5BF117E5"/>
    <w:rsid w:val="66D50667"/>
    <w:rsid w:val="74A26F48"/>
    <w:rsid w:val="78C1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0"/>
    <w:pPr>
      <w:spacing w:line="360" w:lineRule="auto"/>
      <w:ind w:firstLine="600" w:firstLineChars="300"/>
    </w:pPr>
    <w:rPr>
      <w:rFonts w:ascii="Arial" w:hAnsi="Arial"/>
      <w:sz w:val="20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MDPI_4.2_table_body"/>
    <w:autoRedefine/>
    <w:qFormat/>
    <w:uiPriority w:val="0"/>
    <w:pPr>
      <w:adjustRightInd w:val="0"/>
      <w:snapToGrid w:val="0"/>
      <w:spacing w:line="260" w:lineRule="atLeast"/>
      <w:jc w:val="center"/>
    </w:pPr>
    <w:rPr>
      <w:rFonts w:ascii="Palatino Linotype" w:hAnsi="Palatino Linotype" w:eastAsia="Times New Roman" w:cs="Times New Roman"/>
      <w:snapToGrid w:val="0"/>
      <w:color w:val="000000"/>
      <w:lang w:val="en-US" w:eastAsia="de-DE" w:bidi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360</Words>
  <Characters>1688</Characters>
  <Lines>0</Lines>
  <Paragraphs>0</Paragraphs>
  <TotalTime>0</TotalTime>
  <ScaleCrop>false</ScaleCrop>
  <LinksUpToDate>false</LinksUpToDate>
  <CharactersWithSpaces>1990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2024-02-23T06:27:00Z</dcterms:created>
  <dc:creator>LSMWill</dc:creator>
  <cp:lastModifiedBy>author</cp:lastModifiedBy>
  <dcterms:modified xsi:type="dcterms:W3CDTF">2025-03-11T13:55:58Z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303B5A1C4FF14A19A9C218B695FFF7A0_13</vt:lpwstr>
  </property>
  <property fmtid="{D5CDD505-2E9C-101B-9397-08002B2CF9AE}" pid="4" name="KSOTemplateDocerSaveRecord">
    <vt:lpwstr>eyJoZGlkIjoiZDA2MDkwZDE5Mzk0OGRmNDYxOTUzOTRjNjlhM2Y1M2EiLCJ1c2VySWQiOiI0NDYyNTU4MjkifQ==</vt:lpwstr>
  </property>
</Properties>
</file>