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1BC4C" w14:textId="77777777" w:rsidR="00623D0C" w:rsidRPr="00623D0C" w:rsidRDefault="00623D0C" w:rsidP="00623D0C">
      <w:pPr>
        <w:keepNext/>
        <w:keepLines/>
        <w:spacing w:after="0" w:line="480" w:lineRule="auto"/>
        <w:outlineLvl w:val="1"/>
        <w:rPr>
          <w:rFonts w:ascii="Times New Roman" w:eastAsia="SimHei" w:hAnsi="Times New Roman" w:cs="Times New Roman"/>
          <w:b/>
          <w:bCs/>
          <w:kern w:val="24"/>
          <w:sz w:val="24"/>
          <w:szCs w:val="24"/>
          <w:lang w:val="en-GB" w:eastAsia="ja-JP"/>
        </w:rPr>
      </w:pPr>
      <w:r w:rsidRPr="00623D0C">
        <w:rPr>
          <w:rFonts w:ascii="Times New Roman" w:eastAsia="SimHei" w:hAnsi="Times New Roman" w:cs="Times New Roman"/>
          <w:b/>
          <w:bCs/>
          <w:kern w:val="24"/>
          <w:sz w:val="24"/>
          <w:szCs w:val="24"/>
          <w:lang w:val="en-GB" w:eastAsia="ja-JP"/>
        </w:rPr>
        <w:t>Appendix A</w:t>
      </w:r>
    </w:p>
    <w:p w14:paraId="0A91748C" w14:textId="77777777" w:rsidR="00623D0C" w:rsidRPr="00623D0C" w:rsidRDefault="00623D0C" w:rsidP="00623D0C">
      <w:pPr>
        <w:keepNext/>
        <w:keepLines/>
        <w:spacing w:after="0" w:line="480" w:lineRule="auto"/>
        <w:outlineLvl w:val="1"/>
        <w:rPr>
          <w:rFonts w:ascii="Times New Roman" w:eastAsia="SimHei" w:hAnsi="Times New Roman" w:cs="Times New Roman"/>
          <w:b/>
          <w:bCs/>
          <w:kern w:val="24"/>
          <w:sz w:val="24"/>
          <w:szCs w:val="24"/>
          <w:lang w:val="en-GB"/>
        </w:rPr>
      </w:pPr>
      <w:r w:rsidRPr="00623D0C">
        <w:rPr>
          <w:rFonts w:ascii="Times New Roman" w:eastAsia="SimHei" w:hAnsi="Times New Roman" w:cs="Times New Roman"/>
          <w:b/>
          <w:bCs/>
          <w:kern w:val="24"/>
          <w:sz w:val="24"/>
          <w:szCs w:val="24"/>
          <w:lang w:val="en-GB"/>
        </w:rPr>
        <w:t>Digital cognitive test batteries</w:t>
      </w:r>
    </w:p>
    <w:p w14:paraId="5A55C975" w14:textId="77777777" w:rsidR="00623D0C" w:rsidRDefault="00623D0C" w:rsidP="00623D0C">
      <w:pPr>
        <w:spacing w:after="0" w:line="480" w:lineRule="auto"/>
        <w:contextualSpacing/>
        <w:rPr>
          <w:rFonts w:ascii="Times New Roman" w:eastAsia="SimSun" w:hAnsi="Times New Roman" w:cs="Times New Roman"/>
          <w:kern w:val="24"/>
          <w:sz w:val="24"/>
          <w:szCs w:val="24"/>
          <w:lang w:val="en-GB"/>
        </w:rPr>
      </w:pPr>
      <w:r w:rsidRPr="00623D0C">
        <w:rPr>
          <w:rFonts w:ascii="Times New Roman" w:eastAsia="SimSun" w:hAnsi="Times New Roman" w:cs="Times New Roman"/>
          <w:kern w:val="24"/>
          <w:sz w:val="24"/>
          <w:szCs w:val="24"/>
          <w:lang w:val="en-GB"/>
        </w:rPr>
        <w:t>The review, assessment, and decision were conducted by two psychologists in July 2019, with a follow-up in May 2021. Through searching the Internet and scientific literature, we identified the following list of digital test batteries capable of assessing the required cognitive functions. The assessment of the digital test batteries was based on the following criteria.</w:t>
      </w:r>
    </w:p>
    <w:p w14:paraId="544CF340" w14:textId="77777777" w:rsidR="00623D0C" w:rsidRDefault="00623D0C" w:rsidP="00623D0C">
      <w:pPr>
        <w:pStyle w:val="Listeafsnit"/>
        <w:numPr>
          <w:ilvl w:val="0"/>
          <w:numId w:val="1"/>
        </w:numPr>
        <w:spacing w:after="0" w:line="480" w:lineRule="auto"/>
        <w:ind w:left="851" w:hanging="567"/>
        <w:rPr>
          <w:rFonts w:ascii="Times New Roman" w:eastAsia="SimSun" w:hAnsi="Times New Roman" w:cs="Times New Roman"/>
          <w:kern w:val="24"/>
          <w:sz w:val="24"/>
          <w:szCs w:val="24"/>
          <w:lang w:val="en-GB"/>
        </w:rPr>
      </w:pPr>
      <w:r w:rsidRPr="00623D0C">
        <w:rPr>
          <w:rFonts w:ascii="Times New Roman" w:eastAsia="SimSun" w:hAnsi="Times New Roman" w:cs="Times New Roman"/>
          <w:kern w:val="24"/>
          <w:sz w:val="24"/>
          <w:szCs w:val="24"/>
          <w:lang w:val="en-GB"/>
        </w:rPr>
        <w:t>Available in Danish</w:t>
      </w:r>
    </w:p>
    <w:p w14:paraId="54045A46" w14:textId="4543C798" w:rsidR="00623D0C" w:rsidRPr="00623D0C" w:rsidRDefault="00623D0C" w:rsidP="00623D0C">
      <w:pPr>
        <w:pStyle w:val="Listeafsnit"/>
        <w:numPr>
          <w:ilvl w:val="0"/>
          <w:numId w:val="1"/>
        </w:numPr>
        <w:spacing w:after="0" w:line="480" w:lineRule="auto"/>
        <w:ind w:left="851" w:hanging="567"/>
        <w:rPr>
          <w:rFonts w:ascii="Times New Roman" w:eastAsia="SimSun" w:hAnsi="Times New Roman" w:cs="Times New Roman"/>
          <w:kern w:val="24"/>
          <w:sz w:val="24"/>
          <w:szCs w:val="24"/>
          <w:lang w:val="en-GB"/>
        </w:rPr>
      </w:pPr>
      <w:r w:rsidRPr="00623D0C">
        <w:rPr>
          <w:rFonts w:ascii="Times New Roman" w:eastAsia="SimSun" w:hAnsi="Times New Roman" w:cs="Times New Roman"/>
          <w:kern w:val="24"/>
          <w:sz w:val="24"/>
          <w:szCs w:val="24"/>
          <w:lang w:val="en-GB"/>
        </w:rPr>
        <w:t xml:space="preserve">Well used and studied. </w:t>
      </w:r>
    </w:p>
    <w:p w14:paraId="460812A2" w14:textId="77777777" w:rsidR="00623D0C" w:rsidRPr="00623D0C" w:rsidRDefault="00623D0C" w:rsidP="00623D0C">
      <w:pPr>
        <w:numPr>
          <w:ilvl w:val="0"/>
          <w:numId w:val="1"/>
        </w:numPr>
        <w:spacing w:after="0" w:line="480" w:lineRule="auto"/>
        <w:ind w:left="851" w:hanging="567"/>
        <w:contextualSpacing/>
        <w:rPr>
          <w:rFonts w:ascii="Times New Roman" w:eastAsia="SimSun" w:hAnsi="Times New Roman" w:cs="Times New Roman"/>
          <w:kern w:val="24"/>
          <w:sz w:val="24"/>
          <w:szCs w:val="24"/>
          <w:lang w:val="en-GB"/>
        </w:rPr>
      </w:pPr>
      <w:r w:rsidRPr="00623D0C">
        <w:rPr>
          <w:rFonts w:ascii="Times New Roman" w:eastAsia="SimSun" w:hAnsi="Times New Roman" w:cs="Times New Roman"/>
          <w:kern w:val="24"/>
          <w:sz w:val="24"/>
          <w:szCs w:val="24"/>
          <w:lang w:val="en-GB"/>
        </w:rPr>
        <w:t xml:space="preserve">User-friendliness – front and backend </w:t>
      </w:r>
    </w:p>
    <w:p w14:paraId="3EBFBD93" w14:textId="77777777" w:rsidR="00623D0C" w:rsidRPr="00623D0C" w:rsidRDefault="00623D0C" w:rsidP="00623D0C">
      <w:pPr>
        <w:numPr>
          <w:ilvl w:val="0"/>
          <w:numId w:val="1"/>
        </w:numPr>
        <w:spacing w:after="0" w:line="480" w:lineRule="auto"/>
        <w:ind w:left="851" w:hanging="567"/>
        <w:contextualSpacing/>
        <w:rPr>
          <w:rFonts w:ascii="Times New Roman" w:eastAsia="SimSun" w:hAnsi="Times New Roman" w:cs="Times New Roman"/>
          <w:kern w:val="24"/>
          <w:sz w:val="24"/>
          <w:szCs w:val="24"/>
          <w:lang w:val="en-GB"/>
        </w:rPr>
      </w:pPr>
      <w:r w:rsidRPr="00623D0C">
        <w:rPr>
          <w:rFonts w:ascii="Times New Roman" w:eastAsia="SimSun" w:hAnsi="Times New Roman" w:cs="Times New Roman"/>
          <w:kern w:val="24"/>
          <w:sz w:val="24"/>
          <w:szCs w:val="24"/>
          <w:lang w:val="en-GB"/>
        </w:rPr>
        <w:t>Available for clinical use</w:t>
      </w:r>
    </w:p>
    <w:p w14:paraId="5CD87962" w14:textId="77777777" w:rsidR="00623D0C" w:rsidRPr="00623D0C" w:rsidRDefault="00623D0C" w:rsidP="00623D0C">
      <w:pPr>
        <w:numPr>
          <w:ilvl w:val="0"/>
          <w:numId w:val="1"/>
        </w:numPr>
        <w:spacing w:after="0" w:line="480" w:lineRule="auto"/>
        <w:ind w:left="851" w:hanging="567"/>
        <w:contextualSpacing/>
        <w:rPr>
          <w:rFonts w:ascii="Times New Roman" w:eastAsia="SimSun" w:hAnsi="Times New Roman" w:cs="Times New Roman"/>
          <w:kern w:val="24"/>
          <w:sz w:val="24"/>
          <w:szCs w:val="24"/>
          <w:lang w:val="en-GB"/>
        </w:rPr>
      </w:pPr>
      <w:r w:rsidRPr="00623D0C">
        <w:rPr>
          <w:rFonts w:ascii="Times New Roman" w:eastAsia="SimSun" w:hAnsi="Times New Roman" w:cs="Times New Roman"/>
          <w:kern w:val="24"/>
          <w:sz w:val="24"/>
          <w:szCs w:val="24"/>
          <w:lang w:val="en-GB"/>
        </w:rPr>
        <w:t xml:space="preserve">No need for certified personal </w:t>
      </w:r>
    </w:p>
    <w:p w14:paraId="77B57B4A" w14:textId="77777777" w:rsidR="00623D0C" w:rsidRPr="00623D0C" w:rsidRDefault="00623D0C" w:rsidP="00623D0C">
      <w:pPr>
        <w:numPr>
          <w:ilvl w:val="0"/>
          <w:numId w:val="1"/>
        </w:numPr>
        <w:spacing w:after="0" w:line="480" w:lineRule="auto"/>
        <w:ind w:left="851" w:hanging="567"/>
        <w:contextualSpacing/>
        <w:rPr>
          <w:rFonts w:ascii="Times New Roman" w:eastAsia="SimSun" w:hAnsi="Times New Roman" w:cs="Times New Roman"/>
          <w:kern w:val="24"/>
          <w:sz w:val="24"/>
          <w:szCs w:val="24"/>
          <w:lang w:val="en-GB"/>
        </w:rPr>
      </w:pPr>
      <w:r w:rsidRPr="00623D0C">
        <w:rPr>
          <w:rFonts w:ascii="Times New Roman" w:eastAsia="SimSun" w:hAnsi="Times New Roman" w:cs="Times New Roman"/>
          <w:kern w:val="24"/>
          <w:sz w:val="24"/>
          <w:szCs w:val="24"/>
          <w:lang w:val="en-GB"/>
        </w:rPr>
        <w:t xml:space="preserve">Well-established organisation </w:t>
      </w:r>
    </w:p>
    <w:p w14:paraId="0847CC28" w14:textId="77777777" w:rsidR="00623D0C" w:rsidRPr="00623D0C" w:rsidRDefault="00623D0C" w:rsidP="00623D0C">
      <w:pPr>
        <w:numPr>
          <w:ilvl w:val="0"/>
          <w:numId w:val="1"/>
        </w:numPr>
        <w:spacing w:after="0" w:line="480" w:lineRule="auto"/>
        <w:ind w:left="851" w:hanging="567"/>
        <w:contextualSpacing/>
        <w:rPr>
          <w:rFonts w:ascii="Times New Roman" w:eastAsia="SimSun" w:hAnsi="Times New Roman" w:cs="Times New Roman"/>
          <w:kern w:val="24"/>
          <w:sz w:val="24"/>
          <w:szCs w:val="24"/>
          <w:lang w:val="en-GB"/>
        </w:rPr>
      </w:pPr>
      <w:r w:rsidRPr="00623D0C">
        <w:rPr>
          <w:rFonts w:ascii="Times New Roman" w:eastAsia="SimSun" w:hAnsi="Times New Roman" w:cs="Times New Roman"/>
          <w:kern w:val="24"/>
          <w:sz w:val="24"/>
          <w:szCs w:val="24"/>
          <w:lang w:val="en-GB"/>
        </w:rPr>
        <w:t xml:space="preserve">Relevant tests for the CA population </w:t>
      </w:r>
    </w:p>
    <w:p w14:paraId="456FE130" w14:textId="77777777" w:rsidR="00623D0C" w:rsidRPr="00623D0C" w:rsidRDefault="00623D0C" w:rsidP="00623D0C">
      <w:pPr>
        <w:rPr>
          <w:rFonts w:ascii="Calibri" w:eastAsia="Calibri" w:hAnsi="Calibri" w:cs="Times New Roman"/>
          <w:kern w:val="2"/>
          <w:lang w:val="en-GB"/>
          <w14:ligatures w14:val="standardContextual"/>
        </w:rPr>
      </w:pPr>
    </w:p>
    <w:tbl>
      <w:tblPr>
        <w:tblStyle w:val="Tabel-Gitter3"/>
        <w:tblW w:w="9464" w:type="dxa"/>
        <w:tblInd w:w="-5" w:type="dxa"/>
        <w:tblLook w:val="04A0" w:firstRow="1" w:lastRow="0" w:firstColumn="1" w:lastColumn="0" w:noHBand="0" w:noVBand="1"/>
      </w:tblPr>
      <w:tblGrid>
        <w:gridCol w:w="3153"/>
        <w:gridCol w:w="979"/>
        <w:gridCol w:w="972"/>
        <w:gridCol w:w="1295"/>
        <w:gridCol w:w="848"/>
        <w:gridCol w:w="988"/>
        <w:gridCol w:w="1229"/>
      </w:tblGrid>
      <w:tr w:rsidR="00623D0C" w:rsidRPr="00623D0C" w14:paraId="712B12D5" w14:textId="77777777" w:rsidTr="00A34BC3">
        <w:tc>
          <w:tcPr>
            <w:tcW w:w="3153" w:type="dxa"/>
          </w:tcPr>
          <w:p w14:paraId="701ED34A" w14:textId="77777777" w:rsidR="00623D0C" w:rsidRPr="00623D0C" w:rsidRDefault="00623D0C" w:rsidP="00623D0C">
            <w:pPr>
              <w:rPr>
                <w:rFonts w:ascii="Calibri" w:hAnsi="Calibri" w:cs="Times New Roman"/>
                <w:lang w:val="en-GB"/>
              </w:rPr>
            </w:pPr>
          </w:p>
        </w:tc>
        <w:tc>
          <w:tcPr>
            <w:tcW w:w="979" w:type="dxa"/>
          </w:tcPr>
          <w:p w14:paraId="699CAA74"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Danish</w:t>
            </w:r>
          </w:p>
        </w:tc>
        <w:tc>
          <w:tcPr>
            <w:tcW w:w="972" w:type="dxa"/>
          </w:tcPr>
          <w:p w14:paraId="3A44059F"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Used &amp; studied</w:t>
            </w:r>
          </w:p>
        </w:tc>
        <w:tc>
          <w:tcPr>
            <w:tcW w:w="1295" w:type="dxa"/>
          </w:tcPr>
          <w:p w14:paraId="5E988AAA"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User-friendliness</w:t>
            </w:r>
          </w:p>
        </w:tc>
        <w:tc>
          <w:tcPr>
            <w:tcW w:w="848" w:type="dxa"/>
          </w:tcPr>
          <w:p w14:paraId="1D0C76CC"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Clinical use</w:t>
            </w:r>
          </w:p>
        </w:tc>
        <w:tc>
          <w:tcPr>
            <w:tcW w:w="988" w:type="dxa"/>
          </w:tcPr>
          <w:p w14:paraId="02363E30"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Certified personal</w:t>
            </w:r>
          </w:p>
        </w:tc>
        <w:tc>
          <w:tcPr>
            <w:tcW w:w="1229" w:type="dxa"/>
          </w:tcPr>
          <w:p w14:paraId="75FC7540"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Well-established</w:t>
            </w:r>
          </w:p>
        </w:tc>
      </w:tr>
      <w:tr w:rsidR="00623D0C" w:rsidRPr="00623D0C" w14:paraId="29D47F29" w14:textId="77777777" w:rsidTr="00A34BC3">
        <w:tc>
          <w:tcPr>
            <w:tcW w:w="3153" w:type="dxa"/>
            <w:vAlign w:val="center"/>
          </w:tcPr>
          <w:p w14:paraId="1C7E6C98" w14:textId="77777777" w:rsidR="00623D0C" w:rsidRPr="00623D0C" w:rsidRDefault="00623D0C" w:rsidP="00623D0C">
            <w:pPr>
              <w:rPr>
                <w:rFonts w:ascii="Calibri" w:hAnsi="Calibri" w:cs="Times New Roman"/>
                <w:lang w:val="en-GB"/>
              </w:rPr>
            </w:pPr>
            <w:r w:rsidRPr="00623D0C">
              <w:rPr>
                <w:rFonts w:ascii="Calibri" w:hAnsi="Calibri" w:cs="Calibri"/>
                <w:color w:val="000000"/>
                <w:lang w:val="en-GB"/>
              </w:rPr>
              <w:t>Automated Neuropsychological Assessment Metrics</w:t>
            </w:r>
          </w:p>
        </w:tc>
        <w:tc>
          <w:tcPr>
            <w:tcW w:w="979" w:type="dxa"/>
            <w:vAlign w:val="center"/>
          </w:tcPr>
          <w:p w14:paraId="3918B665"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c>
          <w:tcPr>
            <w:tcW w:w="972" w:type="dxa"/>
            <w:vAlign w:val="center"/>
          </w:tcPr>
          <w:p w14:paraId="041A1CDB"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1295" w:type="dxa"/>
            <w:vAlign w:val="center"/>
          </w:tcPr>
          <w:p w14:paraId="78D1C111"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848" w:type="dxa"/>
            <w:vAlign w:val="center"/>
          </w:tcPr>
          <w:p w14:paraId="21E89C45"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88" w:type="dxa"/>
            <w:vAlign w:val="center"/>
          </w:tcPr>
          <w:p w14:paraId="73BFB68A"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w:t>
            </w:r>
          </w:p>
        </w:tc>
        <w:tc>
          <w:tcPr>
            <w:tcW w:w="1229" w:type="dxa"/>
            <w:vAlign w:val="center"/>
          </w:tcPr>
          <w:p w14:paraId="1CCAC42C"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r>
      <w:tr w:rsidR="00623D0C" w:rsidRPr="00623D0C" w14:paraId="40CCE672" w14:textId="77777777" w:rsidTr="00A34BC3">
        <w:tc>
          <w:tcPr>
            <w:tcW w:w="3153" w:type="dxa"/>
            <w:vAlign w:val="center"/>
          </w:tcPr>
          <w:p w14:paraId="581F240E" w14:textId="77777777" w:rsidR="00623D0C" w:rsidRPr="00623D0C" w:rsidRDefault="00623D0C" w:rsidP="00623D0C">
            <w:pPr>
              <w:rPr>
                <w:rFonts w:ascii="Calibri" w:hAnsi="Calibri" w:cs="Times New Roman"/>
                <w:lang w:val="en-GB"/>
              </w:rPr>
            </w:pPr>
            <w:r w:rsidRPr="00623D0C">
              <w:rPr>
                <w:rFonts w:ascii="Calibri" w:hAnsi="Calibri" w:cs="Calibri"/>
                <w:color w:val="000000"/>
                <w:lang w:val="en-GB"/>
              </w:rPr>
              <w:t xml:space="preserve">Cambridge Neuropsychological Test Automated Battery, CANTAB </w:t>
            </w:r>
          </w:p>
        </w:tc>
        <w:tc>
          <w:tcPr>
            <w:tcW w:w="979" w:type="dxa"/>
            <w:vAlign w:val="center"/>
          </w:tcPr>
          <w:p w14:paraId="3DB716F6"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72" w:type="dxa"/>
            <w:vAlign w:val="center"/>
          </w:tcPr>
          <w:p w14:paraId="33F8A818"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1295" w:type="dxa"/>
            <w:vAlign w:val="center"/>
          </w:tcPr>
          <w:p w14:paraId="65557A8E"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848" w:type="dxa"/>
            <w:vAlign w:val="center"/>
          </w:tcPr>
          <w:p w14:paraId="1B4B91A0"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88" w:type="dxa"/>
            <w:vAlign w:val="center"/>
          </w:tcPr>
          <w:p w14:paraId="3D1E5A27"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1229" w:type="dxa"/>
            <w:vAlign w:val="center"/>
          </w:tcPr>
          <w:p w14:paraId="50755864"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r>
      <w:tr w:rsidR="00623D0C" w:rsidRPr="00623D0C" w14:paraId="34556BD6" w14:textId="77777777" w:rsidTr="00A34BC3">
        <w:tc>
          <w:tcPr>
            <w:tcW w:w="3153" w:type="dxa"/>
            <w:vAlign w:val="center"/>
          </w:tcPr>
          <w:p w14:paraId="0FB16F65" w14:textId="77777777" w:rsidR="00623D0C" w:rsidRPr="00623D0C" w:rsidRDefault="00623D0C" w:rsidP="00623D0C">
            <w:pPr>
              <w:rPr>
                <w:rFonts w:ascii="Calibri" w:hAnsi="Calibri" w:cs="Times New Roman"/>
                <w:lang w:val="en-GB"/>
              </w:rPr>
            </w:pPr>
            <w:r w:rsidRPr="00623D0C">
              <w:rPr>
                <w:rFonts w:ascii="Calibri" w:hAnsi="Calibri" w:cs="Calibri"/>
                <w:color w:val="000000"/>
                <w:lang w:val="en-GB"/>
              </w:rPr>
              <w:t>CAMCI®-Research</w:t>
            </w:r>
          </w:p>
        </w:tc>
        <w:tc>
          <w:tcPr>
            <w:tcW w:w="979" w:type="dxa"/>
            <w:vAlign w:val="center"/>
          </w:tcPr>
          <w:p w14:paraId="250B3036"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c>
          <w:tcPr>
            <w:tcW w:w="972" w:type="dxa"/>
            <w:vAlign w:val="center"/>
          </w:tcPr>
          <w:p w14:paraId="39455C23"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1295" w:type="dxa"/>
            <w:vAlign w:val="center"/>
          </w:tcPr>
          <w:p w14:paraId="34EC805C"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848" w:type="dxa"/>
            <w:vAlign w:val="center"/>
          </w:tcPr>
          <w:p w14:paraId="7005147F"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c>
          <w:tcPr>
            <w:tcW w:w="988" w:type="dxa"/>
            <w:vAlign w:val="center"/>
          </w:tcPr>
          <w:p w14:paraId="0DF04C7E"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w:t>
            </w:r>
          </w:p>
        </w:tc>
        <w:tc>
          <w:tcPr>
            <w:tcW w:w="1229" w:type="dxa"/>
            <w:vAlign w:val="center"/>
          </w:tcPr>
          <w:p w14:paraId="56B33718"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r>
      <w:tr w:rsidR="00623D0C" w:rsidRPr="00623D0C" w14:paraId="2706264F" w14:textId="77777777" w:rsidTr="00A34BC3">
        <w:tc>
          <w:tcPr>
            <w:tcW w:w="3153" w:type="dxa"/>
            <w:vAlign w:val="center"/>
          </w:tcPr>
          <w:p w14:paraId="4C16BB98" w14:textId="77777777" w:rsidR="00623D0C" w:rsidRPr="00623D0C" w:rsidRDefault="00623D0C" w:rsidP="00623D0C">
            <w:pPr>
              <w:rPr>
                <w:rFonts w:ascii="Calibri" w:hAnsi="Calibri" w:cs="Calibri"/>
                <w:color w:val="000000"/>
                <w:lang w:val="en-GB"/>
              </w:rPr>
            </w:pPr>
            <w:r w:rsidRPr="00623D0C">
              <w:rPr>
                <w:rFonts w:ascii="Calibri" w:hAnsi="Calibri" w:cs="Calibri"/>
                <w:color w:val="000000"/>
                <w:lang w:val="en-GB"/>
              </w:rPr>
              <w:t>Cognitive Assessment at Bedside for iPad (</w:t>
            </w:r>
            <w:proofErr w:type="spellStart"/>
            <w:r w:rsidRPr="00623D0C">
              <w:rPr>
                <w:rFonts w:ascii="Calibri" w:hAnsi="Calibri" w:cs="Calibri"/>
                <w:color w:val="000000"/>
                <w:lang w:val="en-GB"/>
              </w:rPr>
              <w:t>CABPad</w:t>
            </w:r>
            <w:proofErr w:type="spellEnd"/>
            <w:r w:rsidRPr="00623D0C">
              <w:rPr>
                <w:rFonts w:ascii="Calibri" w:hAnsi="Calibri" w:cs="Calibri"/>
                <w:color w:val="000000"/>
                <w:lang w:val="en-GB"/>
              </w:rPr>
              <w:t>)</w:t>
            </w:r>
          </w:p>
        </w:tc>
        <w:tc>
          <w:tcPr>
            <w:tcW w:w="979" w:type="dxa"/>
            <w:vAlign w:val="center"/>
          </w:tcPr>
          <w:p w14:paraId="1F27A1AB"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72" w:type="dxa"/>
            <w:vAlign w:val="center"/>
          </w:tcPr>
          <w:p w14:paraId="4E71E2BB"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c>
          <w:tcPr>
            <w:tcW w:w="1295" w:type="dxa"/>
            <w:vAlign w:val="center"/>
          </w:tcPr>
          <w:p w14:paraId="0213EFF6"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w:t>
            </w:r>
          </w:p>
        </w:tc>
        <w:tc>
          <w:tcPr>
            <w:tcW w:w="848" w:type="dxa"/>
            <w:vAlign w:val="center"/>
          </w:tcPr>
          <w:p w14:paraId="51E9638B"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88" w:type="dxa"/>
            <w:vAlign w:val="center"/>
          </w:tcPr>
          <w:p w14:paraId="019CA7AA"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1229" w:type="dxa"/>
            <w:vAlign w:val="center"/>
          </w:tcPr>
          <w:p w14:paraId="71D8D8E8"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r>
      <w:tr w:rsidR="00623D0C" w:rsidRPr="00623D0C" w14:paraId="0E2F6D56" w14:textId="77777777" w:rsidTr="00A34BC3">
        <w:tc>
          <w:tcPr>
            <w:tcW w:w="3153" w:type="dxa"/>
            <w:vAlign w:val="bottom"/>
          </w:tcPr>
          <w:p w14:paraId="31F8649D" w14:textId="77777777" w:rsidR="00623D0C" w:rsidRPr="00623D0C" w:rsidRDefault="00623D0C" w:rsidP="00623D0C">
            <w:pPr>
              <w:rPr>
                <w:rFonts w:ascii="Calibri" w:hAnsi="Calibri" w:cs="Times New Roman"/>
                <w:lang w:val="en-GB"/>
              </w:rPr>
            </w:pPr>
            <w:r w:rsidRPr="00623D0C">
              <w:rPr>
                <w:rFonts w:ascii="Calibri" w:hAnsi="Calibri" w:cs="Calibri"/>
                <w:color w:val="000000"/>
                <w:lang w:val="en-GB"/>
              </w:rPr>
              <w:t>Cognitive Function Scanner</w:t>
            </w:r>
          </w:p>
        </w:tc>
        <w:tc>
          <w:tcPr>
            <w:tcW w:w="979" w:type="dxa"/>
            <w:vAlign w:val="center"/>
          </w:tcPr>
          <w:p w14:paraId="2138B28E"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72" w:type="dxa"/>
            <w:vAlign w:val="center"/>
          </w:tcPr>
          <w:p w14:paraId="1726AB0F"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c>
          <w:tcPr>
            <w:tcW w:w="1295" w:type="dxa"/>
            <w:vAlign w:val="center"/>
          </w:tcPr>
          <w:p w14:paraId="417D1E23"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w:t>
            </w:r>
          </w:p>
        </w:tc>
        <w:tc>
          <w:tcPr>
            <w:tcW w:w="848" w:type="dxa"/>
            <w:vAlign w:val="center"/>
          </w:tcPr>
          <w:p w14:paraId="77FA0DB0"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88" w:type="dxa"/>
            <w:vAlign w:val="center"/>
          </w:tcPr>
          <w:p w14:paraId="4EEC0522"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w:t>
            </w:r>
          </w:p>
        </w:tc>
        <w:tc>
          <w:tcPr>
            <w:tcW w:w="1229" w:type="dxa"/>
            <w:vAlign w:val="center"/>
          </w:tcPr>
          <w:p w14:paraId="4F8DCE48"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r>
      <w:tr w:rsidR="00623D0C" w:rsidRPr="00623D0C" w14:paraId="1E28F20A" w14:textId="77777777" w:rsidTr="00A34BC3">
        <w:tc>
          <w:tcPr>
            <w:tcW w:w="3153" w:type="dxa"/>
            <w:vAlign w:val="center"/>
          </w:tcPr>
          <w:p w14:paraId="4C82332A" w14:textId="77777777" w:rsidR="00623D0C" w:rsidRPr="00623D0C" w:rsidRDefault="00623D0C" w:rsidP="00623D0C">
            <w:pPr>
              <w:rPr>
                <w:rFonts w:ascii="Calibri" w:hAnsi="Calibri" w:cs="Times New Roman"/>
                <w:lang w:val="en-GB"/>
              </w:rPr>
            </w:pPr>
            <w:proofErr w:type="spellStart"/>
            <w:r w:rsidRPr="00623D0C">
              <w:rPr>
                <w:rFonts w:ascii="Calibri" w:hAnsi="Calibri" w:cs="Calibri"/>
                <w:color w:val="000000"/>
                <w:lang w:val="en-GB"/>
              </w:rPr>
              <w:t>Cogstate</w:t>
            </w:r>
            <w:proofErr w:type="spellEnd"/>
            <w:r w:rsidRPr="00623D0C">
              <w:rPr>
                <w:rFonts w:ascii="Calibri" w:hAnsi="Calibri" w:cs="Calibri"/>
                <w:color w:val="000000"/>
                <w:lang w:val="en-GB"/>
              </w:rPr>
              <w:t xml:space="preserve"> C3 </w:t>
            </w:r>
          </w:p>
        </w:tc>
        <w:tc>
          <w:tcPr>
            <w:tcW w:w="979" w:type="dxa"/>
            <w:vAlign w:val="center"/>
          </w:tcPr>
          <w:p w14:paraId="39F1B191"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w:t>
            </w:r>
          </w:p>
        </w:tc>
        <w:tc>
          <w:tcPr>
            <w:tcW w:w="972" w:type="dxa"/>
            <w:vAlign w:val="center"/>
          </w:tcPr>
          <w:p w14:paraId="0835E351"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1295" w:type="dxa"/>
            <w:vAlign w:val="center"/>
          </w:tcPr>
          <w:p w14:paraId="165E5386"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848" w:type="dxa"/>
            <w:vAlign w:val="center"/>
          </w:tcPr>
          <w:p w14:paraId="3BB6FEE4"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88" w:type="dxa"/>
            <w:vAlign w:val="center"/>
          </w:tcPr>
          <w:p w14:paraId="765D480B"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w:t>
            </w:r>
          </w:p>
        </w:tc>
        <w:tc>
          <w:tcPr>
            <w:tcW w:w="1229" w:type="dxa"/>
            <w:vAlign w:val="center"/>
          </w:tcPr>
          <w:p w14:paraId="73A1B851"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r>
      <w:tr w:rsidR="00623D0C" w:rsidRPr="00623D0C" w14:paraId="10B6A37C" w14:textId="77777777" w:rsidTr="00A34BC3">
        <w:tc>
          <w:tcPr>
            <w:tcW w:w="3153" w:type="dxa"/>
            <w:vAlign w:val="center"/>
          </w:tcPr>
          <w:p w14:paraId="23DA31CA" w14:textId="77777777" w:rsidR="00623D0C" w:rsidRPr="00623D0C" w:rsidRDefault="00623D0C" w:rsidP="00623D0C">
            <w:pPr>
              <w:rPr>
                <w:rFonts w:ascii="Calibri" w:hAnsi="Calibri" w:cs="Times New Roman"/>
                <w:lang w:val="en-GB"/>
              </w:rPr>
            </w:pPr>
            <w:r w:rsidRPr="00623D0C">
              <w:rPr>
                <w:rFonts w:ascii="Calibri" w:hAnsi="Calibri" w:cs="Calibri"/>
                <w:color w:val="000000"/>
                <w:lang w:val="en-GB"/>
              </w:rPr>
              <w:t>NIH Toolbox</w:t>
            </w:r>
          </w:p>
        </w:tc>
        <w:tc>
          <w:tcPr>
            <w:tcW w:w="979" w:type="dxa"/>
            <w:vAlign w:val="center"/>
          </w:tcPr>
          <w:p w14:paraId="04B4E927"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c>
          <w:tcPr>
            <w:tcW w:w="972" w:type="dxa"/>
            <w:vAlign w:val="center"/>
          </w:tcPr>
          <w:p w14:paraId="2B613DAF"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1295" w:type="dxa"/>
            <w:vAlign w:val="center"/>
          </w:tcPr>
          <w:p w14:paraId="4C88251C"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848" w:type="dxa"/>
            <w:vAlign w:val="center"/>
          </w:tcPr>
          <w:p w14:paraId="1E048867"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88" w:type="dxa"/>
            <w:vAlign w:val="center"/>
          </w:tcPr>
          <w:p w14:paraId="2EF19A1B"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w:t>
            </w:r>
          </w:p>
        </w:tc>
        <w:tc>
          <w:tcPr>
            <w:tcW w:w="1229" w:type="dxa"/>
            <w:vAlign w:val="center"/>
          </w:tcPr>
          <w:p w14:paraId="05B1CA9D"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r>
      <w:tr w:rsidR="00623D0C" w:rsidRPr="00623D0C" w14:paraId="253C3603" w14:textId="77777777" w:rsidTr="00A34BC3">
        <w:tc>
          <w:tcPr>
            <w:tcW w:w="3153" w:type="dxa"/>
            <w:vAlign w:val="center"/>
          </w:tcPr>
          <w:p w14:paraId="49AA733C" w14:textId="77777777" w:rsidR="00623D0C" w:rsidRPr="00623D0C" w:rsidRDefault="00623D0C" w:rsidP="00623D0C">
            <w:pPr>
              <w:rPr>
                <w:rFonts w:ascii="Calibri" w:hAnsi="Calibri" w:cs="Times New Roman"/>
                <w:lang w:val="en-GB"/>
              </w:rPr>
            </w:pPr>
            <w:r w:rsidRPr="00623D0C">
              <w:rPr>
                <w:rFonts w:ascii="Calibri" w:hAnsi="Calibri" w:cs="Calibri"/>
                <w:color w:val="000000"/>
                <w:lang w:val="en-GB"/>
              </w:rPr>
              <w:t xml:space="preserve">OCS-Plus  </w:t>
            </w:r>
          </w:p>
        </w:tc>
        <w:tc>
          <w:tcPr>
            <w:tcW w:w="979" w:type="dxa"/>
            <w:vAlign w:val="center"/>
          </w:tcPr>
          <w:p w14:paraId="2B139E90"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c>
          <w:tcPr>
            <w:tcW w:w="972" w:type="dxa"/>
            <w:vAlign w:val="center"/>
          </w:tcPr>
          <w:p w14:paraId="2AB6C505"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c>
          <w:tcPr>
            <w:tcW w:w="1295" w:type="dxa"/>
            <w:vAlign w:val="center"/>
          </w:tcPr>
          <w:p w14:paraId="40B107F7"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848" w:type="dxa"/>
            <w:vAlign w:val="center"/>
          </w:tcPr>
          <w:p w14:paraId="628B5C94"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88" w:type="dxa"/>
            <w:vAlign w:val="center"/>
          </w:tcPr>
          <w:p w14:paraId="176B8F68"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w:t>
            </w:r>
          </w:p>
        </w:tc>
        <w:tc>
          <w:tcPr>
            <w:tcW w:w="1229" w:type="dxa"/>
            <w:vAlign w:val="center"/>
          </w:tcPr>
          <w:p w14:paraId="14694301"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r>
      <w:tr w:rsidR="00623D0C" w:rsidRPr="00623D0C" w14:paraId="36E3D3B1" w14:textId="77777777" w:rsidTr="00A34BC3">
        <w:tc>
          <w:tcPr>
            <w:tcW w:w="3153" w:type="dxa"/>
            <w:vAlign w:val="center"/>
          </w:tcPr>
          <w:p w14:paraId="11F0D0DB" w14:textId="77777777" w:rsidR="00623D0C" w:rsidRPr="00623D0C" w:rsidRDefault="00623D0C" w:rsidP="00623D0C">
            <w:pPr>
              <w:rPr>
                <w:rFonts w:ascii="Calibri" w:hAnsi="Calibri" w:cs="Times New Roman"/>
                <w:lang w:val="en-GB"/>
              </w:rPr>
            </w:pPr>
            <w:r w:rsidRPr="00623D0C">
              <w:rPr>
                <w:rFonts w:ascii="Calibri" w:hAnsi="Calibri" w:cs="Calibri"/>
                <w:color w:val="000000"/>
                <w:lang w:val="en-GB"/>
              </w:rPr>
              <w:t xml:space="preserve">Wechsler Q-Interactive </w:t>
            </w:r>
          </w:p>
        </w:tc>
        <w:tc>
          <w:tcPr>
            <w:tcW w:w="979" w:type="dxa"/>
            <w:vAlign w:val="center"/>
          </w:tcPr>
          <w:p w14:paraId="5E892B23"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72" w:type="dxa"/>
            <w:vAlign w:val="center"/>
          </w:tcPr>
          <w:p w14:paraId="4F48C5CA"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c>
          <w:tcPr>
            <w:tcW w:w="1295" w:type="dxa"/>
            <w:vAlign w:val="center"/>
          </w:tcPr>
          <w:p w14:paraId="35D8BBB0"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848" w:type="dxa"/>
            <w:vAlign w:val="center"/>
          </w:tcPr>
          <w:p w14:paraId="56A51897"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E"/>
            </w:r>
          </w:p>
        </w:tc>
        <w:tc>
          <w:tcPr>
            <w:tcW w:w="988" w:type="dxa"/>
            <w:vAlign w:val="center"/>
          </w:tcPr>
          <w:p w14:paraId="16AD47E7" w14:textId="77777777" w:rsidR="00623D0C" w:rsidRPr="00623D0C" w:rsidRDefault="00623D0C" w:rsidP="00623D0C">
            <w:pPr>
              <w:rPr>
                <w:rFonts w:ascii="Calibri" w:hAnsi="Calibri" w:cs="Times New Roman"/>
                <w:lang w:val="en-GB"/>
              </w:rPr>
            </w:pPr>
            <w:r w:rsidRPr="00623D0C">
              <w:rPr>
                <w:rFonts w:ascii="Calibri" w:hAnsi="Calibri" w:cs="Times New Roman"/>
                <w:lang w:val="en-GB"/>
              </w:rPr>
              <w:t>?</w:t>
            </w:r>
          </w:p>
        </w:tc>
        <w:tc>
          <w:tcPr>
            <w:tcW w:w="1229" w:type="dxa"/>
            <w:vAlign w:val="center"/>
          </w:tcPr>
          <w:p w14:paraId="10AC23BD" w14:textId="77777777" w:rsidR="00623D0C" w:rsidRPr="00623D0C" w:rsidRDefault="00623D0C" w:rsidP="00623D0C">
            <w:pPr>
              <w:rPr>
                <w:rFonts w:ascii="Calibri" w:hAnsi="Calibri" w:cs="Times New Roman"/>
                <w:lang w:val="en-GB"/>
              </w:rPr>
            </w:pPr>
            <w:r w:rsidRPr="00623D0C">
              <w:rPr>
                <w:rFonts w:ascii="Calibri" w:hAnsi="Calibri" w:cs="Times New Roman"/>
                <w:lang w:val="en-GB"/>
              </w:rPr>
              <w:sym w:font="Wingdings" w:char="F0FD"/>
            </w:r>
          </w:p>
        </w:tc>
      </w:tr>
    </w:tbl>
    <w:p w14:paraId="5D3CF275" w14:textId="77777777" w:rsidR="00623D0C" w:rsidRPr="00623D0C" w:rsidRDefault="00623D0C" w:rsidP="00623D0C">
      <w:pPr>
        <w:rPr>
          <w:rFonts w:ascii="Calibri" w:eastAsia="Calibri" w:hAnsi="Calibri" w:cs="Times New Roman"/>
          <w:kern w:val="2"/>
          <w:lang w:val="en-GB"/>
          <w14:ligatures w14:val="standardContextual"/>
        </w:rPr>
      </w:pPr>
    </w:p>
    <w:p w14:paraId="062E6573" w14:textId="77777777" w:rsidR="00623D0C" w:rsidRPr="00623D0C" w:rsidRDefault="00623D0C" w:rsidP="00623D0C">
      <w:pPr>
        <w:rPr>
          <w:rFonts w:ascii="Calibri" w:eastAsia="Calibri" w:hAnsi="Calibri" w:cs="Times New Roman"/>
          <w:kern w:val="2"/>
          <w:lang w:val="en-GB"/>
          <w14:ligatures w14:val="standardContextual"/>
        </w:rPr>
      </w:pPr>
    </w:p>
    <w:p w14:paraId="3CF69251" w14:textId="32EC16B5" w:rsidR="00623D0C" w:rsidRPr="00623D0C" w:rsidRDefault="00623D0C" w:rsidP="00623D0C">
      <w:pPr>
        <w:spacing w:after="0" w:line="480" w:lineRule="auto"/>
        <w:ind w:firstLine="720"/>
        <w:rPr>
          <w:rFonts w:ascii="Times New Roman" w:eastAsia="SimSun" w:hAnsi="Times New Roman" w:cs="Times New Roman"/>
          <w:kern w:val="24"/>
          <w:sz w:val="24"/>
          <w:szCs w:val="24"/>
          <w:lang w:val="en-GB"/>
        </w:rPr>
      </w:pPr>
      <w:r w:rsidRPr="00623D0C">
        <w:rPr>
          <w:rFonts w:ascii="Times New Roman" w:eastAsia="SimSun" w:hAnsi="Times New Roman" w:cs="Times New Roman"/>
          <w:kern w:val="24"/>
          <w:sz w:val="24"/>
          <w:szCs w:val="24"/>
          <w:lang w:val="en-GB"/>
        </w:rPr>
        <w:t xml:space="preserve">We decided to compile the digital screening tool </w:t>
      </w:r>
      <w:r w:rsidR="00CF6030" w:rsidRPr="00CF6030">
        <w:rPr>
          <w:rFonts w:ascii="Times New Roman" w:eastAsia="SimSun" w:hAnsi="Times New Roman" w:cs="Times New Roman"/>
          <w:kern w:val="24"/>
          <w:sz w:val="24"/>
          <w:szCs w:val="24"/>
          <w:lang w:val="en-GB"/>
        </w:rPr>
        <w:t>using</w:t>
      </w:r>
      <w:r w:rsidR="00CF6030">
        <w:rPr>
          <w:rFonts w:ascii="Times New Roman" w:eastAsia="SimSun" w:hAnsi="Times New Roman" w:cs="Times New Roman"/>
          <w:kern w:val="24"/>
          <w:sz w:val="24"/>
          <w:szCs w:val="24"/>
          <w:lang w:val="en-GB"/>
        </w:rPr>
        <w:t xml:space="preserve"> </w:t>
      </w:r>
      <w:r w:rsidRPr="00623D0C">
        <w:rPr>
          <w:rFonts w:ascii="Times New Roman" w:eastAsia="SimSun" w:hAnsi="Times New Roman" w:cs="Times New Roman"/>
          <w:kern w:val="24"/>
          <w:sz w:val="24"/>
          <w:szCs w:val="24"/>
          <w:lang w:val="en-GB"/>
        </w:rPr>
        <w:t xml:space="preserve">subtests from CANTAB since the assessment from the dedicated research group was that CANTAB was the system with the greatest </w:t>
      </w:r>
      <w:r w:rsidRPr="00623D0C">
        <w:rPr>
          <w:rFonts w:ascii="Times New Roman" w:eastAsia="SimSun" w:hAnsi="Times New Roman" w:cs="Times New Roman"/>
          <w:kern w:val="24"/>
          <w:sz w:val="24"/>
          <w:szCs w:val="24"/>
          <w:lang w:val="en-GB"/>
        </w:rPr>
        <w:lastRenderedPageBreak/>
        <w:t xml:space="preserve">potential to be administered without assistance from health personnel. Furthermore, CANTAB was the most user-friendly and comprehensive test battery. It was the battery that most easily could overcome the potential pitfalls of digital tools </w:t>
      </w:r>
      <w:r w:rsidR="00032E72" w:rsidRPr="00032E72">
        <w:rPr>
          <w:rFonts w:ascii="Times New Roman" w:eastAsia="SimSun" w:hAnsi="Times New Roman" w:cs="Times New Roman"/>
          <w:kern w:val="24"/>
          <w:sz w:val="24"/>
          <w:szCs w:val="24"/>
          <w:lang w:val="en-GB"/>
        </w:rPr>
        <w:t>as outlined</w:t>
      </w:r>
      <w:r w:rsidR="00032E72">
        <w:rPr>
          <w:rFonts w:ascii="Times New Roman" w:eastAsia="SimSun" w:hAnsi="Times New Roman" w:cs="Times New Roman"/>
          <w:kern w:val="24"/>
          <w:sz w:val="24"/>
          <w:szCs w:val="24"/>
          <w:lang w:val="en-GB"/>
        </w:rPr>
        <w:t xml:space="preserve"> </w:t>
      </w:r>
      <w:r w:rsidR="00E843A5">
        <w:rPr>
          <w:rFonts w:ascii="Times New Roman" w:eastAsia="SimSun" w:hAnsi="Times New Roman" w:cs="Times New Roman"/>
          <w:kern w:val="24"/>
          <w:sz w:val="24"/>
          <w:szCs w:val="24"/>
          <w:lang w:val="en-GB"/>
        </w:rPr>
        <w:t xml:space="preserve">by </w:t>
      </w:r>
      <w:r w:rsidRPr="00623D0C">
        <w:rPr>
          <w:rFonts w:ascii="Times New Roman" w:eastAsia="SimSun" w:hAnsi="Times New Roman" w:cs="Times New Roman"/>
          <w:kern w:val="24"/>
          <w:sz w:val="24"/>
          <w:szCs w:val="24"/>
          <w:lang w:val="en-GB"/>
        </w:rPr>
        <w:t xml:space="preserve">Germine et al. </w:t>
      </w:r>
      <w:r w:rsidRPr="00623D0C">
        <w:rPr>
          <w:rFonts w:ascii="Times New Roman" w:eastAsia="SimSun" w:hAnsi="Times New Roman" w:cs="Times New Roman"/>
          <w:kern w:val="24"/>
          <w:sz w:val="24"/>
          <w:szCs w:val="24"/>
          <w:lang w:val="en-GB"/>
        </w:rPr>
        <w:fldChar w:fldCharType="begin"/>
      </w:r>
      <w:r w:rsidRPr="00623D0C">
        <w:rPr>
          <w:rFonts w:ascii="Times New Roman" w:eastAsia="SimSun" w:hAnsi="Times New Roman" w:cs="Times New Roman"/>
          <w:kern w:val="24"/>
          <w:sz w:val="24"/>
          <w:szCs w:val="24"/>
          <w:lang w:val="en-GB"/>
        </w:rPr>
        <w:instrText xml:space="preserve"> ADDIN EN.CITE &lt;EndNote&gt;&lt;Cite&gt;&lt;Author&gt;Germine&lt;/Author&gt;&lt;Year&gt;2019&lt;/Year&gt;&lt;RecNum&gt;43&lt;/RecNum&gt;&lt;DisplayText&gt;(Germine et al., 2019)&lt;/DisplayText&gt;&lt;record&gt;&lt;rec-number&gt;43&lt;/rec-number&gt;&lt;foreign-keys&gt;&lt;key app="EN" db-id="z2a5t025q9s5wiexw2o5aaw5r25serzpder0" timestamp="1725359796"&gt;43&lt;/key&gt;&lt;/foreign-keys&gt;&lt;ref-type name="Journal Article"&gt;17&lt;/ref-type&gt;&lt;contributors&gt;&lt;authors&gt;&lt;author&gt;Germine, Laura&lt;/author&gt;&lt;author&gt;Reinecke, Katharina&lt;/author&gt;&lt;author&gt;Chaytor, Naomi S.&lt;/author&gt;&lt;/authors&gt;&lt;/contributors&gt;&lt;titles&gt;&lt;title&gt;Digital neuropsychology: Challenges and opportunities at the intersection of science and software&lt;/title&gt;&lt;secondary-title&gt;The Clinical Neuropsychologist&lt;/secondary-title&gt;&lt;/titles&gt;&lt;periodical&gt;&lt;full-title&gt;The Clinical Neuropsychologist&lt;/full-title&gt;&lt;/periodical&gt;&lt;pages&gt;271-286&lt;/pages&gt;&lt;volume&gt;33&lt;/volume&gt;&lt;number&gt;2&lt;/number&gt;&lt;dates&gt;&lt;year&gt;2019&lt;/year&gt;&lt;pub-dates&gt;&lt;date&gt;2019/02/17&lt;/date&gt;&lt;/pub-dates&gt;&lt;/dates&gt;&lt;publisher&gt;Routledge&lt;/publisher&gt;&lt;isbn&gt;1385-4046&lt;/isbn&gt;&lt;urls&gt;&lt;related-urls&gt;&lt;url&gt;https://doi.org/10.1080/13854046.2018.1535662&lt;/url&gt;&lt;/related-urls&gt;&lt;/urls&gt;&lt;electronic-resource-num&gt;10.1080/13854046.2018.1535662&lt;/electronic-resource-num&gt;&lt;/record&gt;&lt;/Cite&gt;&lt;/EndNote&gt;</w:instrText>
      </w:r>
      <w:r w:rsidRPr="00623D0C">
        <w:rPr>
          <w:rFonts w:ascii="Times New Roman" w:eastAsia="SimSun" w:hAnsi="Times New Roman" w:cs="Times New Roman"/>
          <w:kern w:val="24"/>
          <w:sz w:val="24"/>
          <w:szCs w:val="24"/>
          <w:lang w:val="en-GB"/>
        </w:rPr>
        <w:fldChar w:fldCharType="separate"/>
      </w:r>
      <w:r w:rsidRPr="00623D0C">
        <w:rPr>
          <w:rFonts w:ascii="Times New Roman" w:eastAsia="SimSun" w:hAnsi="Times New Roman" w:cs="Times New Roman"/>
          <w:noProof/>
          <w:kern w:val="24"/>
          <w:sz w:val="24"/>
          <w:szCs w:val="24"/>
          <w:lang w:val="en-GB"/>
        </w:rPr>
        <w:t>(Germine et al., 2019)</w:t>
      </w:r>
      <w:r w:rsidRPr="00623D0C">
        <w:rPr>
          <w:rFonts w:ascii="Times New Roman" w:eastAsia="SimSun" w:hAnsi="Times New Roman" w:cs="Times New Roman"/>
          <w:kern w:val="24"/>
          <w:sz w:val="24"/>
          <w:szCs w:val="24"/>
          <w:lang w:val="en-GB"/>
        </w:rPr>
        <w:fldChar w:fldCharType="end"/>
      </w:r>
    </w:p>
    <w:p w14:paraId="5A580757" w14:textId="1558A427" w:rsidR="00623D0C" w:rsidRPr="00623D0C" w:rsidRDefault="00623D0C" w:rsidP="00623D0C">
      <w:pPr>
        <w:spacing w:after="0" w:line="480" w:lineRule="auto"/>
        <w:rPr>
          <w:rFonts w:ascii="Times New Roman" w:eastAsia="SimSun" w:hAnsi="Times New Roman" w:cs="Times New Roman"/>
          <w:kern w:val="24"/>
          <w:sz w:val="24"/>
          <w:szCs w:val="24"/>
          <w:lang w:val="en-GB"/>
        </w:rPr>
      </w:pPr>
      <w:r w:rsidRPr="00623D0C">
        <w:rPr>
          <w:rFonts w:ascii="Times New Roman" w:eastAsia="SimSun" w:hAnsi="Times New Roman" w:cs="Times New Roman"/>
          <w:kern w:val="24"/>
          <w:sz w:val="24"/>
          <w:szCs w:val="24"/>
          <w:lang w:val="en-GB"/>
        </w:rPr>
        <w:t>CANTAB had, at the time, more than 2.200 citations</w:t>
      </w:r>
      <w:r w:rsidR="00322E9D">
        <w:rPr>
          <w:rFonts w:ascii="Times New Roman" w:eastAsia="SimSun" w:hAnsi="Times New Roman" w:cs="Times New Roman"/>
          <w:kern w:val="24"/>
          <w:sz w:val="24"/>
          <w:szCs w:val="24"/>
          <w:lang w:val="en-GB"/>
        </w:rPr>
        <w:t xml:space="preserve"> </w:t>
      </w:r>
      <w:r w:rsidR="00322E9D">
        <w:rPr>
          <w:rFonts w:ascii="Times New Roman" w:eastAsia="SimSun" w:hAnsi="Times New Roman" w:cs="Times New Roman"/>
          <w:kern w:val="24"/>
          <w:sz w:val="24"/>
          <w:szCs w:val="24"/>
          <w:lang w:val="en-GB"/>
        </w:rPr>
        <w:fldChar w:fldCharType="begin"/>
      </w:r>
      <w:r w:rsidR="00322E9D">
        <w:rPr>
          <w:rFonts w:ascii="Times New Roman" w:eastAsia="SimSun" w:hAnsi="Times New Roman" w:cs="Times New Roman"/>
          <w:kern w:val="24"/>
          <w:sz w:val="24"/>
          <w:szCs w:val="24"/>
          <w:lang w:val="en-GB"/>
        </w:rPr>
        <w:instrText xml:space="preserve"> ADDIN EN.CITE &lt;EndNote&gt;&lt;Cite&gt;&lt;Author&gt;Cambridge Cognition&lt;/Author&gt;&lt;Year&gt;2024&lt;/Year&gt;&lt;RecNum&gt;105&lt;/RecNum&gt;&lt;DisplayText&gt;(Cambridge Cognition, 2024)&lt;/DisplayText&gt;&lt;record&gt;&lt;rec-number&gt;105&lt;/rec-number&gt;&lt;foreign-keys&gt;&lt;key app="EN" db-id="z2a5t025q9s5wiexw2o5aaw5r25serzpder0" timestamp="1725359817"&gt;105&lt;/key&gt;&lt;/foreign-keys&gt;&lt;ref-type name="Web Page"&gt;12&lt;/ref-type&gt;&lt;contributors&gt;&lt;authors&gt;&lt;author&gt;Cambridge Cognition,&lt;/author&gt;&lt;/authors&gt;&lt;/contributors&gt;&lt;titles&gt;&lt;title&gt;Cambridge Neuropsychological Test Automated Battery&lt;/title&gt;&lt;/titles&gt;&lt;dates&gt;&lt;year&gt;2024&lt;/year&gt;&lt;/dates&gt;&lt;urls&gt;&lt;related-urls&gt;&lt;url&gt;https://www.cambridgecognition.com/cantab/&lt;/url&gt;&lt;/related-urls&gt;&lt;/urls&gt;&lt;/record&gt;&lt;/Cite&gt;&lt;/EndNote&gt;</w:instrText>
      </w:r>
      <w:r w:rsidR="00322E9D">
        <w:rPr>
          <w:rFonts w:ascii="Times New Roman" w:eastAsia="SimSun" w:hAnsi="Times New Roman" w:cs="Times New Roman"/>
          <w:kern w:val="24"/>
          <w:sz w:val="24"/>
          <w:szCs w:val="24"/>
          <w:lang w:val="en-GB"/>
        </w:rPr>
        <w:fldChar w:fldCharType="separate"/>
      </w:r>
      <w:r w:rsidR="00322E9D">
        <w:rPr>
          <w:rFonts w:ascii="Times New Roman" w:eastAsia="SimSun" w:hAnsi="Times New Roman" w:cs="Times New Roman"/>
          <w:noProof/>
          <w:kern w:val="24"/>
          <w:sz w:val="24"/>
          <w:szCs w:val="24"/>
          <w:lang w:val="en-GB"/>
        </w:rPr>
        <w:t>(Cambridge Cognition, 2024)</w:t>
      </w:r>
      <w:r w:rsidR="00322E9D">
        <w:rPr>
          <w:rFonts w:ascii="Times New Roman" w:eastAsia="SimSun" w:hAnsi="Times New Roman" w:cs="Times New Roman"/>
          <w:kern w:val="24"/>
          <w:sz w:val="24"/>
          <w:szCs w:val="24"/>
          <w:lang w:val="en-GB"/>
        </w:rPr>
        <w:fldChar w:fldCharType="end"/>
      </w:r>
      <w:r w:rsidRPr="00623D0C">
        <w:rPr>
          <w:rFonts w:ascii="Times New Roman" w:eastAsia="SimSun" w:hAnsi="Times New Roman" w:cs="Times New Roman"/>
          <w:kern w:val="24"/>
          <w:sz w:val="24"/>
          <w:szCs w:val="24"/>
          <w:lang w:val="en-GB"/>
        </w:rPr>
        <w:t xml:space="preserve">. CANTAB’s ability to discriminate between healthy and clinical populations was supported, although not specific enough to discern one cognitive function from another </w:t>
      </w:r>
      <w:r w:rsidRPr="00623D0C">
        <w:rPr>
          <w:rFonts w:ascii="Times New Roman" w:eastAsia="SimSun" w:hAnsi="Times New Roman" w:cs="Times New Roman"/>
          <w:kern w:val="24"/>
          <w:sz w:val="24"/>
          <w:szCs w:val="24"/>
          <w:lang w:val="en-GB"/>
        </w:rPr>
        <w:fldChar w:fldCharType="begin"/>
      </w:r>
      <w:r w:rsidRPr="00623D0C">
        <w:rPr>
          <w:rFonts w:ascii="Times New Roman" w:eastAsia="SimSun" w:hAnsi="Times New Roman" w:cs="Times New Roman"/>
          <w:kern w:val="24"/>
          <w:sz w:val="24"/>
          <w:szCs w:val="24"/>
          <w:lang w:val="en-GB"/>
        </w:rPr>
        <w:instrText xml:space="preserve"> ADDIN EN.CITE &lt;EndNote&gt;&lt;Cite&gt;&lt;Author&gt;Lenehan&lt;/Author&gt;&lt;Year&gt;2016&lt;/Year&gt;&lt;RecNum&gt;55&lt;/RecNum&gt;&lt;DisplayText&gt;(Lenehan et al., 2016)&lt;/DisplayText&gt;&lt;record&gt;&lt;rec-number&gt;55&lt;/rec-number&gt;&lt;foreign-keys&gt;&lt;key app="EN" db-id="z2a5t025q9s5wiexw2o5aaw5r25serzpder0" timestamp="1725359796"&gt;55&lt;/key&gt;&lt;/foreign-keys&gt;&lt;ref-type name="Journal Article"&gt;17&lt;/ref-type&gt;&lt;contributors&gt;&lt;authors&gt;&lt;author&gt;Lenehan, Megan E.&lt;/author&gt;&lt;author&gt;Summers, Mathew J.&lt;/author&gt;&lt;author&gt;Saunders, Nichole L.&lt;/author&gt;&lt;author&gt;Summers, Jeffery J.&lt;/author&gt;&lt;author&gt;Vickers, James C.&lt;/author&gt;&lt;/authors&gt;&lt;/contributors&gt;&lt;titles&gt;&lt;title&gt;Does the Cambridge Automated Neuropsychological Test Battery (CANTAB) Distinguish Between Cognitive Domains in Healthy Older Adults?&lt;/title&gt;&lt;secondary-title&gt;Assessment&lt;/secondary-title&gt;&lt;/titles&gt;&lt;periodical&gt;&lt;full-title&gt;Assessment&lt;/full-title&gt;&lt;/periodical&gt;&lt;pages&gt;163-172&lt;/pages&gt;&lt;volume&gt;23&lt;/volume&gt;&lt;number&gt;2&lt;/number&gt;&lt;keywords&gt;&lt;keyword&gt;Cambridge Neuropsychological Test Automated Battery,aging,dementia,neuropsychological,measurement validity,confirmatory factor analysis&lt;/keyword&gt;&lt;/keywords&gt;&lt;dates&gt;&lt;year&gt;2016&lt;/year&gt;&lt;/dates&gt;&lt;accession-num&gt;25882162&lt;/accession-num&gt;&lt;urls&gt;&lt;related-urls&gt;&lt;url&gt;https://journals.sagepub.com/doi/abs/10.1177/1073191115581474&lt;/url&gt;&lt;/related-urls&gt;&lt;/urls&gt;&lt;electronic-resource-num&gt;10.1177/1073191115581474&lt;/electronic-resource-num&gt;&lt;/record&gt;&lt;/Cite&gt;&lt;/EndNote&gt;</w:instrText>
      </w:r>
      <w:r w:rsidRPr="00623D0C">
        <w:rPr>
          <w:rFonts w:ascii="Times New Roman" w:eastAsia="SimSun" w:hAnsi="Times New Roman" w:cs="Times New Roman"/>
          <w:kern w:val="24"/>
          <w:sz w:val="24"/>
          <w:szCs w:val="24"/>
          <w:lang w:val="en-GB"/>
        </w:rPr>
        <w:fldChar w:fldCharType="separate"/>
      </w:r>
      <w:r w:rsidRPr="00623D0C">
        <w:rPr>
          <w:rFonts w:ascii="Times New Roman" w:eastAsia="SimSun" w:hAnsi="Times New Roman" w:cs="Times New Roman"/>
          <w:noProof/>
          <w:kern w:val="24"/>
          <w:sz w:val="24"/>
          <w:szCs w:val="24"/>
          <w:lang w:val="en-GB"/>
        </w:rPr>
        <w:t>(Lenehan et al., 2016)</w:t>
      </w:r>
      <w:r w:rsidRPr="00623D0C">
        <w:rPr>
          <w:rFonts w:ascii="Times New Roman" w:eastAsia="SimSun" w:hAnsi="Times New Roman" w:cs="Times New Roman"/>
          <w:kern w:val="24"/>
          <w:sz w:val="24"/>
          <w:szCs w:val="24"/>
          <w:lang w:val="en-GB"/>
        </w:rPr>
        <w:fldChar w:fldCharType="end"/>
      </w:r>
      <w:r w:rsidRPr="00623D0C">
        <w:rPr>
          <w:rFonts w:ascii="Times New Roman" w:eastAsia="SimSun" w:hAnsi="Times New Roman" w:cs="Times New Roman"/>
          <w:kern w:val="24"/>
          <w:sz w:val="24"/>
          <w:szCs w:val="24"/>
          <w:lang w:val="en-GB"/>
        </w:rPr>
        <w:t xml:space="preserve">.  For further comparisons of CANTAB with traditional neuropsychological tests, see </w:t>
      </w:r>
      <w:r w:rsidRPr="00623D0C">
        <w:rPr>
          <w:rFonts w:ascii="Times New Roman" w:eastAsia="SimSun" w:hAnsi="Times New Roman" w:cs="Times New Roman"/>
          <w:kern w:val="24"/>
          <w:sz w:val="24"/>
          <w:szCs w:val="24"/>
          <w:lang w:val="en-GB"/>
        </w:rPr>
        <w:fldChar w:fldCharType="begin">
          <w:fldData xml:space="preserve">PEVuZE5vdGU+PENpdGU+PEF1dGhvcj5MZW5laGFuPC9BdXRob3I+PFllYXI+MjAxNjwvWWVhcj48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</w:fldData>
        </w:fldChar>
      </w:r>
      <w:r w:rsidRPr="00623D0C">
        <w:rPr>
          <w:rFonts w:ascii="Times New Roman" w:eastAsia="SimSun" w:hAnsi="Times New Roman" w:cs="Times New Roman"/>
          <w:kern w:val="24"/>
          <w:sz w:val="24"/>
          <w:szCs w:val="24"/>
          <w:lang w:val="en-GB"/>
        </w:rPr>
        <w:instrText xml:space="preserve"> ADDIN EN.CITE </w:instrText>
      </w:r>
      <w:r w:rsidRPr="00623D0C">
        <w:rPr>
          <w:rFonts w:ascii="Times New Roman" w:eastAsia="SimSun" w:hAnsi="Times New Roman" w:cs="Times New Roman"/>
          <w:kern w:val="24"/>
          <w:sz w:val="24"/>
          <w:szCs w:val="24"/>
          <w:lang w:val="en-GB"/>
        </w:rPr>
        <w:fldChar w:fldCharType="begin">
          <w:fldData xml:space="preserve">PEVuZE5vdGU+PENpdGU+PEF1dGhvcj5MZW5laGFuPC9BdXRob3I+PFllYXI+MjAxNjwvWWVhcj48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</w:fldData>
        </w:fldChar>
      </w:r>
      <w:r w:rsidRPr="00623D0C">
        <w:rPr>
          <w:rFonts w:ascii="Times New Roman" w:eastAsia="SimSun" w:hAnsi="Times New Roman" w:cs="Times New Roman"/>
          <w:kern w:val="24"/>
          <w:sz w:val="24"/>
          <w:szCs w:val="24"/>
          <w:lang w:val="en-GB"/>
        </w:rPr>
        <w:instrText xml:space="preserve"> ADDIN EN.CITE.DATA </w:instrText>
      </w:r>
      <w:r w:rsidRPr="00623D0C">
        <w:rPr>
          <w:rFonts w:ascii="Times New Roman" w:eastAsia="SimSun" w:hAnsi="Times New Roman" w:cs="Times New Roman"/>
          <w:kern w:val="24"/>
          <w:sz w:val="24"/>
          <w:szCs w:val="24"/>
          <w:lang w:val="en-GB"/>
        </w:rPr>
      </w:r>
      <w:r w:rsidRPr="00623D0C">
        <w:rPr>
          <w:rFonts w:ascii="Times New Roman" w:eastAsia="SimSun" w:hAnsi="Times New Roman" w:cs="Times New Roman"/>
          <w:kern w:val="24"/>
          <w:sz w:val="24"/>
          <w:szCs w:val="24"/>
          <w:lang w:val="en-GB"/>
        </w:rPr>
        <w:fldChar w:fldCharType="end"/>
      </w:r>
      <w:r w:rsidRPr="00623D0C">
        <w:rPr>
          <w:rFonts w:ascii="Times New Roman" w:eastAsia="SimSun" w:hAnsi="Times New Roman" w:cs="Times New Roman"/>
          <w:kern w:val="24"/>
          <w:sz w:val="24"/>
          <w:szCs w:val="24"/>
          <w:lang w:val="en-GB"/>
        </w:rPr>
      </w:r>
      <w:r w:rsidRPr="00623D0C">
        <w:rPr>
          <w:rFonts w:ascii="Times New Roman" w:eastAsia="SimSun" w:hAnsi="Times New Roman" w:cs="Times New Roman"/>
          <w:kern w:val="24"/>
          <w:sz w:val="24"/>
          <w:szCs w:val="24"/>
          <w:lang w:val="en-GB"/>
        </w:rPr>
        <w:fldChar w:fldCharType="separate"/>
      </w:r>
      <w:r w:rsidRPr="00623D0C">
        <w:rPr>
          <w:rFonts w:ascii="Times New Roman" w:eastAsia="SimSun" w:hAnsi="Times New Roman" w:cs="Times New Roman"/>
          <w:noProof/>
          <w:kern w:val="24"/>
          <w:sz w:val="24"/>
          <w:szCs w:val="24"/>
          <w:lang w:val="en-GB"/>
        </w:rPr>
        <w:t>(Lenehan et al., 2016; Schulz-Heik et al., 2020; Smith et al., 2013)</w:t>
      </w:r>
      <w:r w:rsidRPr="00623D0C">
        <w:rPr>
          <w:rFonts w:ascii="Times New Roman" w:eastAsia="SimSun" w:hAnsi="Times New Roman" w:cs="Times New Roman"/>
          <w:kern w:val="24"/>
          <w:sz w:val="24"/>
          <w:szCs w:val="24"/>
          <w:lang w:val="en-GB"/>
        </w:rPr>
        <w:fldChar w:fldCharType="end"/>
      </w:r>
      <w:r w:rsidRPr="00623D0C">
        <w:rPr>
          <w:rFonts w:ascii="Times New Roman" w:eastAsia="SimSun" w:hAnsi="Times New Roman" w:cs="Times New Roman"/>
          <w:kern w:val="24"/>
          <w:sz w:val="24"/>
          <w:szCs w:val="24"/>
          <w:lang w:val="en-GB"/>
        </w:rPr>
        <w:t>.</w:t>
      </w:r>
    </w:p>
    <w:p w14:paraId="4630995C" w14:textId="77777777" w:rsidR="00E843A5" w:rsidRDefault="00E843A5" w:rsidP="006D56F4"/>
    <w:p w14:paraId="0AB483CB" w14:textId="67C0BD72" w:rsidR="00E843A5" w:rsidRDefault="003B2803" w:rsidP="003B2803">
      <w:pPr>
        <w:jc w:val="center"/>
      </w:pPr>
      <w:r>
        <w:t>References</w:t>
      </w:r>
    </w:p>
    <w:p w14:paraId="3410C937" w14:textId="2A944646" w:rsidR="00322E9D" w:rsidRPr="00322E9D" w:rsidRDefault="00E843A5" w:rsidP="00322E9D">
      <w:pPr>
        <w:pStyle w:val="EndNoteBibliography"/>
        <w:spacing w:after="0"/>
        <w:ind w:left="720" w:hanging="720"/>
      </w:pPr>
      <w:r>
        <w:fldChar w:fldCharType="begin"/>
      </w:r>
      <w:r>
        <w:instrText xml:space="preserve"> ADDIN EN.REFLIST </w:instrText>
      </w:r>
      <w:r>
        <w:fldChar w:fldCharType="separate"/>
      </w:r>
      <w:r w:rsidR="00322E9D" w:rsidRPr="00322E9D">
        <w:t xml:space="preserve">Cambridge Cognition. (2024). </w:t>
      </w:r>
      <w:r w:rsidR="00322E9D" w:rsidRPr="00322E9D">
        <w:rPr>
          <w:i/>
        </w:rPr>
        <w:t>Cambridge Neuropsychological Test Automated Battery</w:t>
      </w:r>
      <w:r w:rsidR="00322E9D" w:rsidRPr="00322E9D">
        <w:t xml:space="preserve">. </w:t>
      </w:r>
      <w:hyperlink r:id="rId9" w:history="1">
        <w:r w:rsidR="00322E9D" w:rsidRPr="00322E9D">
          <w:rPr>
            <w:rStyle w:val="Hyperlink"/>
          </w:rPr>
          <w:t>https://www.cambridgecognition.com/cantab/</w:t>
        </w:r>
      </w:hyperlink>
    </w:p>
    <w:p w14:paraId="09824F12" w14:textId="37D7DA19" w:rsidR="00322E9D" w:rsidRPr="00322E9D" w:rsidRDefault="00322E9D" w:rsidP="00322E9D">
      <w:pPr>
        <w:pStyle w:val="EndNoteBibliography"/>
        <w:spacing w:after="0"/>
        <w:ind w:left="720" w:hanging="720"/>
      </w:pPr>
      <w:r w:rsidRPr="00322E9D">
        <w:t xml:space="preserve">Germine, L., Reinecke, K., &amp; Chaytor, N. S. (2019). Digital neuropsychology: Challenges and opportunities at the intersection of science and software. </w:t>
      </w:r>
      <w:r w:rsidRPr="00322E9D">
        <w:rPr>
          <w:i/>
        </w:rPr>
        <w:t>The Clinical Neuropsychologist</w:t>
      </w:r>
      <w:r w:rsidRPr="00322E9D">
        <w:t>,</w:t>
      </w:r>
      <w:r w:rsidRPr="00322E9D">
        <w:rPr>
          <w:i/>
        </w:rPr>
        <w:t xml:space="preserve"> 33</w:t>
      </w:r>
      <w:r w:rsidRPr="00322E9D">
        <w:t xml:space="preserve">(2), 271-286. </w:t>
      </w:r>
      <w:hyperlink r:id="rId10" w:history="1">
        <w:r w:rsidRPr="00322E9D">
          <w:rPr>
            <w:rStyle w:val="Hyperlink"/>
          </w:rPr>
          <w:t>https://doi.org/10.1080/13854046.2018.1535662</w:t>
        </w:r>
      </w:hyperlink>
      <w:r w:rsidRPr="00322E9D">
        <w:t xml:space="preserve"> </w:t>
      </w:r>
    </w:p>
    <w:p w14:paraId="3C9540F3" w14:textId="22C9B2AD" w:rsidR="00322E9D" w:rsidRPr="00322E9D" w:rsidRDefault="00322E9D" w:rsidP="00322E9D">
      <w:pPr>
        <w:pStyle w:val="EndNoteBibliography"/>
        <w:spacing w:after="0"/>
        <w:ind w:left="720" w:hanging="720"/>
      </w:pPr>
      <w:r w:rsidRPr="00322E9D">
        <w:t xml:space="preserve">Lenehan, M. E., Summers, M. J., Saunders, N. L., Summers, J. J., &amp; Vickers, J. C. (2016). Does the Cambridge Automated Neuropsychological Test Battery (CANTAB) Distinguish Between Cognitive Domains in Healthy Older Adults? </w:t>
      </w:r>
      <w:r w:rsidRPr="00322E9D">
        <w:rPr>
          <w:i/>
        </w:rPr>
        <w:t>Assessment</w:t>
      </w:r>
      <w:r w:rsidRPr="00322E9D">
        <w:t>,</w:t>
      </w:r>
      <w:r w:rsidRPr="00322E9D">
        <w:rPr>
          <w:i/>
        </w:rPr>
        <w:t xml:space="preserve"> 23</w:t>
      </w:r>
      <w:r w:rsidRPr="00322E9D">
        <w:t xml:space="preserve">(2), 163-172. </w:t>
      </w:r>
      <w:hyperlink r:id="rId11" w:history="1">
        <w:r w:rsidRPr="00322E9D">
          <w:rPr>
            <w:rStyle w:val="Hyperlink"/>
          </w:rPr>
          <w:t>https://doi.org/10.1177/1073191115581474</w:t>
        </w:r>
      </w:hyperlink>
      <w:r w:rsidRPr="00322E9D">
        <w:t xml:space="preserve"> </w:t>
      </w:r>
    </w:p>
    <w:p w14:paraId="3EC8A514" w14:textId="5BAF0ACA" w:rsidR="00322E9D" w:rsidRPr="00322E9D" w:rsidRDefault="00322E9D" w:rsidP="00322E9D">
      <w:pPr>
        <w:pStyle w:val="EndNoteBibliography"/>
        <w:spacing w:after="0"/>
        <w:ind w:left="720" w:hanging="720"/>
      </w:pPr>
      <w:r w:rsidRPr="00322E9D">
        <w:t xml:space="preserve">Schulz-Heik, R. J., Fahimi, A., Durazzo, T. C., Friedman, M., &amp; Bayley, P. J. (2020). Evaluation of adding the CANTAB computerized neuropsychological assessment battery to a traditional battery in a tertiary care center for veterans. </w:t>
      </w:r>
      <w:r w:rsidRPr="00322E9D">
        <w:rPr>
          <w:i/>
        </w:rPr>
        <w:t>Applied Neuropsychology: Adult</w:t>
      </w:r>
      <w:r w:rsidRPr="00322E9D">
        <w:t>,</w:t>
      </w:r>
      <w:r w:rsidRPr="00322E9D">
        <w:rPr>
          <w:i/>
        </w:rPr>
        <w:t xml:space="preserve"> 27</w:t>
      </w:r>
      <w:r w:rsidRPr="00322E9D">
        <w:t xml:space="preserve">(3), 256-266. </w:t>
      </w:r>
      <w:hyperlink r:id="rId12" w:history="1">
        <w:r w:rsidRPr="00322E9D">
          <w:rPr>
            <w:rStyle w:val="Hyperlink"/>
          </w:rPr>
          <w:t>https://doi.org/10.1080/23279095.2018.1534735</w:t>
        </w:r>
      </w:hyperlink>
      <w:r w:rsidRPr="00322E9D">
        <w:t xml:space="preserve"> </w:t>
      </w:r>
    </w:p>
    <w:p w14:paraId="46E82A84" w14:textId="2A900A30" w:rsidR="00322E9D" w:rsidRPr="00322E9D" w:rsidRDefault="00322E9D" w:rsidP="00322E9D">
      <w:pPr>
        <w:pStyle w:val="EndNoteBibliography"/>
        <w:ind w:left="720" w:hanging="720"/>
      </w:pPr>
      <w:r w:rsidRPr="00322E9D">
        <w:t xml:space="preserve">Smith, P. J., Need, A. C., Cirulli, E. T., Chiba-Falek, O., &amp; Attix, D. K. (2013). A comparison of the Cambridge Automated Neuropsychological Test Battery (CANTAB) with “traditional” neuropsychological testing instruments. </w:t>
      </w:r>
      <w:r w:rsidRPr="00322E9D">
        <w:rPr>
          <w:i/>
        </w:rPr>
        <w:t>Journal of Clinical and Experimental Neuropsychology</w:t>
      </w:r>
      <w:r w:rsidRPr="00322E9D">
        <w:t>,</w:t>
      </w:r>
      <w:r w:rsidRPr="00322E9D">
        <w:rPr>
          <w:i/>
        </w:rPr>
        <w:t xml:space="preserve"> 35</w:t>
      </w:r>
      <w:r w:rsidRPr="00322E9D">
        <w:t xml:space="preserve">, 319-328. </w:t>
      </w:r>
      <w:hyperlink r:id="rId13" w:history="1">
        <w:r w:rsidRPr="00322E9D">
          <w:rPr>
            <w:rStyle w:val="Hyperlink"/>
          </w:rPr>
          <w:t>https://doi.org/10.1080/13803395.2013.771618</w:t>
        </w:r>
      </w:hyperlink>
      <w:r w:rsidRPr="00322E9D">
        <w:t xml:space="preserve"> </w:t>
      </w:r>
    </w:p>
    <w:p w14:paraId="0CAFFEA7" w14:textId="1FA98F38" w:rsidR="00F13BB2" w:rsidRPr="006D56F4" w:rsidRDefault="00E843A5" w:rsidP="006D56F4">
      <w:r>
        <w:fldChar w:fldCharType="end"/>
      </w:r>
    </w:p>
    <w:sectPr w:rsidR="00F13BB2" w:rsidRPr="006D56F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C43D2" w14:textId="77777777" w:rsidR="00623D0C" w:rsidRDefault="00623D0C" w:rsidP="00115E35">
      <w:pPr>
        <w:spacing w:after="0" w:line="240" w:lineRule="auto"/>
      </w:pPr>
      <w:r>
        <w:separator/>
      </w:r>
    </w:p>
  </w:endnote>
  <w:endnote w:type="continuationSeparator" w:id="0">
    <w:p w14:paraId="5F8F7547" w14:textId="77777777" w:rsidR="00623D0C" w:rsidRDefault="00623D0C" w:rsidP="00115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A6BFA0" w14:textId="77777777" w:rsidR="00623D0C" w:rsidRDefault="00623D0C" w:rsidP="00115E35">
      <w:pPr>
        <w:spacing w:after="0" w:line="240" w:lineRule="auto"/>
      </w:pPr>
      <w:r>
        <w:separator/>
      </w:r>
    </w:p>
  </w:footnote>
  <w:footnote w:type="continuationSeparator" w:id="0">
    <w:p w14:paraId="5AAD92A1" w14:textId="77777777" w:rsidR="00623D0C" w:rsidRDefault="00623D0C" w:rsidP="00115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A24851"/>
    <w:multiLevelType w:val="hybridMultilevel"/>
    <w:tmpl w:val="2FA087E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num w:numId="1" w16cid:durableId="57208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a5t025q9s5wiexw2o5aaw5r25serzpder0&quot;&gt;OHCA&lt;record-ids&gt;&lt;item&gt;43&lt;/item&gt;&lt;item&gt;55&lt;/item&gt;&lt;item&gt;85&lt;/item&gt;&lt;item&gt;87&lt;/item&gt;&lt;item&gt;105&lt;/item&gt;&lt;/record-ids&gt;&lt;/item&gt;&lt;/Libraries&gt;"/>
  </w:docVars>
  <w:rsids>
    <w:rsidRoot w:val="00623D0C"/>
    <w:rsid w:val="00032E72"/>
    <w:rsid w:val="00033327"/>
    <w:rsid w:val="0003435D"/>
    <w:rsid w:val="0003486B"/>
    <w:rsid w:val="000543DD"/>
    <w:rsid w:val="00115E35"/>
    <w:rsid w:val="001502F1"/>
    <w:rsid w:val="00174AE2"/>
    <w:rsid w:val="002A1263"/>
    <w:rsid w:val="00322E9D"/>
    <w:rsid w:val="003B2803"/>
    <w:rsid w:val="003C3083"/>
    <w:rsid w:val="00623D0C"/>
    <w:rsid w:val="00691EDE"/>
    <w:rsid w:val="006D56F4"/>
    <w:rsid w:val="00807DED"/>
    <w:rsid w:val="00931E05"/>
    <w:rsid w:val="00A72CF2"/>
    <w:rsid w:val="00BA13C9"/>
    <w:rsid w:val="00BE32A1"/>
    <w:rsid w:val="00CF6030"/>
    <w:rsid w:val="00E843A5"/>
    <w:rsid w:val="00E87314"/>
    <w:rsid w:val="00EE1CD7"/>
    <w:rsid w:val="00F13BB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F499D6"/>
  <w15:chartTrackingRefBased/>
  <w15:docId w15:val="{B9CEB563-FD7B-4A78-B83E-A2D9B9520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CD7"/>
  </w:style>
  <w:style w:type="paragraph" w:styleId="Overskrift1">
    <w:name w:val="heading 1"/>
    <w:basedOn w:val="Normal"/>
    <w:next w:val="Normal"/>
    <w:link w:val="Overskrift1Tegn"/>
    <w:uiPriority w:val="9"/>
    <w:qFormat/>
    <w:rsid w:val="00EE1CD7"/>
    <w:pPr>
      <w:keepNext/>
      <w:keepLines/>
      <w:spacing w:before="240" w:after="0"/>
      <w:outlineLvl w:val="0"/>
    </w:pPr>
    <w:rPr>
      <w:rFonts w:asciiTheme="majorHAnsi" w:eastAsiaTheme="majorEastAsia" w:hAnsiTheme="majorHAnsi" w:cstheme="majorBidi"/>
      <w:sz w:val="32"/>
      <w:szCs w:val="32"/>
    </w:rPr>
  </w:style>
  <w:style w:type="paragraph" w:styleId="Overskrift2">
    <w:name w:val="heading 2"/>
    <w:basedOn w:val="Normal"/>
    <w:next w:val="Normal"/>
    <w:link w:val="Overskrift2Tegn"/>
    <w:uiPriority w:val="9"/>
    <w:semiHidden/>
    <w:unhideWhenUsed/>
    <w:qFormat/>
    <w:rsid w:val="00EE1CD7"/>
    <w:pPr>
      <w:keepNext/>
      <w:keepLines/>
      <w:spacing w:before="40" w:after="0"/>
      <w:outlineLvl w:val="1"/>
    </w:pPr>
    <w:rPr>
      <w:rFonts w:asciiTheme="majorHAnsi" w:eastAsiaTheme="majorEastAsia" w:hAnsiTheme="majorHAnsi" w:cstheme="majorBidi"/>
      <w:sz w:val="26"/>
      <w:szCs w:val="26"/>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115E3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15E35"/>
  </w:style>
  <w:style w:type="paragraph" w:styleId="Sidefod">
    <w:name w:val="footer"/>
    <w:basedOn w:val="Normal"/>
    <w:link w:val="SidefodTegn"/>
    <w:uiPriority w:val="99"/>
    <w:unhideWhenUsed/>
    <w:rsid w:val="00115E3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15E35"/>
  </w:style>
  <w:style w:type="character" w:customStyle="1" w:styleId="Overskrift1Tegn">
    <w:name w:val="Overskrift 1 Tegn"/>
    <w:basedOn w:val="Standardskrifttypeiafsnit"/>
    <w:link w:val="Overskrift1"/>
    <w:uiPriority w:val="9"/>
    <w:rsid w:val="00EE1CD7"/>
    <w:rPr>
      <w:rFonts w:asciiTheme="majorHAnsi" w:eastAsiaTheme="majorEastAsia" w:hAnsiTheme="majorHAnsi" w:cstheme="majorBidi"/>
      <w:sz w:val="32"/>
      <w:szCs w:val="32"/>
    </w:rPr>
  </w:style>
  <w:style w:type="character" w:customStyle="1" w:styleId="Overskrift2Tegn">
    <w:name w:val="Overskrift 2 Tegn"/>
    <w:basedOn w:val="Standardskrifttypeiafsnit"/>
    <w:link w:val="Overskrift2"/>
    <w:uiPriority w:val="9"/>
    <w:semiHidden/>
    <w:rsid w:val="00EE1CD7"/>
    <w:rPr>
      <w:rFonts w:asciiTheme="majorHAnsi" w:eastAsiaTheme="majorEastAsia" w:hAnsiTheme="majorHAnsi" w:cstheme="majorBidi"/>
      <w:sz w:val="26"/>
      <w:szCs w:val="26"/>
    </w:rPr>
  </w:style>
  <w:style w:type="paragraph" w:styleId="Undertitel">
    <w:name w:val="Subtitle"/>
    <w:basedOn w:val="Normal"/>
    <w:next w:val="Normal"/>
    <w:link w:val="UndertitelTegn"/>
    <w:uiPriority w:val="11"/>
    <w:qFormat/>
    <w:rsid w:val="00EE1CD7"/>
    <w:pPr>
      <w:numPr>
        <w:ilvl w:val="1"/>
      </w:numPr>
    </w:pPr>
    <w:rPr>
      <w:rFonts w:eastAsiaTheme="minorEastAsia"/>
      <w:spacing w:val="15"/>
    </w:rPr>
  </w:style>
  <w:style w:type="character" w:customStyle="1" w:styleId="UndertitelTegn">
    <w:name w:val="Undertitel Tegn"/>
    <w:basedOn w:val="Standardskrifttypeiafsnit"/>
    <w:link w:val="Undertitel"/>
    <w:uiPriority w:val="11"/>
    <w:rsid w:val="00EE1CD7"/>
    <w:rPr>
      <w:rFonts w:eastAsiaTheme="minorEastAsia"/>
      <w:spacing w:val="15"/>
    </w:rPr>
  </w:style>
  <w:style w:type="character" w:styleId="Svagfremhvning">
    <w:name w:val="Subtle Emphasis"/>
    <w:basedOn w:val="Standardskrifttypeiafsnit"/>
    <w:uiPriority w:val="19"/>
    <w:qFormat/>
    <w:rsid w:val="00EE1CD7"/>
    <w:rPr>
      <w:i/>
      <w:iCs/>
      <w:color w:val="auto"/>
    </w:rPr>
  </w:style>
  <w:style w:type="character" w:styleId="Kraftigfremhvning">
    <w:name w:val="Intense Emphasis"/>
    <w:basedOn w:val="Standardskrifttypeiafsnit"/>
    <w:uiPriority w:val="21"/>
    <w:qFormat/>
    <w:rsid w:val="00EE1CD7"/>
    <w:rPr>
      <w:i/>
      <w:iCs/>
      <w:color w:val="auto"/>
    </w:rPr>
  </w:style>
  <w:style w:type="character" w:styleId="Fremhv">
    <w:name w:val="Emphasis"/>
    <w:basedOn w:val="Standardskrifttypeiafsnit"/>
    <w:uiPriority w:val="20"/>
    <w:qFormat/>
    <w:rsid w:val="00EE1CD7"/>
    <w:rPr>
      <w:i/>
      <w:iCs/>
    </w:rPr>
  </w:style>
  <w:style w:type="character" w:styleId="Strk">
    <w:name w:val="Strong"/>
    <w:basedOn w:val="Standardskrifttypeiafsnit"/>
    <w:uiPriority w:val="22"/>
    <w:qFormat/>
    <w:rsid w:val="00EE1CD7"/>
    <w:rPr>
      <w:b/>
      <w:bCs/>
    </w:rPr>
  </w:style>
  <w:style w:type="paragraph" w:styleId="Citat">
    <w:name w:val="Quote"/>
    <w:basedOn w:val="Normal"/>
    <w:next w:val="Normal"/>
    <w:link w:val="CitatTegn"/>
    <w:uiPriority w:val="29"/>
    <w:qFormat/>
    <w:rsid w:val="00EE1CD7"/>
    <w:pPr>
      <w:spacing w:before="200"/>
      <w:ind w:left="864" w:right="864"/>
      <w:jc w:val="center"/>
    </w:pPr>
    <w:rPr>
      <w:i/>
      <w:iCs/>
    </w:rPr>
  </w:style>
  <w:style w:type="character" w:customStyle="1" w:styleId="CitatTegn">
    <w:name w:val="Citat Tegn"/>
    <w:basedOn w:val="Standardskrifttypeiafsnit"/>
    <w:link w:val="Citat"/>
    <w:uiPriority w:val="29"/>
    <w:rsid w:val="00EE1CD7"/>
    <w:rPr>
      <w:i/>
      <w:iCs/>
    </w:rPr>
  </w:style>
  <w:style w:type="paragraph" w:styleId="Strktcitat">
    <w:name w:val="Intense Quote"/>
    <w:basedOn w:val="Normal"/>
    <w:next w:val="Normal"/>
    <w:link w:val="StrktcitatTegn"/>
    <w:uiPriority w:val="30"/>
    <w:qFormat/>
    <w:rsid w:val="00EE1CD7"/>
    <w:pPr>
      <w:pBdr>
        <w:top w:val="single" w:sz="4" w:space="10" w:color="auto"/>
        <w:bottom w:val="single" w:sz="4" w:space="10" w:color="auto"/>
      </w:pBdr>
      <w:spacing w:before="360" w:after="360"/>
      <w:ind w:left="864" w:right="864"/>
      <w:jc w:val="center"/>
    </w:pPr>
    <w:rPr>
      <w:i/>
      <w:iCs/>
    </w:rPr>
  </w:style>
  <w:style w:type="character" w:customStyle="1" w:styleId="StrktcitatTegn">
    <w:name w:val="Stærkt citat Tegn"/>
    <w:basedOn w:val="Standardskrifttypeiafsnit"/>
    <w:link w:val="Strktcitat"/>
    <w:uiPriority w:val="30"/>
    <w:rsid w:val="00EE1CD7"/>
    <w:rPr>
      <w:i/>
      <w:iCs/>
    </w:rPr>
  </w:style>
  <w:style w:type="character" w:styleId="Svaghenvisning">
    <w:name w:val="Subtle Reference"/>
    <w:basedOn w:val="Standardskrifttypeiafsnit"/>
    <w:uiPriority w:val="31"/>
    <w:qFormat/>
    <w:rsid w:val="00EE1CD7"/>
    <w:rPr>
      <w:smallCaps/>
      <w:color w:val="auto"/>
    </w:rPr>
  </w:style>
  <w:style w:type="character" w:styleId="Kraftighenvisning">
    <w:name w:val="Intense Reference"/>
    <w:basedOn w:val="Standardskrifttypeiafsnit"/>
    <w:uiPriority w:val="32"/>
    <w:qFormat/>
    <w:rsid w:val="00EE1CD7"/>
    <w:rPr>
      <w:b/>
      <w:bCs/>
      <w:smallCaps/>
      <w:color w:val="auto"/>
      <w:spacing w:val="5"/>
    </w:rPr>
  </w:style>
  <w:style w:type="character" w:styleId="Bogenstitel">
    <w:name w:val="Book Title"/>
    <w:basedOn w:val="Standardskrifttypeiafsnit"/>
    <w:uiPriority w:val="33"/>
    <w:qFormat/>
    <w:rsid w:val="00EE1CD7"/>
    <w:rPr>
      <w:b/>
      <w:bCs/>
      <w:i/>
      <w:iCs/>
      <w:spacing w:val="5"/>
    </w:rPr>
  </w:style>
  <w:style w:type="paragraph" w:styleId="Listeafsnit">
    <w:name w:val="List Paragraph"/>
    <w:basedOn w:val="Normal"/>
    <w:uiPriority w:val="34"/>
    <w:qFormat/>
    <w:rsid w:val="00EE1CD7"/>
    <w:pPr>
      <w:ind w:left="720"/>
      <w:contextualSpacing/>
    </w:pPr>
  </w:style>
  <w:style w:type="table" w:customStyle="1" w:styleId="Tabel-Gitter3">
    <w:name w:val="Tabel - Gitter3"/>
    <w:basedOn w:val="Tabel-Normal"/>
    <w:next w:val="Tabel-Gitter"/>
    <w:uiPriority w:val="39"/>
    <w:rsid w:val="00623D0C"/>
    <w:pPr>
      <w:spacing w:after="0" w:line="240" w:lineRule="auto"/>
    </w:pPr>
    <w:rPr>
      <w:rFonts w:eastAsia="Calibr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
    <w:name w:val="Table Grid"/>
    <w:basedOn w:val="Tabel-Normal"/>
    <w:uiPriority w:val="39"/>
    <w:rsid w:val="00623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Tegn"/>
    <w:rsid w:val="00E843A5"/>
    <w:pPr>
      <w:spacing w:after="0"/>
      <w:jc w:val="center"/>
    </w:pPr>
    <w:rPr>
      <w:rFonts w:ascii="Arial" w:hAnsi="Arial" w:cs="Arial"/>
      <w:noProof/>
      <w:lang w:val="en-US"/>
    </w:rPr>
  </w:style>
  <w:style w:type="character" w:customStyle="1" w:styleId="EndNoteBibliographyTitleTegn">
    <w:name w:val="EndNote Bibliography Title Tegn"/>
    <w:basedOn w:val="Standardskrifttypeiafsnit"/>
    <w:link w:val="EndNoteBibliographyTitle"/>
    <w:rsid w:val="00E843A5"/>
    <w:rPr>
      <w:rFonts w:ascii="Arial" w:hAnsi="Arial" w:cs="Arial"/>
      <w:noProof/>
      <w:lang w:val="en-US"/>
    </w:rPr>
  </w:style>
  <w:style w:type="paragraph" w:customStyle="1" w:styleId="EndNoteBibliography">
    <w:name w:val="EndNote Bibliography"/>
    <w:basedOn w:val="Normal"/>
    <w:link w:val="EndNoteBibliographyTegn"/>
    <w:rsid w:val="00E843A5"/>
    <w:pPr>
      <w:spacing w:line="240" w:lineRule="auto"/>
    </w:pPr>
    <w:rPr>
      <w:rFonts w:ascii="Arial" w:hAnsi="Arial" w:cs="Arial"/>
      <w:noProof/>
      <w:lang w:val="en-US"/>
    </w:rPr>
  </w:style>
  <w:style w:type="character" w:customStyle="1" w:styleId="EndNoteBibliographyTegn">
    <w:name w:val="EndNote Bibliography Tegn"/>
    <w:basedOn w:val="Standardskrifttypeiafsnit"/>
    <w:link w:val="EndNoteBibliography"/>
    <w:rsid w:val="00E843A5"/>
    <w:rPr>
      <w:rFonts w:ascii="Arial" w:hAnsi="Arial" w:cs="Arial"/>
      <w:noProof/>
      <w:lang w:val="en-US"/>
    </w:rPr>
  </w:style>
  <w:style w:type="character" w:styleId="Hyperlink">
    <w:name w:val="Hyperlink"/>
    <w:basedOn w:val="Standardskrifttypeiafsnit"/>
    <w:uiPriority w:val="99"/>
    <w:unhideWhenUsed/>
    <w:rsid w:val="00E843A5"/>
    <w:rPr>
      <w:color w:val="0563C1" w:themeColor="hyperlink"/>
      <w:u w:val="single"/>
    </w:rPr>
  </w:style>
  <w:style w:type="character" w:styleId="Ulstomtale">
    <w:name w:val="Unresolved Mention"/>
    <w:basedOn w:val="Standardskrifttypeiafsnit"/>
    <w:uiPriority w:val="99"/>
    <w:semiHidden/>
    <w:unhideWhenUsed/>
    <w:rsid w:val="00E843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80/13803395.2013.771618"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080/23279095.2018.153473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77/107319111558147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i.org/10.1080/13854046.2018.1535662" TargetMode="External"/><Relationship Id="rId4" Type="http://schemas.openxmlformats.org/officeDocument/2006/relationships/styles" Target="styles.xml"/><Relationship Id="rId9" Type="http://schemas.openxmlformats.org/officeDocument/2006/relationships/hyperlink" Target="https://www.cambridgecognition.com/cantab/"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ieghorst\AppData\Local\Temp\1\Templafy\WordVsto\fzdiz3ib.dotx" TargetMode="External"/></Relationships>
</file>

<file path=word/theme/theme1.xml><?xml version="1.0" encoding="utf-8"?>
<a:theme xmlns:a="http://schemas.openxmlformats.org/drawingml/2006/main" name="SDU">
  <a:themeElements>
    <a:clrScheme name="SDU">
      <a:dk1>
        <a:srgbClr val="000000"/>
      </a:dk1>
      <a:lt1>
        <a:sysClr val="window" lastClr="FFFFFF"/>
      </a:lt1>
      <a:dk2>
        <a:srgbClr val="7A6040"/>
      </a:dk2>
      <a:lt2>
        <a:srgbClr val="DDCBA4"/>
      </a:lt2>
      <a:accent1>
        <a:srgbClr val="AEB862"/>
      </a:accent1>
      <a:accent2>
        <a:srgbClr val="789D4A"/>
      </a:accent2>
      <a:accent3>
        <a:srgbClr val="F2C75C"/>
      </a:accent3>
      <a:accent4>
        <a:srgbClr val="E07E3C"/>
      </a:accent4>
      <a:accent5>
        <a:srgbClr val="E1BBB4"/>
      </a:accent5>
      <a:accent6>
        <a:srgbClr val="D05A57"/>
      </a:accent6>
      <a:hlink>
        <a:srgbClr val="0563C1"/>
      </a:hlink>
      <a:folHlink>
        <a:srgbClr val="954F72"/>
      </a:folHlink>
    </a:clrScheme>
    <a:fontScheme name="SD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solidFill>
            <a:schemeClr val="accent1"/>
          </a:solidFill>
        </a:ln>
      </a:spPr>
      <a:bodyPr lIns="72000" tIns="72000" rIns="72000" bIns="72000" rtlCol="0" anchor="ctr"/>
      <a:lstStyle>
        <a:defPPr algn="ctr">
          <a:defRPr sz="1600" dirty="0" err="1"/>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1600" dirty="0" err="1"/>
        </a:defPPr>
      </a:lstStyle>
    </a:txDef>
  </a:objectDefaults>
  <a:extraClrSchemeLst/>
  <a:custClrLst>
    <a:custClr name="Grøn 1">
      <a:srgbClr val="4E5B31"/>
    </a:custClr>
    <a:custClr name="Grøn 2">
      <a:srgbClr val="789D4A"/>
    </a:custClr>
    <a:custClr name="Grøn 3">
      <a:srgbClr val="AEB862"/>
    </a:custClr>
    <a:custClr name="Grøn 4">
      <a:srgbClr val="EAE7B9"/>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1">
      <a:srgbClr val="D38235"/>
    </a:custClr>
    <a:custClr name="Orange 2">
      <a:srgbClr val="E0A526"/>
    </a:custClr>
    <a:custClr name="Orange 3">
      <a:srgbClr val="EED484"/>
    </a:custClr>
    <a:custClr name="Orange 4">
      <a:srgbClr val="FCF0C4"/>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Rød 1">
      <a:srgbClr val="862633"/>
    </a:custClr>
    <a:custClr name="Rød 2">
      <a:srgbClr val="D05A57"/>
    </a:custClr>
    <a:custClr name="Rød 3">
      <a:srgbClr val="E1BBB4"/>
    </a:custClr>
    <a:custClr name="Rød 4">
      <a:srgbClr val="F4E2D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run 1">
      <a:srgbClr val="473729"/>
    </a:custClr>
    <a:custClr name="Brun 2">
      <a:srgbClr val="946037"/>
    </a:custClr>
    <a:custClr name="Brun 3">
      <a:srgbClr val="DDCBA4"/>
    </a:custClr>
    <a:custClr name="Brun 4">
      <a:srgbClr val="EFE5D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Sort">
      <a:srgbClr val="000000"/>
    </a:custClr>
    <a:custClr name="Hvid">
      <a:srgbClr val="FFFFFF"/>
    </a:custClr>
  </a:custClrLst>
  <a:extLst>
    <a:ext uri="{05A4C25C-085E-4340-85A3-A5531E510DB2}">
      <thm15:themeFamily xmlns:thm15="http://schemas.microsoft.com/office/thememl/2012/main" name="SDU" id="{DE6ED73B-E157-4C0D-B072-864F00008F05}" vid="{42B93E90-1664-416E-ACDB-AE723854CF6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k","templateDescription":"","enableDocumentContentUpdater":false,"version":"2.0"}]]></TemplafyTemplateConfiguration>
</file>

<file path=customXml/itemProps1.xml><?xml version="1.0" encoding="utf-8"?>
<ds:datastoreItem xmlns:ds="http://schemas.openxmlformats.org/officeDocument/2006/customXml" ds:itemID="{4438C9D5-CA01-495F-81BB-547FFFD0DF0C}">
  <ds:schemaRefs/>
</ds:datastoreItem>
</file>

<file path=customXml/itemProps2.xml><?xml version="1.0" encoding="utf-8"?>
<ds:datastoreItem xmlns:ds="http://schemas.openxmlformats.org/officeDocument/2006/customXml" ds:itemID="{4AB8C649-791A-43C6-B77A-F03E4A584C2B}">
  <ds:schemaRefs/>
</ds:datastoreItem>
</file>

<file path=docProps/app.xml><?xml version="1.0" encoding="utf-8"?>
<Properties xmlns="http://schemas.openxmlformats.org/officeDocument/2006/extended-properties" xmlns:vt="http://schemas.openxmlformats.org/officeDocument/2006/docPropsVTypes">
  <Template>fzdiz3ib.dotx</Template>
  <TotalTime>9</TotalTime>
  <Pages>2</Pages>
  <Words>469</Words>
  <Characters>6417</Characters>
  <Application>Microsoft Office Word</Application>
  <DocSecurity>0</DocSecurity>
  <Lines>291</Lines>
  <Paragraphs>208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Wieghorst</dc:creator>
  <cp:keywords/>
  <dc:description/>
  <cp:lastModifiedBy>Anders Wieghorst</cp:lastModifiedBy>
  <cp:revision>6</cp:revision>
  <dcterms:created xsi:type="dcterms:W3CDTF">2024-09-13T11:36:00Z</dcterms:created>
  <dcterms:modified xsi:type="dcterms:W3CDTF">2024-09-13T11:45:00Z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sdu</vt:lpwstr>
  </property>
  <property fmtid="{D5CDD505-2E9C-101B-9397-08002B2CF9AE}" pid="3" name="TemplafyTemplateId">
    <vt:lpwstr>991143041190330490</vt:lpwstr>
  </property>
  <property fmtid="{D5CDD505-2E9C-101B-9397-08002B2CF9AE}" pid="4" name="TemplafyUserProfileId">
    <vt:lpwstr>637830419512156075</vt:lpwstr>
  </property>
  <property fmtid="{D5CDD505-2E9C-101B-9397-08002B2CF9AE}" pid="5" name="TemplafyLanguageCode">
    <vt:lpwstr>da-DK</vt:lpwstr>
  </property>
  <property fmtid="{D5CDD505-2E9C-101B-9397-08002B2CF9AE}" pid="6" name="TemplafyFromBlank">
    <vt:bool>true</vt:bool>
  </property>
  <property fmtid="{D5CDD505-2E9C-101B-9397-08002B2CF9AE}" pid="7" name="GrammarlyDocumentId">
    <vt:lpwstr>472a25b5-9fc4-4961-9c57-ea01dd6c6be6</vt:lpwstr>
  </property>
</Properties>
</file>