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BF1C8" w14:textId="29A746B3" w:rsidR="006E4D56" w:rsidRPr="007E23BF" w:rsidRDefault="006E4D56" w:rsidP="006E4D5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Appendix 4. </w:t>
      </w:r>
      <w:r w:rsidRPr="007E23BF">
        <w:rPr>
          <w:b/>
          <w:bCs/>
          <w:sz w:val="24"/>
          <w:szCs w:val="24"/>
          <w:u w:val="single"/>
        </w:rPr>
        <w:t>Quality Appraisal Scales</w:t>
      </w:r>
    </w:p>
    <w:p w14:paraId="0E67815E" w14:textId="50E44F49" w:rsidR="006E4D56" w:rsidRPr="00387674" w:rsidRDefault="006E4D56" w:rsidP="006E4D56">
      <w:pPr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</w:pPr>
      <w:r w:rsidRPr="00387674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  <w:t>4.1. Newcastle – Ottawa Quality Assessment Scale</w:t>
      </w:r>
      <w:r w:rsidRPr="00387674"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  <w:t xml:space="preserve"> – Cohort Studies:</w:t>
      </w:r>
    </w:p>
    <w:tbl>
      <w:tblPr>
        <w:tblW w:w="1019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409"/>
        <w:gridCol w:w="6237"/>
        <w:gridCol w:w="1134"/>
      </w:tblGrid>
      <w:tr w:rsidR="006E4D56" w:rsidRPr="00E938C9" w14:paraId="6596210A" w14:textId="77777777" w:rsidTr="006B3A01">
        <w:trPr>
          <w:trHeight w:val="169"/>
          <w:jc w:val="center"/>
        </w:trPr>
        <w:tc>
          <w:tcPr>
            <w:tcW w:w="10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AA26E" w14:textId="77777777" w:rsidR="006E4D56" w:rsidRPr="00B54FA2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1"/>
                <w:szCs w:val="21"/>
                <w:lang w:val="en-GB" w:eastAsia="en-GB"/>
              </w:rPr>
            </w:pPr>
            <w:r w:rsidRPr="00B54FA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en-GB"/>
              </w:rPr>
              <w:t>Newcastle – Ottawa Quality Assessment Scale</w:t>
            </w:r>
            <w:r w:rsidRPr="00B54FA2">
              <w:rPr>
                <w:rFonts w:ascii="Calibri" w:eastAsia="Times New Roman" w:hAnsi="Calibri" w:cs="Calibri"/>
                <w:b/>
                <w:bCs/>
                <w:sz w:val="21"/>
                <w:szCs w:val="21"/>
                <w:lang w:val="en-GB" w:eastAsia="en-GB"/>
              </w:rPr>
              <w:t xml:space="preserve"> – Cohort Studies</w:t>
            </w:r>
            <w:r w:rsidRPr="00B54FA2">
              <w:rPr>
                <w:rFonts w:ascii="Calibri" w:eastAsia="Times New Roman" w:hAnsi="Calibri" w:cs="Calibri"/>
                <w:sz w:val="21"/>
                <w:szCs w:val="21"/>
                <w:lang w:val="en-GB" w:eastAsia="en-GB"/>
              </w:rPr>
              <w:t>  </w:t>
            </w:r>
          </w:p>
        </w:tc>
      </w:tr>
      <w:tr w:rsidR="006E4D56" w:rsidRPr="00E938C9" w14:paraId="00752A3F" w14:textId="77777777" w:rsidTr="0079091C">
        <w:trPr>
          <w:trHeight w:val="405"/>
          <w:jc w:val="center"/>
        </w:trPr>
        <w:tc>
          <w:tcPr>
            <w:tcW w:w="9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E569F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48CDF15F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val="en-GB" w:eastAsia="en-GB"/>
              </w:rPr>
              <w:t>Quality Criterion</w:t>
            </w: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1FB19AA9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7145E" w14:textId="77777777" w:rsidR="006E4D56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val="en-GB" w:eastAsia="en-GB"/>
              </w:rPr>
            </w:pPr>
          </w:p>
          <w:p w14:paraId="0825453A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val="en-GB" w:eastAsia="en-GB"/>
              </w:rPr>
              <w:t>Points available</w:t>
            </w: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18DD64EA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E938C9" w14:paraId="5F71E194" w14:textId="77777777" w:rsidTr="006B3A01">
        <w:trPr>
          <w:trHeight w:val="188"/>
          <w:jc w:val="center"/>
        </w:trPr>
        <w:tc>
          <w:tcPr>
            <w:tcW w:w="9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26012" w14:textId="77777777" w:rsidR="006E4D56" w:rsidRPr="00E938C9" w:rsidRDefault="006E4D56" w:rsidP="006B3A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Selection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C5A52" w14:textId="77777777" w:rsidR="006E4D56" w:rsidRPr="00E938C9" w:rsidRDefault="006E4D56" w:rsidP="0051108E">
            <w:pPr>
              <w:spacing w:after="0" w:line="240" w:lineRule="auto"/>
              <w:ind w:left="72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E938C9" w14:paraId="273AA63C" w14:textId="77777777" w:rsidTr="0079091C">
        <w:trPr>
          <w:trHeight w:val="4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7CEA5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F6EA7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NOS - Representativeness of the exposed cohort </w:t>
            </w:r>
          </w:p>
          <w:p w14:paraId="3574C6EC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025CC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a) truly representative of the average population in the community * </w:t>
            </w:r>
          </w:p>
          <w:p w14:paraId="0CB6E9B1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b) somewhat representative of the average population in the community * </w:t>
            </w:r>
          </w:p>
          <w:p w14:paraId="602FD1F6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c) selected group of users e.g., nurses, volunteers </w:t>
            </w:r>
          </w:p>
          <w:p w14:paraId="2596C015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d) no description of the derivation of the cohort </w:t>
            </w:r>
          </w:p>
          <w:p w14:paraId="2353A6D2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5B337AD0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Item is assessing representative of people with premenstrual disorders in the community not the representativeness of the sample of women from some general population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B6410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2 </w:t>
            </w:r>
          </w:p>
        </w:tc>
      </w:tr>
      <w:tr w:rsidR="006E4D56" w:rsidRPr="00E938C9" w14:paraId="2E842651" w14:textId="77777777" w:rsidTr="0079091C">
        <w:trPr>
          <w:trHeight w:val="52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081F45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45AE2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NOS - Selection of the non-exposed cohort </w:t>
            </w:r>
          </w:p>
          <w:p w14:paraId="163F4827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BFAE8D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a) drawn from the same community as the exposed cohort * </w:t>
            </w:r>
          </w:p>
          <w:p w14:paraId="18981B69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b) drawn from a different source  </w:t>
            </w:r>
          </w:p>
          <w:p w14:paraId="1E6049DD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c) no description of the derivation of the non-exposed cohort</w:t>
            </w: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ab/>
              <w:t>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E5808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1 </w:t>
            </w:r>
          </w:p>
        </w:tc>
      </w:tr>
      <w:tr w:rsidR="006E4D56" w:rsidRPr="00E938C9" w14:paraId="481BBAE5" w14:textId="77777777" w:rsidTr="0079091C">
        <w:trPr>
          <w:trHeight w:val="67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EAB33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A78BB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NOS - Ascertainment of exposure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B6500F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a) secure record (e.g. surgical records) * </w:t>
            </w:r>
          </w:p>
          <w:p w14:paraId="342A3D25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b) structured interview * </w:t>
            </w:r>
          </w:p>
          <w:p w14:paraId="53788B48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c) written self-report  </w:t>
            </w:r>
          </w:p>
          <w:p w14:paraId="52843700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d) no description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3EDFC8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2 </w:t>
            </w:r>
          </w:p>
        </w:tc>
      </w:tr>
      <w:tr w:rsidR="006E4D56" w:rsidRPr="00E938C9" w14:paraId="4BCF3B39" w14:textId="77777777" w:rsidTr="0079091C">
        <w:trPr>
          <w:trHeight w:val="67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DC8B8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A1967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NOS - Demonstration that outcome of interest was not present at start of study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5D673F" w14:textId="77777777" w:rsidR="006E4D56" w:rsidRDefault="006E4D56" w:rsidP="006E4D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ED667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Yes * </w:t>
            </w:r>
          </w:p>
          <w:p w14:paraId="584ECC21" w14:textId="77777777" w:rsidR="006E4D56" w:rsidRPr="00ED6671" w:rsidRDefault="006E4D56" w:rsidP="006E4D5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ED667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9EB92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</w:t>
            </w:r>
          </w:p>
        </w:tc>
      </w:tr>
      <w:tr w:rsidR="006E4D56" w:rsidRPr="00E938C9" w14:paraId="398AEF3A" w14:textId="77777777" w:rsidTr="006B3A01">
        <w:trPr>
          <w:trHeight w:val="156"/>
          <w:jc w:val="center"/>
        </w:trPr>
        <w:tc>
          <w:tcPr>
            <w:tcW w:w="9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FC4DC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Comparability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D00CE2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E938C9" w14:paraId="7351ADEC" w14:textId="77777777" w:rsidTr="0079091C">
        <w:trPr>
          <w:trHeight w:val="67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085598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873AC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NOS - Comparability of cohorts </w:t>
            </w:r>
            <w:proofErr w:type="gramStart"/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on the basis of</w:t>
            </w:r>
            <w:proofErr w:type="gramEnd"/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the design or analysis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A63F5" w14:textId="77777777" w:rsidR="006E4D56" w:rsidRDefault="006E4D56" w:rsidP="006E4D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844C4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study controls for premenstrual disorder symptoms * </w:t>
            </w:r>
          </w:p>
          <w:p w14:paraId="6EA952A4" w14:textId="77777777" w:rsidR="006E4D56" w:rsidRPr="00844C41" w:rsidRDefault="006E4D56" w:rsidP="006E4D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844C41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study controls for any additional factor * (e.g., age or other important factors) </w:t>
            </w:r>
          </w:p>
          <w:p w14:paraId="70D456F6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1D18FF19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Either exposed and non-exposed individuals must be matched in the design and/or confounders must be adjusted for in the analysis. Statements of no differences between groups or that differences were not statistically significant are not sufficient for establishing comparability.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F32EE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2 </w:t>
            </w:r>
          </w:p>
        </w:tc>
      </w:tr>
      <w:tr w:rsidR="006E4D56" w:rsidRPr="00E938C9" w14:paraId="1BEE19F7" w14:textId="77777777" w:rsidTr="006B3A01">
        <w:trPr>
          <w:trHeight w:val="188"/>
          <w:jc w:val="center"/>
        </w:trPr>
        <w:tc>
          <w:tcPr>
            <w:tcW w:w="9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A324B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Outcome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82EF5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E938C9" w14:paraId="5265E171" w14:textId="77777777" w:rsidTr="0079091C">
        <w:trPr>
          <w:trHeight w:val="450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6CB9C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1. 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DDFF6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NOS - Assessment of outcome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5B45C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a) independent blind assessment *  </w:t>
            </w:r>
          </w:p>
          <w:p w14:paraId="51051F03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b) record linkage * </w:t>
            </w:r>
          </w:p>
          <w:p w14:paraId="4C839E04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c) self-report (no ref. to original medical record to confirm outcome)  </w:t>
            </w:r>
          </w:p>
          <w:p w14:paraId="7051D6D1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d) no description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B0830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2 </w:t>
            </w:r>
          </w:p>
        </w:tc>
      </w:tr>
      <w:tr w:rsidR="006E4D56" w:rsidRPr="00E938C9" w14:paraId="1809D56C" w14:textId="77777777" w:rsidTr="0079091C">
        <w:trPr>
          <w:trHeight w:val="690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869B3F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2. 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E88A5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NOS - Was follow-up long enough for outcomes to occur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CE3BA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a) yes (at least 1 month) * </w:t>
            </w:r>
          </w:p>
          <w:p w14:paraId="754942D7" w14:textId="5438F09B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b) no 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61E01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1 </w:t>
            </w:r>
          </w:p>
        </w:tc>
      </w:tr>
      <w:tr w:rsidR="006E4D56" w:rsidRPr="00E938C9" w14:paraId="2C2830CA" w14:textId="77777777" w:rsidTr="0079091C">
        <w:trPr>
          <w:trHeight w:val="690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4D4788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3. 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BE0831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NOS - Adequacy of follow up of cohorts 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D2D32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a) complete follow up - all subjects accounted for *   </w:t>
            </w:r>
          </w:p>
          <w:p w14:paraId="2FCBB87F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b) subjects lost to follow up unlikely to introduce bias * small number lost - &gt; ____ % (select an adequate %) follow up, or description provided of those lost)   </w:t>
            </w:r>
          </w:p>
          <w:p w14:paraId="3571B81A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c) follow up rate &lt; ____% (select an adequate %) and no description of those lost  </w:t>
            </w:r>
          </w:p>
          <w:p w14:paraId="66B0A0B9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d) no statement </w:t>
            </w:r>
          </w:p>
          <w:p w14:paraId="2112CCE6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694B5869" w14:textId="77777777" w:rsidR="006E4D56" w:rsidRPr="00E938C9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This item assesses the follow-up of the exposed and non-exposed cohorts to ensure that losses are not related to either the exposure or the outcome.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BB194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2 </w:t>
            </w:r>
          </w:p>
        </w:tc>
      </w:tr>
      <w:tr w:rsidR="006E4D56" w:rsidRPr="00E938C9" w14:paraId="6FD99BDC" w14:textId="77777777" w:rsidTr="0079091C">
        <w:trPr>
          <w:trHeight w:val="165"/>
          <w:jc w:val="center"/>
        </w:trPr>
        <w:tc>
          <w:tcPr>
            <w:tcW w:w="9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0B1D7" w14:textId="48EC8DAB" w:rsidR="006E4D56" w:rsidRPr="00E938C9" w:rsidRDefault="006E4D56" w:rsidP="006B3A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E938C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Score – NOS Cohort items</w:t>
            </w:r>
            <w:r w:rsidRPr="00E938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339B5" w14:textId="77777777" w:rsidR="006E4D56" w:rsidRPr="00E938C9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val="en-GB" w:eastAsia="en-GB"/>
              </w:rPr>
            </w:pPr>
            <w:r w:rsidRPr="00ED6671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val="en-GB" w:eastAsia="en-GB"/>
              </w:rPr>
              <w:t>/9</w:t>
            </w:r>
          </w:p>
        </w:tc>
      </w:tr>
    </w:tbl>
    <w:p w14:paraId="4969F13D" w14:textId="7F77EB42" w:rsidR="006E4D56" w:rsidRPr="00A77F77" w:rsidRDefault="006E4D56" w:rsidP="006E4D56">
      <w:pPr>
        <w:rPr>
          <w:i/>
          <w:iCs/>
          <w:sz w:val="24"/>
          <w:szCs w:val="24"/>
          <w:u w:val="single"/>
        </w:rPr>
      </w:pPr>
      <w:r w:rsidRPr="00A77F77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  <w:lastRenderedPageBreak/>
        <w:t>4.2. Newcastle – Ottawa Quality Assessment Scale</w:t>
      </w:r>
      <w:r w:rsidRPr="00A77F77"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  <w:t xml:space="preserve"> – Case Control Studies:</w:t>
      </w:r>
    </w:p>
    <w:tbl>
      <w:tblPr>
        <w:tblStyle w:val="TableGrid"/>
        <w:tblpPr w:leftFromText="180" w:rightFromText="180" w:vertAnchor="page" w:horzAnchor="margin" w:tblpXSpec="center" w:tblpY="2266"/>
        <w:tblW w:w="10060" w:type="dxa"/>
        <w:tblLook w:val="04A0" w:firstRow="1" w:lastRow="0" w:firstColumn="1" w:lastColumn="0" w:noHBand="0" w:noVBand="1"/>
      </w:tblPr>
      <w:tblGrid>
        <w:gridCol w:w="570"/>
        <w:gridCol w:w="2415"/>
        <w:gridCol w:w="5941"/>
        <w:gridCol w:w="1134"/>
      </w:tblGrid>
      <w:tr w:rsidR="006E4D56" w14:paraId="5A64C3AB" w14:textId="77777777" w:rsidTr="0088093A">
        <w:trPr>
          <w:trHeight w:val="274"/>
        </w:trPr>
        <w:tc>
          <w:tcPr>
            <w:tcW w:w="10060" w:type="dxa"/>
            <w:gridSpan w:val="4"/>
          </w:tcPr>
          <w:p w14:paraId="5F40F786" w14:textId="6C148BB0" w:rsidR="006E4D56" w:rsidRPr="006B3A01" w:rsidRDefault="006E4D56" w:rsidP="006B3A01">
            <w:pPr>
              <w:jc w:val="center"/>
              <w:rPr>
                <w:b/>
                <w:bCs/>
                <w:sz w:val="21"/>
                <w:szCs w:val="21"/>
              </w:rPr>
            </w:pPr>
            <w:r w:rsidRPr="00B54FA2">
              <w:rPr>
                <w:b/>
                <w:bCs/>
                <w:sz w:val="21"/>
                <w:szCs w:val="21"/>
              </w:rPr>
              <w:t>Newcastle – Ottawa Quality Assessment Scale – Case Control Studies</w:t>
            </w:r>
          </w:p>
        </w:tc>
      </w:tr>
      <w:tr w:rsidR="006E4D56" w:rsidRPr="001B780D" w14:paraId="227B4E55" w14:textId="77777777" w:rsidTr="0088093A">
        <w:trPr>
          <w:trHeight w:val="416"/>
        </w:trPr>
        <w:tc>
          <w:tcPr>
            <w:tcW w:w="8926" w:type="dxa"/>
            <w:gridSpan w:val="3"/>
          </w:tcPr>
          <w:p w14:paraId="0752B406" w14:textId="77777777" w:rsidR="006B3A01" w:rsidRDefault="006B3A01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66B3663D" w14:textId="6B3FBD6B" w:rsidR="006E4D56" w:rsidRPr="001B780D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483D01E6">
              <w:rPr>
                <w:b/>
                <w:bCs/>
                <w:sz w:val="20"/>
                <w:szCs w:val="20"/>
                <w:u w:val="single"/>
              </w:rPr>
              <w:t>Quality Criterion</w:t>
            </w:r>
          </w:p>
          <w:p w14:paraId="0B661A50" w14:textId="77777777" w:rsidR="006E4D56" w:rsidRPr="001B780D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119105D3" w14:textId="77777777" w:rsidR="006B3A01" w:rsidRDefault="006B3A01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670C34F8" w14:textId="0AD1114A" w:rsidR="006E4D56" w:rsidRPr="001B780D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483D01E6">
              <w:rPr>
                <w:b/>
                <w:bCs/>
                <w:sz w:val="20"/>
                <w:szCs w:val="20"/>
                <w:u w:val="single"/>
              </w:rPr>
              <w:t>Points available</w:t>
            </w:r>
          </w:p>
          <w:p w14:paraId="5A58F9FD" w14:textId="77777777" w:rsidR="006E4D56" w:rsidRPr="001B780D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6E4D56" w14:paraId="430591D2" w14:textId="77777777" w:rsidTr="0088093A">
        <w:trPr>
          <w:trHeight w:val="278"/>
        </w:trPr>
        <w:tc>
          <w:tcPr>
            <w:tcW w:w="8926" w:type="dxa"/>
            <w:gridSpan w:val="3"/>
          </w:tcPr>
          <w:p w14:paraId="6F78CA2C" w14:textId="77777777" w:rsidR="006E4D56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  <w:r w:rsidRPr="483D01E6">
              <w:rPr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1134" w:type="dxa"/>
          </w:tcPr>
          <w:p w14:paraId="07F0FC23" w14:textId="77777777" w:rsidR="006E4D56" w:rsidRDefault="006E4D56" w:rsidP="0051108E">
            <w:pPr>
              <w:jc w:val="center"/>
              <w:rPr>
                <w:sz w:val="20"/>
                <w:szCs w:val="20"/>
              </w:rPr>
            </w:pPr>
          </w:p>
        </w:tc>
      </w:tr>
      <w:tr w:rsidR="006E4D56" w:rsidRPr="001B780D" w14:paraId="01565704" w14:textId="77777777" w:rsidTr="0088093A">
        <w:trPr>
          <w:trHeight w:val="470"/>
        </w:trPr>
        <w:tc>
          <w:tcPr>
            <w:tcW w:w="570" w:type="dxa"/>
          </w:tcPr>
          <w:p w14:paraId="47B80D97" w14:textId="77777777" w:rsidR="006E4D56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15" w:type="dxa"/>
          </w:tcPr>
          <w:p w14:paraId="7AEE2DB2" w14:textId="77777777" w:rsidR="006E4D56" w:rsidRPr="001B780D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NOS – Is the case definition adequate?</w:t>
            </w:r>
          </w:p>
          <w:p w14:paraId="1E5C0FAF" w14:textId="77777777" w:rsidR="006E4D56" w:rsidRPr="001B780D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5941" w:type="dxa"/>
          </w:tcPr>
          <w:p w14:paraId="4CD27687" w14:textId="77777777" w:rsidR="006E4D56" w:rsidRPr="00B17028" w:rsidRDefault="006E4D56" w:rsidP="006E4D56">
            <w:pPr>
              <w:pStyle w:val="paragraph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D93254B">
              <w:rPr>
                <w:rFonts w:asciiTheme="minorHAnsi" w:eastAsiaTheme="minorEastAsia" w:hAnsiTheme="minorHAnsi" w:cstheme="minorBidi"/>
                <w:sz w:val="20"/>
                <w:szCs w:val="20"/>
              </w:rPr>
              <w:t>yes, with independent validation *</w:t>
            </w:r>
          </w:p>
          <w:p w14:paraId="4119FD99" w14:textId="77777777" w:rsidR="006E4D56" w:rsidRPr="00B17028" w:rsidRDefault="006E4D56" w:rsidP="006E4D56">
            <w:pPr>
              <w:pStyle w:val="paragraph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D93254B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yes, e.g., record linkage or based on self-reports </w:t>
            </w:r>
          </w:p>
          <w:p w14:paraId="1D22A748" w14:textId="77777777" w:rsidR="006E4D56" w:rsidRPr="00B17028" w:rsidRDefault="006E4D56" w:rsidP="006E4D56">
            <w:pPr>
              <w:pStyle w:val="paragraph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D93254B">
              <w:rPr>
                <w:rFonts w:asciiTheme="minorHAnsi" w:eastAsiaTheme="minorEastAsia" w:hAnsiTheme="minorHAnsi" w:cstheme="minorBidi"/>
                <w:sz w:val="20"/>
                <w:szCs w:val="20"/>
              </w:rPr>
              <w:t>no description</w:t>
            </w:r>
          </w:p>
        </w:tc>
        <w:tc>
          <w:tcPr>
            <w:tcW w:w="1134" w:type="dxa"/>
          </w:tcPr>
          <w:p w14:paraId="557840AF" w14:textId="77777777" w:rsidR="006E4D56" w:rsidRPr="005A64D1" w:rsidRDefault="006E4D56" w:rsidP="0051108E">
            <w:pPr>
              <w:jc w:val="center"/>
              <w:rPr>
                <w:sz w:val="20"/>
                <w:szCs w:val="20"/>
              </w:rPr>
            </w:pPr>
            <w:r w:rsidRPr="7B40F53C">
              <w:rPr>
                <w:sz w:val="20"/>
                <w:szCs w:val="20"/>
              </w:rPr>
              <w:t>1</w:t>
            </w:r>
          </w:p>
        </w:tc>
      </w:tr>
      <w:tr w:rsidR="006E4D56" w14:paraId="4B994409" w14:textId="77777777" w:rsidTr="0088093A">
        <w:trPr>
          <w:trHeight w:val="470"/>
        </w:trPr>
        <w:tc>
          <w:tcPr>
            <w:tcW w:w="570" w:type="dxa"/>
          </w:tcPr>
          <w:p w14:paraId="6854D4F8" w14:textId="77777777" w:rsidR="006E4D56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  <w:r w:rsidRPr="7B40F53C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415" w:type="dxa"/>
          </w:tcPr>
          <w:p w14:paraId="197B27DB" w14:textId="77777777" w:rsidR="006E4D56" w:rsidRDefault="006E4D56" w:rsidP="0051108E">
            <w:pPr>
              <w:pStyle w:val="ListParagraph"/>
              <w:ind w:left="0"/>
              <w:rPr>
                <w:rFonts w:eastAsiaTheme="minorEastAsia"/>
                <w:sz w:val="20"/>
                <w:szCs w:val="20"/>
              </w:rPr>
            </w:pPr>
            <w:r w:rsidRPr="3D93254B">
              <w:rPr>
                <w:rFonts w:eastAsiaTheme="minorEastAsia"/>
                <w:sz w:val="20"/>
                <w:szCs w:val="20"/>
                <w:lang w:eastAsia="en-GB"/>
              </w:rPr>
              <w:t>NOS – Representativeness of the cases</w:t>
            </w:r>
          </w:p>
        </w:tc>
        <w:tc>
          <w:tcPr>
            <w:tcW w:w="5941" w:type="dxa"/>
          </w:tcPr>
          <w:p w14:paraId="24B4C1DF" w14:textId="77777777" w:rsidR="006E4D56" w:rsidRDefault="006E4D56" w:rsidP="006E4D56">
            <w:pPr>
              <w:pStyle w:val="paragraph"/>
              <w:numPr>
                <w:ilvl w:val="0"/>
                <w:numId w:val="8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D93254B">
              <w:rPr>
                <w:rFonts w:asciiTheme="minorHAnsi" w:eastAsiaTheme="minorEastAsia" w:hAnsiTheme="minorHAnsi" w:cstheme="minorBidi"/>
                <w:sz w:val="20"/>
                <w:szCs w:val="20"/>
              </w:rPr>
              <w:t>Consecutive or obviously representative series of cases (e.g., appropriate/random sample) *</w:t>
            </w:r>
          </w:p>
          <w:p w14:paraId="457E3C29" w14:textId="77777777" w:rsidR="006E4D56" w:rsidRDefault="006E4D56" w:rsidP="006E4D56">
            <w:pPr>
              <w:pStyle w:val="paragraph"/>
              <w:numPr>
                <w:ilvl w:val="0"/>
                <w:numId w:val="8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B40F53C">
              <w:rPr>
                <w:rFonts w:asciiTheme="minorHAnsi" w:eastAsiaTheme="minorEastAsia" w:hAnsiTheme="minorHAnsi" w:cstheme="minorBidi"/>
                <w:sz w:val="20"/>
                <w:szCs w:val="20"/>
              </w:rPr>
              <w:t>Potential for selection biases or not stated</w:t>
            </w:r>
          </w:p>
        </w:tc>
        <w:tc>
          <w:tcPr>
            <w:tcW w:w="1134" w:type="dxa"/>
          </w:tcPr>
          <w:p w14:paraId="16D6DAEC" w14:textId="77777777" w:rsidR="006E4D56" w:rsidRDefault="006E4D56" w:rsidP="0051108E">
            <w:pPr>
              <w:jc w:val="center"/>
              <w:rPr>
                <w:sz w:val="20"/>
                <w:szCs w:val="20"/>
              </w:rPr>
            </w:pPr>
            <w:r w:rsidRPr="7B40F53C">
              <w:rPr>
                <w:sz w:val="20"/>
                <w:szCs w:val="20"/>
              </w:rPr>
              <w:t>1</w:t>
            </w:r>
          </w:p>
        </w:tc>
      </w:tr>
      <w:tr w:rsidR="006E4D56" w:rsidRPr="001B780D" w14:paraId="53ECC8FD" w14:textId="77777777" w:rsidTr="0088093A">
        <w:trPr>
          <w:trHeight w:val="528"/>
        </w:trPr>
        <w:tc>
          <w:tcPr>
            <w:tcW w:w="570" w:type="dxa"/>
          </w:tcPr>
          <w:p w14:paraId="51D3DEDE" w14:textId="77777777" w:rsidR="006E4D56" w:rsidRDefault="006E4D56" w:rsidP="0051108E">
            <w:pPr>
              <w:rPr>
                <w:sz w:val="20"/>
                <w:szCs w:val="20"/>
              </w:rPr>
            </w:pPr>
            <w:r w:rsidRPr="7B40F53C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2415" w:type="dxa"/>
            <w:shd w:val="clear" w:color="auto" w:fill="auto"/>
          </w:tcPr>
          <w:p w14:paraId="4819BD12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NOS – Selection of Controls</w:t>
            </w:r>
          </w:p>
        </w:tc>
        <w:tc>
          <w:tcPr>
            <w:tcW w:w="5941" w:type="dxa"/>
            <w:shd w:val="clear" w:color="auto" w:fill="auto"/>
          </w:tcPr>
          <w:p w14:paraId="1E772DE3" w14:textId="77777777" w:rsidR="006E4D56" w:rsidRPr="005B2ECB" w:rsidRDefault="006E4D56" w:rsidP="006E4D56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3D93254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Community controls (e.g., same community as clinical group) *</w:t>
            </w:r>
          </w:p>
          <w:p w14:paraId="5D2828D7" w14:textId="77777777" w:rsidR="006E4D56" w:rsidRPr="005B2ECB" w:rsidRDefault="006E4D56" w:rsidP="006E4D56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7B40F53C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Hospital controls</w:t>
            </w:r>
          </w:p>
          <w:p w14:paraId="68B3B5F7" w14:textId="77777777" w:rsidR="006E4D56" w:rsidRPr="005B2ECB" w:rsidRDefault="006E4D56" w:rsidP="006E4D56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7B40F53C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No description</w:t>
            </w:r>
          </w:p>
        </w:tc>
        <w:tc>
          <w:tcPr>
            <w:tcW w:w="1134" w:type="dxa"/>
            <w:shd w:val="clear" w:color="auto" w:fill="auto"/>
          </w:tcPr>
          <w:p w14:paraId="5158BA38" w14:textId="77777777" w:rsidR="006E4D56" w:rsidRPr="005B2ECB" w:rsidRDefault="006E4D56" w:rsidP="0051108E">
            <w:pPr>
              <w:jc w:val="center"/>
              <w:rPr>
                <w:sz w:val="20"/>
                <w:szCs w:val="20"/>
              </w:rPr>
            </w:pPr>
            <w:r w:rsidRPr="7B40F53C">
              <w:rPr>
                <w:sz w:val="20"/>
                <w:szCs w:val="20"/>
              </w:rPr>
              <w:t>1</w:t>
            </w:r>
          </w:p>
        </w:tc>
      </w:tr>
      <w:tr w:rsidR="006E4D56" w:rsidRPr="001B780D" w14:paraId="3BBC7E28" w14:textId="77777777" w:rsidTr="0088093A">
        <w:trPr>
          <w:trHeight w:val="683"/>
        </w:trPr>
        <w:tc>
          <w:tcPr>
            <w:tcW w:w="570" w:type="dxa"/>
          </w:tcPr>
          <w:p w14:paraId="3DE77929" w14:textId="77777777" w:rsidR="006E4D56" w:rsidRDefault="006E4D56" w:rsidP="0051108E">
            <w:pPr>
              <w:rPr>
                <w:sz w:val="20"/>
                <w:szCs w:val="20"/>
              </w:rPr>
            </w:pPr>
            <w:r w:rsidRPr="7B40F53C">
              <w:rPr>
                <w:sz w:val="20"/>
                <w:szCs w:val="20"/>
              </w:rPr>
              <w:t>4.</w:t>
            </w:r>
          </w:p>
        </w:tc>
        <w:tc>
          <w:tcPr>
            <w:tcW w:w="2415" w:type="dxa"/>
            <w:shd w:val="clear" w:color="auto" w:fill="auto"/>
          </w:tcPr>
          <w:p w14:paraId="741FFF45" w14:textId="77777777" w:rsidR="006E4D56" w:rsidRPr="001B780D" w:rsidRDefault="006E4D56" w:rsidP="0051108E">
            <w:pPr>
              <w:rPr>
                <w:rFonts w:eastAsiaTheme="minorEastAsia"/>
                <w:sz w:val="20"/>
                <w:szCs w:val="20"/>
              </w:rPr>
            </w:pPr>
            <w:r w:rsidRPr="3D93254B">
              <w:rPr>
                <w:rFonts w:eastAsiaTheme="minorEastAsia"/>
                <w:sz w:val="20"/>
                <w:szCs w:val="20"/>
              </w:rPr>
              <w:t>NOS – Definition of Controls</w:t>
            </w:r>
          </w:p>
        </w:tc>
        <w:tc>
          <w:tcPr>
            <w:tcW w:w="5941" w:type="dxa"/>
            <w:shd w:val="clear" w:color="auto" w:fill="auto"/>
          </w:tcPr>
          <w:p w14:paraId="0A90F10E" w14:textId="77777777" w:rsidR="006E4D56" w:rsidRPr="005118E1" w:rsidRDefault="006E4D56" w:rsidP="006E4D5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3D93254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 xml:space="preserve">No history of disease (explicitly state no history of </w:t>
            </w:r>
            <w:bookmarkStart w:id="0" w:name="_Int_iwomq6pg"/>
            <w:r w:rsidRPr="3D93254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premenstrual disorder symptoms) *</w:t>
            </w:r>
            <w:bookmarkEnd w:id="0"/>
          </w:p>
          <w:p w14:paraId="757C6AA4" w14:textId="77777777" w:rsidR="006E4D56" w:rsidRPr="005118E1" w:rsidRDefault="006E4D56" w:rsidP="006E4D56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3D93254B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No description of source/mention of history of premenstrual disorder symptoms</w:t>
            </w:r>
          </w:p>
        </w:tc>
        <w:tc>
          <w:tcPr>
            <w:tcW w:w="1134" w:type="dxa"/>
            <w:shd w:val="clear" w:color="auto" w:fill="auto"/>
          </w:tcPr>
          <w:p w14:paraId="41141D80" w14:textId="77777777" w:rsidR="006E4D56" w:rsidRPr="001B780D" w:rsidRDefault="006E4D56" w:rsidP="0051108E">
            <w:pPr>
              <w:jc w:val="center"/>
              <w:rPr>
                <w:sz w:val="20"/>
                <w:szCs w:val="20"/>
              </w:rPr>
            </w:pPr>
            <w:r w:rsidRPr="7B40F53C">
              <w:rPr>
                <w:sz w:val="20"/>
                <w:szCs w:val="20"/>
              </w:rPr>
              <w:t>1</w:t>
            </w:r>
          </w:p>
        </w:tc>
      </w:tr>
      <w:tr w:rsidR="006E4D56" w:rsidRPr="001B780D" w14:paraId="64CCD664" w14:textId="77777777" w:rsidTr="0088093A">
        <w:trPr>
          <w:trHeight w:val="193"/>
        </w:trPr>
        <w:tc>
          <w:tcPr>
            <w:tcW w:w="8926" w:type="dxa"/>
            <w:gridSpan w:val="3"/>
            <w:shd w:val="clear" w:color="auto" w:fill="auto"/>
          </w:tcPr>
          <w:p w14:paraId="4940A962" w14:textId="77777777" w:rsidR="006E4D56" w:rsidRPr="009248B8" w:rsidRDefault="006E4D56" w:rsidP="0051108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1134" w:type="dxa"/>
            <w:shd w:val="clear" w:color="auto" w:fill="auto"/>
          </w:tcPr>
          <w:p w14:paraId="50AF012C" w14:textId="77777777" w:rsidR="006E4D56" w:rsidRDefault="006E4D56" w:rsidP="0051108E">
            <w:pPr>
              <w:pStyle w:val="pf0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6E4D56" w:rsidRPr="001B780D" w14:paraId="20A2F299" w14:textId="77777777" w:rsidTr="0088093A">
        <w:trPr>
          <w:trHeight w:val="683"/>
        </w:trPr>
        <w:tc>
          <w:tcPr>
            <w:tcW w:w="570" w:type="dxa"/>
            <w:shd w:val="clear" w:color="auto" w:fill="auto"/>
          </w:tcPr>
          <w:p w14:paraId="21499944" w14:textId="77777777" w:rsidR="006E4D56" w:rsidRDefault="006E4D56" w:rsidP="0051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15" w:type="dxa"/>
            <w:shd w:val="clear" w:color="auto" w:fill="auto"/>
          </w:tcPr>
          <w:p w14:paraId="1F897E80" w14:textId="77777777" w:rsidR="006E4D56" w:rsidRDefault="006E4D56" w:rsidP="0051108E">
            <w:p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 xml:space="preserve">NOS - Comparability of cases and controls </w:t>
            </w:r>
            <w:bookmarkStart w:id="1" w:name="_Int_hk6A5FxD"/>
            <w:proofErr w:type="gramStart"/>
            <w:r w:rsidRPr="3D93254B">
              <w:rPr>
                <w:sz w:val="20"/>
                <w:szCs w:val="20"/>
              </w:rPr>
              <w:t>on the basis of</w:t>
            </w:r>
            <w:bookmarkEnd w:id="1"/>
            <w:proofErr w:type="gramEnd"/>
            <w:r w:rsidRPr="3D93254B">
              <w:rPr>
                <w:sz w:val="20"/>
                <w:szCs w:val="20"/>
              </w:rPr>
              <w:t xml:space="preserve"> the design or analysis</w:t>
            </w:r>
          </w:p>
        </w:tc>
        <w:tc>
          <w:tcPr>
            <w:tcW w:w="5941" w:type="dxa"/>
            <w:shd w:val="clear" w:color="auto" w:fill="auto"/>
          </w:tcPr>
          <w:p w14:paraId="78C6C233" w14:textId="77777777" w:rsidR="006E4D56" w:rsidRDefault="006E4D56" w:rsidP="006E4D5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study controls for premenstrual disorder symptoms *</w:t>
            </w:r>
          </w:p>
          <w:p w14:paraId="7C15063A" w14:textId="77777777" w:rsidR="006E4D56" w:rsidRPr="009015F0" w:rsidRDefault="006E4D56" w:rsidP="006E4D56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study controls for any additional factor * (e.g., age or other important factors)</w:t>
            </w:r>
          </w:p>
          <w:p w14:paraId="4D9CC7E5" w14:textId="77777777" w:rsidR="006E4D56" w:rsidRPr="009015F0" w:rsidRDefault="006E4D56" w:rsidP="0051108E">
            <w:pPr>
              <w:rPr>
                <w:sz w:val="20"/>
                <w:szCs w:val="20"/>
              </w:rPr>
            </w:pPr>
          </w:p>
          <w:p w14:paraId="12AD7A87" w14:textId="77777777" w:rsidR="006E4D56" w:rsidRPr="009015F0" w:rsidRDefault="006E4D56" w:rsidP="005110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Either cases and controls must be matched in the design and/or confounders must be adjusted for in the analysis.</w:t>
            </w:r>
            <w:r w:rsidRPr="3D93254B">
              <w:rPr>
                <w:sz w:val="20"/>
                <w:szCs w:val="20"/>
                <w:lang w:val="en-GB"/>
              </w:rPr>
              <w:t xml:space="preserve"> Statements of no differences between groups or that differences were not statistically significant are not sufficient for establishing comparability.</w:t>
            </w:r>
          </w:p>
        </w:tc>
        <w:tc>
          <w:tcPr>
            <w:tcW w:w="1134" w:type="dxa"/>
            <w:shd w:val="clear" w:color="auto" w:fill="auto"/>
          </w:tcPr>
          <w:p w14:paraId="24425AD2" w14:textId="77777777" w:rsidR="006E4D56" w:rsidRDefault="006E4D56" w:rsidP="0051108E">
            <w:pPr>
              <w:jc w:val="center"/>
              <w:rPr>
                <w:sz w:val="20"/>
                <w:szCs w:val="20"/>
              </w:rPr>
            </w:pPr>
            <w:r w:rsidRPr="7C178D48">
              <w:rPr>
                <w:sz w:val="20"/>
                <w:szCs w:val="20"/>
              </w:rPr>
              <w:t>1</w:t>
            </w:r>
          </w:p>
        </w:tc>
      </w:tr>
      <w:tr w:rsidR="006E4D56" w:rsidRPr="001B780D" w14:paraId="4407C8CC" w14:textId="77777777" w:rsidTr="0088093A">
        <w:trPr>
          <w:trHeight w:val="239"/>
        </w:trPr>
        <w:tc>
          <w:tcPr>
            <w:tcW w:w="8926" w:type="dxa"/>
            <w:gridSpan w:val="3"/>
          </w:tcPr>
          <w:p w14:paraId="264195ED" w14:textId="77777777" w:rsidR="006E4D56" w:rsidRPr="001B780D" w:rsidRDefault="006E4D56" w:rsidP="0051108E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7B40F53C">
              <w:rPr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134" w:type="dxa"/>
          </w:tcPr>
          <w:p w14:paraId="3D215D5F" w14:textId="77777777" w:rsidR="006E4D56" w:rsidRPr="001B780D" w:rsidRDefault="006E4D56" w:rsidP="0051108E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6E4D56" w:rsidRPr="001B780D" w14:paraId="0F826887" w14:textId="77777777" w:rsidTr="0088093A">
        <w:trPr>
          <w:trHeight w:val="455"/>
        </w:trPr>
        <w:tc>
          <w:tcPr>
            <w:tcW w:w="570" w:type="dxa"/>
            <w:shd w:val="clear" w:color="auto" w:fill="auto"/>
          </w:tcPr>
          <w:p w14:paraId="79AF184B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15" w:type="dxa"/>
            <w:shd w:val="clear" w:color="auto" w:fill="auto"/>
          </w:tcPr>
          <w:p w14:paraId="4D43DB73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NOS – Ascertainment of exposure (premenstrual disorder status)</w:t>
            </w:r>
          </w:p>
        </w:tc>
        <w:tc>
          <w:tcPr>
            <w:tcW w:w="5941" w:type="dxa"/>
            <w:shd w:val="clear" w:color="auto" w:fill="auto"/>
          </w:tcPr>
          <w:p w14:paraId="3F469B53" w14:textId="77777777" w:rsidR="006E4D56" w:rsidRPr="008C59D9" w:rsidRDefault="006E4D56" w:rsidP="006E4D56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secure record (e.g., hospital record/ daily diary of symptoms) *</w:t>
            </w:r>
          </w:p>
          <w:p w14:paraId="12C1A31C" w14:textId="77777777" w:rsidR="006E4D56" w:rsidRPr="008C59D9" w:rsidRDefault="006E4D56" w:rsidP="006E4D56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structured interview where blind to case/control status *</w:t>
            </w:r>
          </w:p>
          <w:p w14:paraId="299B287D" w14:textId="77777777" w:rsidR="006E4D56" w:rsidRPr="008C59D9" w:rsidRDefault="006E4D56" w:rsidP="006E4D56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interview not blinded to case/control status</w:t>
            </w:r>
          </w:p>
          <w:p w14:paraId="406D098B" w14:textId="77777777" w:rsidR="006E4D56" w:rsidRPr="008C59D9" w:rsidRDefault="006E4D56" w:rsidP="006E4D56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written self-report or medical record only</w:t>
            </w:r>
          </w:p>
          <w:p w14:paraId="3213F3F0" w14:textId="77777777" w:rsidR="006E4D56" w:rsidRPr="008C59D9" w:rsidRDefault="006E4D56" w:rsidP="006E4D56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no description</w:t>
            </w:r>
          </w:p>
        </w:tc>
        <w:tc>
          <w:tcPr>
            <w:tcW w:w="1134" w:type="dxa"/>
            <w:shd w:val="clear" w:color="auto" w:fill="auto"/>
          </w:tcPr>
          <w:p w14:paraId="4281FAE1" w14:textId="77777777" w:rsidR="006E4D56" w:rsidRPr="001B780D" w:rsidRDefault="006E4D56" w:rsidP="0051108E">
            <w:pPr>
              <w:pStyle w:val="pf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7B40F53C"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  <w:t>2</w:t>
            </w:r>
          </w:p>
        </w:tc>
      </w:tr>
      <w:tr w:rsidR="006E4D56" w:rsidRPr="001B780D" w14:paraId="07B48BE6" w14:textId="77777777" w:rsidTr="0088093A">
        <w:trPr>
          <w:trHeight w:val="698"/>
        </w:trPr>
        <w:tc>
          <w:tcPr>
            <w:tcW w:w="570" w:type="dxa"/>
            <w:shd w:val="clear" w:color="auto" w:fill="auto"/>
          </w:tcPr>
          <w:p w14:paraId="18F0ADE8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415" w:type="dxa"/>
            <w:shd w:val="clear" w:color="auto" w:fill="auto"/>
          </w:tcPr>
          <w:p w14:paraId="644C4CDC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NOS – Same method of ascertainment for cases and controls</w:t>
            </w:r>
          </w:p>
        </w:tc>
        <w:tc>
          <w:tcPr>
            <w:tcW w:w="5941" w:type="dxa"/>
            <w:shd w:val="clear" w:color="auto" w:fill="auto"/>
          </w:tcPr>
          <w:p w14:paraId="5E2D7ADF" w14:textId="77777777" w:rsidR="006E4D56" w:rsidRPr="00566DEA" w:rsidRDefault="006E4D56" w:rsidP="006E4D56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rFonts w:eastAsiaTheme="minorEastAsia"/>
                <w:sz w:val="20"/>
                <w:szCs w:val="20"/>
              </w:rPr>
              <w:t xml:space="preserve">yes (e.g. both completed daily ratings) </w:t>
            </w:r>
            <w:r w:rsidRPr="3D93254B">
              <w:rPr>
                <w:sz w:val="20"/>
                <w:szCs w:val="20"/>
              </w:rPr>
              <w:t>*</w:t>
            </w:r>
          </w:p>
          <w:p w14:paraId="11CFACE2" w14:textId="77777777" w:rsidR="006E4D56" w:rsidRPr="00566DEA" w:rsidRDefault="006E4D56" w:rsidP="006E4D56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no </w:t>
            </w:r>
          </w:p>
        </w:tc>
        <w:tc>
          <w:tcPr>
            <w:tcW w:w="1134" w:type="dxa"/>
            <w:shd w:val="clear" w:color="auto" w:fill="auto"/>
          </w:tcPr>
          <w:p w14:paraId="672814D8" w14:textId="77777777" w:rsidR="006E4D56" w:rsidRPr="001B780D" w:rsidRDefault="006E4D56" w:rsidP="0051108E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483D01E6">
              <w:rPr>
                <w:sz w:val="20"/>
                <w:szCs w:val="20"/>
              </w:rPr>
              <w:t>1</w:t>
            </w:r>
          </w:p>
        </w:tc>
      </w:tr>
      <w:tr w:rsidR="006E4D56" w:rsidRPr="001B780D" w14:paraId="795740E3" w14:textId="77777777" w:rsidTr="0088093A">
        <w:trPr>
          <w:trHeight w:val="698"/>
        </w:trPr>
        <w:tc>
          <w:tcPr>
            <w:tcW w:w="570" w:type="dxa"/>
            <w:shd w:val="clear" w:color="auto" w:fill="auto"/>
          </w:tcPr>
          <w:p w14:paraId="34679979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415" w:type="dxa"/>
            <w:shd w:val="clear" w:color="auto" w:fill="auto"/>
          </w:tcPr>
          <w:p w14:paraId="0577832A" w14:textId="77777777" w:rsidR="006E4D56" w:rsidRPr="001B780D" w:rsidRDefault="006E4D56" w:rsidP="0051108E">
            <w:p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NOS - non-response rate</w:t>
            </w:r>
          </w:p>
        </w:tc>
        <w:tc>
          <w:tcPr>
            <w:tcW w:w="5941" w:type="dxa"/>
            <w:shd w:val="clear" w:color="auto" w:fill="auto"/>
          </w:tcPr>
          <w:p w14:paraId="54EF8B51" w14:textId="77777777" w:rsidR="006E4D56" w:rsidRPr="008B4005" w:rsidRDefault="006E4D56" w:rsidP="006E4D5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sz w:val="20"/>
                <w:szCs w:val="20"/>
              </w:rPr>
            </w:pPr>
            <w:r w:rsidRPr="3D93254B">
              <w:rPr>
                <w:rFonts w:eastAsiaTheme="minorEastAsia"/>
                <w:sz w:val="20"/>
                <w:szCs w:val="20"/>
              </w:rPr>
              <w:t>same for both groups*</w:t>
            </w:r>
          </w:p>
          <w:p w14:paraId="04C090F3" w14:textId="77777777" w:rsidR="006E4D56" w:rsidRPr="008B4005" w:rsidRDefault="006E4D56" w:rsidP="006E4D5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sz w:val="20"/>
                <w:szCs w:val="20"/>
              </w:rPr>
            </w:pPr>
            <w:r w:rsidRPr="3D93254B">
              <w:rPr>
                <w:rFonts w:eastAsiaTheme="minorEastAsia"/>
                <w:sz w:val="20"/>
                <w:szCs w:val="20"/>
              </w:rPr>
              <w:t>Non respondents described</w:t>
            </w:r>
          </w:p>
          <w:p w14:paraId="6A856AAE" w14:textId="77777777" w:rsidR="006E4D56" w:rsidRPr="008B4005" w:rsidRDefault="006E4D56" w:rsidP="006E4D56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sz w:val="20"/>
                <w:szCs w:val="20"/>
              </w:rPr>
            </w:pPr>
            <w:r w:rsidRPr="3D93254B">
              <w:rPr>
                <w:rFonts w:eastAsiaTheme="minorEastAsia"/>
                <w:sz w:val="20"/>
                <w:szCs w:val="20"/>
              </w:rPr>
              <w:t>Rate different and no designation</w:t>
            </w:r>
          </w:p>
        </w:tc>
        <w:tc>
          <w:tcPr>
            <w:tcW w:w="1134" w:type="dxa"/>
            <w:shd w:val="clear" w:color="auto" w:fill="auto"/>
          </w:tcPr>
          <w:p w14:paraId="1B5A7C17" w14:textId="77777777" w:rsidR="006E4D56" w:rsidRPr="001110D8" w:rsidRDefault="006E4D56" w:rsidP="0051108E">
            <w:pPr>
              <w:jc w:val="center"/>
              <w:rPr>
                <w:sz w:val="20"/>
                <w:szCs w:val="20"/>
              </w:rPr>
            </w:pPr>
            <w:r w:rsidRPr="7B40F53C">
              <w:rPr>
                <w:sz w:val="20"/>
                <w:szCs w:val="20"/>
              </w:rPr>
              <w:t>1</w:t>
            </w:r>
          </w:p>
        </w:tc>
      </w:tr>
      <w:tr w:rsidR="006E4D56" w:rsidRPr="001B780D" w14:paraId="794C7562" w14:textId="77777777" w:rsidTr="0088093A">
        <w:trPr>
          <w:trHeight w:val="178"/>
        </w:trPr>
        <w:tc>
          <w:tcPr>
            <w:tcW w:w="8926" w:type="dxa"/>
            <w:gridSpan w:val="3"/>
          </w:tcPr>
          <w:p w14:paraId="2361500F" w14:textId="77777777" w:rsidR="006E4D56" w:rsidRPr="001B780D" w:rsidRDefault="006E4D56" w:rsidP="0051108E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3D93254B">
              <w:rPr>
                <w:b/>
                <w:bCs/>
                <w:sz w:val="20"/>
                <w:szCs w:val="20"/>
              </w:rPr>
              <w:t>Score – NOS Case-control items</w:t>
            </w:r>
          </w:p>
        </w:tc>
        <w:tc>
          <w:tcPr>
            <w:tcW w:w="1134" w:type="dxa"/>
          </w:tcPr>
          <w:p w14:paraId="67491235" w14:textId="77777777" w:rsidR="006E4D56" w:rsidRPr="002D3127" w:rsidRDefault="006E4D56" w:rsidP="0051108E">
            <w:pPr>
              <w:jc w:val="center"/>
              <w:rPr>
                <w:b/>
                <w:bCs/>
                <w:sz w:val="20"/>
                <w:szCs w:val="20"/>
              </w:rPr>
            </w:pPr>
            <w:r w:rsidRPr="3D93254B">
              <w:rPr>
                <w:b/>
                <w:bCs/>
                <w:sz w:val="20"/>
                <w:szCs w:val="20"/>
              </w:rPr>
              <w:t>/8</w:t>
            </w:r>
          </w:p>
        </w:tc>
      </w:tr>
    </w:tbl>
    <w:p w14:paraId="06BB30D9" w14:textId="77777777" w:rsidR="006B3A01" w:rsidRDefault="006B3A01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798CCF68" w14:textId="77777777" w:rsidR="006B3A01" w:rsidRDefault="006B3A01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06625078" w14:textId="77777777" w:rsidR="006B3A01" w:rsidRDefault="006B3A01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4DFF49B9" w14:textId="77777777" w:rsidR="006B3A01" w:rsidRDefault="006B3A01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4837DE6D" w14:textId="77777777" w:rsidR="0049308E" w:rsidRDefault="0049308E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5F7BFF90" w14:textId="77777777" w:rsidR="0049308E" w:rsidRDefault="0049308E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276B8C55" w14:textId="34A92D37" w:rsidR="006E4D56" w:rsidRPr="00116A38" w:rsidRDefault="006E4D56" w:rsidP="006E4D56">
      <w:pPr>
        <w:rPr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  <w:lastRenderedPageBreak/>
        <w:t xml:space="preserve">4.3. </w:t>
      </w:r>
      <w:r w:rsidRPr="00116A38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  <w:t xml:space="preserve">Menstrual Quality 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  <w:t>Assessment</w:t>
      </w:r>
      <w:r w:rsidRPr="00116A38"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  <w:t xml:space="preserve"> – Cohort Studies:</w:t>
      </w:r>
    </w:p>
    <w:tbl>
      <w:tblPr>
        <w:tblW w:w="100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379"/>
        <w:gridCol w:w="5987"/>
        <w:gridCol w:w="1134"/>
      </w:tblGrid>
      <w:tr w:rsidR="006E4D56" w:rsidRPr="009423CA" w14:paraId="1BAC2B8A" w14:textId="77777777" w:rsidTr="0088093A">
        <w:trPr>
          <w:trHeight w:val="405"/>
          <w:jc w:val="center"/>
        </w:trPr>
        <w:tc>
          <w:tcPr>
            <w:tcW w:w="100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37138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GB" w:eastAsia="en-GB"/>
              </w:rPr>
              <w:t>Menstrual Quality Tool</w:t>
            </w:r>
            <w:r w:rsidRPr="009423CA">
              <w:rPr>
                <w:rFonts w:ascii="Calibri" w:eastAsia="Times New Roman" w:hAnsi="Calibri" w:cs="Calibri"/>
                <w:b/>
                <w:bCs/>
                <w:u w:val="single"/>
                <w:lang w:val="en-GB" w:eastAsia="en-GB"/>
              </w:rPr>
              <w:t xml:space="preserve"> – Cohort Studies</w:t>
            </w:r>
          </w:p>
          <w:p w14:paraId="0D4B511B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  <w:p w14:paraId="1D733188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Adapted with </w:t>
            </w: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reference to </w:t>
            </w:r>
            <w:hyperlink r:id="rId5" w:tgtFrame="_blank" w:history="1">
              <w:r w:rsidRPr="004A3462">
                <w:rPr>
                  <w:rFonts w:ascii="Calibri" w:eastAsia="Times New Roman" w:hAnsi="Calibri" w:cs="Calibri"/>
                  <w:i/>
                  <w:iCs/>
                  <w:sz w:val="20"/>
                  <w:szCs w:val="20"/>
                  <w:lang w:val="en-GB" w:eastAsia="en-GB"/>
                </w:rPr>
                <w:t>Schmalenberger</w:t>
              </w:r>
            </w:hyperlink>
            <w:r w:rsidRPr="004A346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GB" w:eastAsia="en-GB"/>
              </w:rPr>
              <w:t xml:space="preserve"> et al. (2021): How to study the menstrual cycle: Practical tools and recommendations. </w:t>
            </w:r>
            <w:hyperlink r:id="rId6" w:tgtFrame="_blank" w:history="1">
              <w:r w:rsidRPr="004A3462">
                <w:rPr>
                  <w:rFonts w:ascii="Calibri" w:eastAsia="Times New Roman" w:hAnsi="Calibri" w:cs="Calibri"/>
                  <w:i/>
                  <w:iCs/>
                  <w:sz w:val="20"/>
                  <w:szCs w:val="20"/>
                  <w:lang w:val="en-GB" w:eastAsia="en-GB"/>
                </w:rPr>
                <w:t>Psychoneuroendocrinology. 2021 Jan; 123: 104895.</w:t>
              </w:r>
            </w:hyperlink>
            <w:r w:rsidRPr="004A346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GB" w:eastAsia="en-GB"/>
              </w:rPr>
              <w:t xml:space="preserve"> Doi: </w:t>
            </w:r>
            <w:hyperlink r:id="rId7" w:tgtFrame="_blank" w:history="1">
              <w:r w:rsidRPr="004A3462">
                <w:rPr>
                  <w:rFonts w:ascii="Calibri" w:eastAsia="Times New Roman" w:hAnsi="Calibri" w:cs="Calibri"/>
                  <w:i/>
                  <w:iCs/>
                  <w:sz w:val="20"/>
                  <w:szCs w:val="20"/>
                  <w:u w:val="single"/>
                  <w:lang w:val="en-GB" w:eastAsia="en-GB"/>
                </w:rPr>
                <w:t>10.1016/j.psyneuen.2020.104895</w:t>
              </w:r>
            </w:hyperlink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673FF523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9423CA" w14:paraId="069F0C56" w14:textId="77777777" w:rsidTr="0088093A">
        <w:trPr>
          <w:trHeight w:val="405"/>
          <w:jc w:val="center"/>
        </w:trPr>
        <w:tc>
          <w:tcPr>
            <w:tcW w:w="8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F0F38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57C7B920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val="en-GB" w:eastAsia="en-GB"/>
              </w:rPr>
              <w:t>Quality Criterion</w:t>
            </w: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2415DC0A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F6534" w14:textId="77777777" w:rsidR="0088093A" w:rsidRDefault="0088093A" w:rsidP="0051108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val="en-GB" w:eastAsia="en-GB"/>
              </w:rPr>
            </w:pPr>
          </w:p>
          <w:p w14:paraId="75A7362F" w14:textId="383FE7E1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val="en-GB" w:eastAsia="en-GB"/>
              </w:rPr>
              <w:t>Points available</w:t>
            </w: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  <w:p w14:paraId="2AD69F03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9423CA" w14:paraId="30087EF6" w14:textId="77777777" w:rsidTr="0088093A">
        <w:trPr>
          <w:trHeight w:val="465"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EA8F558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M0.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2D8E9FD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Design &amp; hypotheses </w:t>
            </w:r>
          </w:p>
        </w:tc>
        <w:tc>
          <w:tcPr>
            <w:tcW w:w="5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6957184" w14:textId="68CA80C5" w:rsidR="006E4D56" w:rsidRDefault="006E4D56" w:rsidP="006E4D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Clearly stated purpose of study &amp; </w:t>
            </w:r>
            <w:r w:rsidR="000A6D9E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emotion regulation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</w:t>
            </w: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hypotheses to be tested </w:t>
            </w:r>
          </w:p>
          <w:p w14:paraId="0E30B04B" w14:textId="77777777" w:rsidR="006E4D56" w:rsidRDefault="006E4D56" w:rsidP="006E4D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Sufficient sample size for study design (with a priori power calculations) </w:t>
            </w:r>
          </w:p>
          <w:p w14:paraId="7CE7F0D4" w14:textId="77777777" w:rsidR="006E4D56" w:rsidRPr="004A3462" w:rsidRDefault="006E4D56" w:rsidP="006E4D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Eligibility criteria comprehensive &amp; stated with reference to sufficient variables affecting menstrual cycle – e.g., hormonal medications, pregnancy &amp; breastfeeding status, typical length of cycle, age in relation to puberty &amp; menopause transitions, gynaecological conditions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90EEF12" w14:textId="77777777" w:rsidR="006E4D56" w:rsidRPr="009423CA" w:rsidRDefault="006E4D56" w:rsidP="006E4D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7CF681B1" w14:textId="77777777" w:rsidR="006E4D56" w:rsidRPr="009423CA" w:rsidRDefault="006E4D56" w:rsidP="006E4D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17DA62AF" w14:textId="77777777" w:rsidR="006E4D56" w:rsidRPr="009423CA" w:rsidRDefault="006E4D56" w:rsidP="006E4D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</w:tc>
      </w:tr>
      <w:tr w:rsidR="006E4D56" w:rsidRPr="009423CA" w14:paraId="775F30F4" w14:textId="77777777" w:rsidTr="0088093A">
        <w:trPr>
          <w:trHeight w:val="222"/>
          <w:jc w:val="center"/>
        </w:trPr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B5D5C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Selection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3982E3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9423CA" w14:paraId="145601D8" w14:textId="77777777" w:rsidTr="0088093A">
        <w:trPr>
          <w:trHeight w:val="465"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9E5EF76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M1.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5204E39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Representativeness of the exposed cohort </w:t>
            </w:r>
          </w:p>
          <w:p w14:paraId="636597B4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5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B79BAAB" w14:textId="77777777" w:rsidR="006E4D56" w:rsidRPr="009423CA" w:rsidRDefault="006E4D56" w:rsidP="006E4D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Sufficient selection methods - assessment process (i.e., prospective) and robustness of measurement tool (i.e., validated scale) </w:t>
            </w:r>
          </w:p>
          <w:p w14:paraId="17FB09A4" w14:textId="77777777" w:rsidR="006E4D56" w:rsidRPr="009423CA" w:rsidRDefault="006E4D56" w:rsidP="006E4D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Was a minimum of two menstrual cycles observed, this length is standard for establishing diagnosis of premenstrual disorders (e.g., PMDD) </w:t>
            </w:r>
          </w:p>
          <w:p w14:paraId="14AD920D" w14:textId="77777777" w:rsidR="006E4D56" w:rsidRPr="009423CA" w:rsidRDefault="006E4D56" w:rsidP="006E4D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Controls exposed to same selection assessment methods </w:t>
            </w:r>
          </w:p>
          <w:p w14:paraId="61C8BC69" w14:textId="77777777" w:rsidR="006E4D56" w:rsidRPr="009423CA" w:rsidRDefault="006E4D56" w:rsidP="006E4D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Consideration of representativeness &amp; data presented – ethnicity, educational level, gender identity, socioeconomic status, etc</w:t>
            </w:r>
            <w:r w:rsidRPr="009423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CF0F11E" w14:textId="77777777" w:rsidR="006E4D56" w:rsidRDefault="006E4D56" w:rsidP="006E4D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</w:t>
            </w:r>
          </w:p>
          <w:p w14:paraId="725EF818" w14:textId="77777777" w:rsidR="006E4D56" w:rsidRPr="009423CA" w:rsidRDefault="006E4D56" w:rsidP="006E4D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406095A6" w14:textId="77777777" w:rsidR="006E4D56" w:rsidRPr="009423CA" w:rsidRDefault="006E4D56" w:rsidP="006E4D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5459CE8E" w14:textId="77777777" w:rsidR="006E4D56" w:rsidRPr="009423CA" w:rsidRDefault="006E4D56" w:rsidP="006E4D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</w:tc>
      </w:tr>
      <w:tr w:rsidR="006E4D56" w:rsidRPr="009423CA" w14:paraId="3D26175C" w14:textId="77777777" w:rsidTr="0088093A">
        <w:trPr>
          <w:trHeight w:val="675"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291704B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M2.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08DC942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Method to ascertain exposure (menstrual cycle phase) </w:t>
            </w:r>
          </w:p>
        </w:tc>
        <w:tc>
          <w:tcPr>
            <w:tcW w:w="5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A6EC4EA" w14:textId="77777777" w:rsidR="006E4D56" w:rsidRPr="009423CA" w:rsidRDefault="006E4D56" w:rsidP="006E4D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Method used to ascertain exposure (menstrual cycle phase) is robust? E.g., forward backward count / hormonal assays used.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68519FA" w14:textId="77777777" w:rsidR="006E4D56" w:rsidRPr="009423CA" w:rsidRDefault="006E4D56" w:rsidP="006E4D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7B4264E8" w14:textId="77777777" w:rsidR="006E4D56" w:rsidRPr="009423CA" w:rsidRDefault="006E4D56" w:rsidP="0051108E">
            <w:pPr>
              <w:spacing w:after="0" w:line="240" w:lineRule="auto"/>
              <w:ind w:left="36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9423CA" w14:paraId="17C7E322" w14:textId="77777777" w:rsidTr="0088093A">
        <w:trPr>
          <w:trHeight w:val="223"/>
          <w:jc w:val="center"/>
        </w:trPr>
        <w:tc>
          <w:tcPr>
            <w:tcW w:w="8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B00A8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Outcome</w:t>
            </w: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51DE0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6E4D56" w:rsidRPr="009423CA" w14:paraId="00849658" w14:textId="77777777" w:rsidTr="0088093A">
        <w:trPr>
          <w:trHeight w:val="450"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A615123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M3.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27297FD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Assessment of outcome </w:t>
            </w:r>
          </w:p>
        </w:tc>
        <w:tc>
          <w:tcPr>
            <w:tcW w:w="5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13D8A71" w14:textId="5D3389EC" w:rsidR="006E4D56" w:rsidRPr="009423CA" w:rsidRDefault="006E4D56" w:rsidP="006E4D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Validated measure of emotion </w:t>
            </w:r>
            <w:r w:rsidR="000A6D9E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regulation</w:t>
            </w: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variable </w:t>
            </w:r>
          </w:p>
          <w:p w14:paraId="60F50078" w14:textId="77777777" w:rsidR="006E4D56" w:rsidRPr="009423CA" w:rsidRDefault="006E4D56" w:rsidP="006E4D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Sufficient consideration of confounds (e.g., medications, stressful events, negative affect, etc.)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21FD955" w14:textId="77777777" w:rsidR="006E4D56" w:rsidRPr="009423CA" w:rsidRDefault="006E4D56" w:rsidP="006E4D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0AE14E46" w14:textId="77777777" w:rsidR="006E4D56" w:rsidRPr="009423CA" w:rsidRDefault="006E4D56" w:rsidP="006E4D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</w:tc>
      </w:tr>
      <w:tr w:rsidR="006E4D56" w:rsidRPr="009423CA" w14:paraId="493855EF" w14:textId="77777777" w:rsidTr="0088093A">
        <w:trPr>
          <w:trHeight w:val="690"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988694F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M4.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013CF683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Was follow-up long enough for outcomes to occur </w:t>
            </w:r>
          </w:p>
        </w:tc>
        <w:tc>
          <w:tcPr>
            <w:tcW w:w="5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AC9B385" w14:textId="77777777" w:rsidR="006E4D56" w:rsidRPr="009423CA" w:rsidRDefault="006E4D56" w:rsidP="006E4D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Outcomes measured as within-person variable – prospective repeated measurements across cycle with at least 3 or more observations across 2 cycles </w:t>
            </w:r>
          </w:p>
          <w:p w14:paraId="46F8A413" w14:textId="77777777" w:rsidR="006E4D56" w:rsidRPr="009423CA" w:rsidRDefault="006E4D56" w:rsidP="006E4D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Daily ratings or multi-daily ratings (EMA) </w:t>
            </w:r>
          </w:p>
          <w:p w14:paraId="4BBB3911" w14:textId="77777777" w:rsidR="006E4D56" w:rsidRPr="009423CA" w:rsidRDefault="006E4D56" w:rsidP="006E4D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Thoughtful selection of number &amp; timing of assessments </w:t>
            </w:r>
          </w:p>
          <w:p w14:paraId="68892055" w14:textId="77777777" w:rsidR="006E4D56" w:rsidRPr="009423CA" w:rsidRDefault="006E4D56" w:rsidP="006E4D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Gold standard statistical approach – multilevel modelling or random effects modelling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FAA50F1" w14:textId="77777777" w:rsidR="006E4D56" w:rsidRPr="009423CA" w:rsidRDefault="006E4D56" w:rsidP="006E4D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73F01540" w14:textId="77777777" w:rsidR="006E4D56" w:rsidRPr="009423CA" w:rsidRDefault="006E4D56" w:rsidP="006E4D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5C6C2113" w14:textId="77777777" w:rsidR="006E4D56" w:rsidRPr="009423CA" w:rsidRDefault="006E4D56" w:rsidP="006E4D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3B3DB43D" w14:textId="77777777" w:rsidR="006E4D56" w:rsidRPr="009423CA" w:rsidRDefault="006E4D56" w:rsidP="006E4D5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</w:tc>
      </w:tr>
      <w:tr w:rsidR="006E4D56" w:rsidRPr="009423CA" w14:paraId="119A9623" w14:textId="77777777" w:rsidTr="0088093A">
        <w:trPr>
          <w:trHeight w:val="690"/>
          <w:jc w:val="center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145A07F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M5.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72AE67A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Adequacy of follow up of cohorts </w:t>
            </w:r>
          </w:p>
        </w:tc>
        <w:tc>
          <w:tcPr>
            <w:tcW w:w="5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03D8B4F5" w14:textId="77777777" w:rsidR="006E4D56" w:rsidRPr="009423CA" w:rsidRDefault="006E4D56" w:rsidP="006E4D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complete follow up - all subjects accounted for </w:t>
            </w:r>
          </w:p>
          <w:p w14:paraId="2BA2DE4B" w14:textId="77777777" w:rsidR="006E4D56" w:rsidRPr="009423CA" w:rsidRDefault="006E4D56" w:rsidP="006E4D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subjects lost to follow up unlikely to introduce bias – where attrition rate reported low (&lt;30%), and the same in exposed and non-exposed (where applicable) </w:t>
            </w:r>
          </w:p>
          <w:p w14:paraId="22369B12" w14:textId="77777777" w:rsidR="006E4D56" w:rsidRPr="009423CA" w:rsidRDefault="006E4D56" w:rsidP="006E4D5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no statement/follow up likely to introduce bias (&gt;30%) and different between exposed and non-exposed.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3E7C161" w14:textId="77777777" w:rsidR="006E4D56" w:rsidRPr="009423CA" w:rsidRDefault="006E4D56" w:rsidP="006E4D5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0CF276CA" w14:textId="77777777" w:rsidR="006E4D56" w:rsidRPr="009423CA" w:rsidRDefault="006E4D56" w:rsidP="006E4D5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 </w:t>
            </w:r>
          </w:p>
          <w:p w14:paraId="4CC3E0F9" w14:textId="77777777" w:rsidR="006E4D56" w:rsidRPr="009423CA" w:rsidRDefault="006E4D56" w:rsidP="006E4D5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0 point </w:t>
            </w:r>
          </w:p>
        </w:tc>
      </w:tr>
      <w:tr w:rsidR="006E4D56" w:rsidRPr="009423CA" w14:paraId="7FFACF31" w14:textId="77777777" w:rsidTr="0088093A">
        <w:trPr>
          <w:trHeight w:val="165"/>
          <w:jc w:val="center"/>
        </w:trPr>
        <w:tc>
          <w:tcPr>
            <w:tcW w:w="8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E82D8" w14:textId="77777777" w:rsidR="006E4D56" w:rsidRPr="009423CA" w:rsidRDefault="006E4D56" w:rsidP="0051108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Score – Menstrual Quality Assessment Items</w:t>
            </w:r>
            <w:r w:rsidRPr="009423CA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6E9944" w14:textId="77777777" w:rsidR="006E4D56" w:rsidRPr="009423CA" w:rsidRDefault="006E4D56" w:rsidP="0051108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009423C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16</w:t>
            </w:r>
          </w:p>
        </w:tc>
      </w:tr>
    </w:tbl>
    <w:p w14:paraId="53EB96FE" w14:textId="77777777" w:rsidR="006E4D56" w:rsidRDefault="006E4D56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745F7241" w14:textId="77777777" w:rsidR="0088093A" w:rsidRDefault="0088093A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2C61B1FB" w14:textId="77777777" w:rsidR="0088093A" w:rsidRDefault="0088093A" w:rsidP="006E4D56">
      <w:pPr>
        <w:rPr>
          <w:rFonts w:ascii="Calibri" w:eastAsia="Times New Roman" w:hAnsi="Calibri" w:cs="Calibri"/>
          <w:b/>
          <w:bCs/>
          <w:color w:val="000000"/>
          <w:lang w:val="en-GB" w:eastAsia="en-GB"/>
        </w:rPr>
      </w:pPr>
    </w:p>
    <w:p w14:paraId="100C626C" w14:textId="456595A6" w:rsidR="006E4D56" w:rsidRPr="0011579F" w:rsidRDefault="006E4D56" w:rsidP="006E4D56">
      <w:pPr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</w:pP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  <w:lastRenderedPageBreak/>
        <w:t xml:space="preserve">4.4. </w:t>
      </w:r>
      <w:r w:rsidRPr="0011579F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  <w:t xml:space="preserve">Menstrual Quality 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  <w:t>Assessment</w:t>
      </w:r>
      <w:r w:rsidRPr="00116A38"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  <w:t xml:space="preserve"> </w:t>
      </w:r>
      <w:r w:rsidRPr="0011579F"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  <w:t xml:space="preserve">– </w:t>
      </w:r>
      <w:r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  <w:t>Case Control</w:t>
      </w:r>
      <w:r w:rsidRPr="0011579F">
        <w:rPr>
          <w:rFonts w:ascii="Calibri" w:eastAsia="Times New Roman" w:hAnsi="Calibri" w:cs="Calibri"/>
          <w:i/>
          <w:iCs/>
          <w:sz w:val="24"/>
          <w:szCs w:val="24"/>
          <w:lang w:val="en-GB" w:eastAsia="en-GB"/>
        </w:rPr>
        <w:t xml:space="preserve"> Studies:</w:t>
      </w:r>
    </w:p>
    <w:p w14:paraId="46287C09" w14:textId="77777777" w:rsidR="006E4D56" w:rsidRPr="00B54FA2" w:rsidRDefault="006E4D56" w:rsidP="006E4D56">
      <w:pPr>
        <w:rPr>
          <w:rFonts w:ascii="Calibri" w:eastAsia="Times New Roman" w:hAnsi="Calibri" w:cs="Calibri"/>
          <w:b/>
          <w:bCs/>
          <w:sz w:val="21"/>
          <w:szCs w:val="21"/>
          <w:lang w:val="en-GB" w:eastAsia="en-GB"/>
        </w:rPr>
      </w:pPr>
    </w:p>
    <w:p w14:paraId="1A2B44F5" w14:textId="492DAF7B" w:rsidR="006E4D56" w:rsidRDefault="006E4D56" w:rsidP="006E4D56">
      <w:pPr>
        <w:rPr>
          <w:rFonts w:ascii="Calibri" w:eastAsia="Times New Roman" w:hAnsi="Calibri" w:cs="Calibri"/>
          <w:b/>
          <w:bCs/>
          <w:lang w:val="en-GB" w:eastAsia="en-GB"/>
        </w:rPr>
      </w:pPr>
    </w:p>
    <w:tbl>
      <w:tblPr>
        <w:tblStyle w:val="TableGrid"/>
        <w:tblpPr w:leftFromText="180" w:rightFromText="180" w:vertAnchor="page" w:horzAnchor="margin" w:tblpXSpec="center" w:tblpY="1996"/>
        <w:tblW w:w="10060" w:type="dxa"/>
        <w:tblLook w:val="04A0" w:firstRow="1" w:lastRow="0" w:firstColumn="1" w:lastColumn="0" w:noHBand="0" w:noVBand="1"/>
      </w:tblPr>
      <w:tblGrid>
        <w:gridCol w:w="570"/>
        <w:gridCol w:w="2415"/>
        <w:gridCol w:w="5799"/>
        <w:gridCol w:w="1276"/>
      </w:tblGrid>
      <w:tr w:rsidR="006E4D56" w14:paraId="69EE54B4" w14:textId="77777777" w:rsidTr="0088093A">
        <w:trPr>
          <w:trHeight w:val="416"/>
        </w:trPr>
        <w:tc>
          <w:tcPr>
            <w:tcW w:w="10060" w:type="dxa"/>
            <w:gridSpan w:val="4"/>
          </w:tcPr>
          <w:p w14:paraId="09011CC3" w14:textId="77777777" w:rsidR="006E4D56" w:rsidRDefault="006E4D56" w:rsidP="0051108E">
            <w:pPr>
              <w:jc w:val="center"/>
              <w:textAlignment w:val="baseline"/>
              <w:rPr>
                <w:b/>
                <w:bCs/>
                <w:u w:val="singl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GB" w:eastAsia="en-GB"/>
              </w:rPr>
              <w:t>Menstrual Quality Tool</w:t>
            </w:r>
            <w:r w:rsidRPr="009423CA">
              <w:rPr>
                <w:rFonts w:ascii="Calibri" w:eastAsia="Times New Roman" w:hAnsi="Calibri" w:cs="Calibri"/>
                <w:b/>
                <w:bCs/>
                <w:u w:val="single"/>
                <w:lang w:val="en-GB" w:eastAsia="en-GB"/>
              </w:rPr>
              <w:t xml:space="preserve"> – </w:t>
            </w:r>
            <w:r w:rsidRPr="3D93254B">
              <w:rPr>
                <w:b/>
                <w:bCs/>
                <w:u w:val="single"/>
              </w:rPr>
              <w:t>Case Control Studies</w:t>
            </w:r>
          </w:p>
          <w:p w14:paraId="0AB90955" w14:textId="77777777" w:rsidR="006E4D56" w:rsidRDefault="006E4D56" w:rsidP="0051108E">
            <w:pPr>
              <w:jc w:val="center"/>
              <w:rPr>
                <w:b/>
                <w:bCs/>
                <w:u w:val="single"/>
              </w:rPr>
            </w:pPr>
          </w:p>
          <w:p w14:paraId="77A7C6F6" w14:textId="77777777" w:rsidR="006E4D56" w:rsidRDefault="006E4D56" w:rsidP="0051108E">
            <w:pPr>
              <w:jc w:val="center"/>
              <w:rPr>
                <w:sz w:val="20"/>
                <w:szCs w:val="20"/>
              </w:rPr>
            </w:pPr>
            <w:r w:rsidRPr="483D01E6">
              <w:rPr>
                <w:sz w:val="20"/>
                <w:szCs w:val="20"/>
              </w:rPr>
              <w:t xml:space="preserve">Adapted with reference to </w:t>
            </w:r>
            <w:hyperlink r:id="rId8">
              <w:r w:rsidRPr="483D01E6">
                <w:rPr>
                  <w:i/>
                  <w:iCs/>
                  <w:sz w:val="20"/>
                  <w:szCs w:val="20"/>
                </w:rPr>
                <w:t>Schmalenberger</w:t>
              </w:r>
            </w:hyperlink>
            <w:r w:rsidRPr="483D01E6">
              <w:rPr>
                <w:i/>
                <w:iCs/>
                <w:sz w:val="20"/>
                <w:szCs w:val="20"/>
              </w:rPr>
              <w:t xml:space="preserve"> et al. (2021): How to study the menstrual cycle: Practical tools and recommendations. </w:t>
            </w:r>
            <w:hyperlink r:id="rId9">
              <w:r w:rsidRPr="483D01E6">
                <w:rPr>
                  <w:i/>
                  <w:iCs/>
                  <w:sz w:val="20"/>
                  <w:szCs w:val="20"/>
                </w:rPr>
                <w:t>Psychoneuroendocrinology. 2021 Jan; 123: 104895.</w:t>
              </w:r>
            </w:hyperlink>
            <w:r w:rsidRPr="483D01E6">
              <w:rPr>
                <w:i/>
                <w:iCs/>
                <w:sz w:val="20"/>
                <w:szCs w:val="20"/>
              </w:rPr>
              <w:t xml:space="preserve"> Doi: </w:t>
            </w:r>
            <w:hyperlink r:id="rId10">
              <w:r w:rsidRPr="483D01E6">
                <w:rPr>
                  <w:i/>
                  <w:iCs/>
                  <w:sz w:val="20"/>
                  <w:szCs w:val="20"/>
                  <w:u w:val="single"/>
                </w:rPr>
                <w:t>10.1016/j.psyneuen.2020.104895</w:t>
              </w:r>
            </w:hyperlink>
          </w:p>
          <w:p w14:paraId="7A88B756" w14:textId="77777777" w:rsidR="006E4D56" w:rsidRDefault="006E4D56" w:rsidP="0051108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E4D56" w:rsidRPr="001B780D" w14:paraId="61ED9034" w14:textId="77777777" w:rsidTr="0088093A">
        <w:trPr>
          <w:trHeight w:val="416"/>
        </w:trPr>
        <w:tc>
          <w:tcPr>
            <w:tcW w:w="8784" w:type="dxa"/>
            <w:gridSpan w:val="3"/>
          </w:tcPr>
          <w:p w14:paraId="77345DF8" w14:textId="77777777" w:rsidR="006E4D56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2F05F878" w14:textId="77777777" w:rsidR="006E4D56" w:rsidRPr="001B780D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483D01E6">
              <w:rPr>
                <w:b/>
                <w:bCs/>
                <w:sz w:val="20"/>
                <w:szCs w:val="20"/>
                <w:u w:val="single"/>
              </w:rPr>
              <w:t>Quality Criterion</w:t>
            </w:r>
          </w:p>
          <w:p w14:paraId="1319D35C" w14:textId="77777777" w:rsidR="006E4D56" w:rsidRPr="001B780D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76" w:type="dxa"/>
          </w:tcPr>
          <w:p w14:paraId="15319331" w14:textId="77777777" w:rsidR="0088093A" w:rsidRDefault="0088093A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60CE3A00" w14:textId="11CA33CA" w:rsidR="006E4D56" w:rsidRPr="001B780D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483D01E6">
              <w:rPr>
                <w:b/>
                <w:bCs/>
                <w:sz w:val="20"/>
                <w:szCs w:val="20"/>
                <w:u w:val="single"/>
              </w:rPr>
              <w:t>Points available</w:t>
            </w:r>
          </w:p>
          <w:p w14:paraId="6293FA13" w14:textId="77777777" w:rsidR="006E4D56" w:rsidRPr="001B780D" w:rsidRDefault="006E4D56" w:rsidP="0051108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6E4D56" w14:paraId="22AEA28E" w14:textId="77777777" w:rsidTr="0088093A">
        <w:trPr>
          <w:trHeight w:val="470"/>
        </w:trPr>
        <w:tc>
          <w:tcPr>
            <w:tcW w:w="570" w:type="dxa"/>
            <w:shd w:val="clear" w:color="auto" w:fill="FF78CB"/>
          </w:tcPr>
          <w:p w14:paraId="71C20AE8" w14:textId="77777777" w:rsidR="006E4D56" w:rsidRDefault="006E4D56" w:rsidP="0051108E">
            <w:pPr>
              <w:pStyle w:val="ListParagraph"/>
              <w:spacing w:line="259" w:lineRule="auto"/>
              <w:ind w:left="0"/>
              <w:rPr>
                <w:sz w:val="20"/>
                <w:szCs w:val="20"/>
              </w:rPr>
            </w:pPr>
            <w:r w:rsidRPr="483D01E6">
              <w:rPr>
                <w:sz w:val="20"/>
                <w:szCs w:val="20"/>
              </w:rPr>
              <w:t>M0.</w:t>
            </w:r>
          </w:p>
        </w:tc>
        <w:tc>
          <w:tcPr>
            <w:tcW w:w="2415" w:type="dxa"/>
            <w:shd w:val="clear" w:color="auto" w:fill="FF78CB"/>
          </w:tcPr>
          <w:p w14:paraId="3C295553" w14:textId="77777777" w:rsidR="006E4D56" w:rsidRDefault="006E4D56" w:rsidP="0051108E">
            <w:pPr>
              <w:pStyle w:val="ListParagraph"/>
              <w:spacing w:line="259" w:lineRule="auto"/>
              <w:ind w:left="0"/>
              <w:rPr>
                <w:sz w:val="20"/>
                <w:szCs w:val="20"/>
              </w:rPr>
            </w:pPr>
            <w:r w:rsidRPr="483D01E6">
              <w:rPr>
                <w:sz w:val="20"/>
                <w:szCs w:val="20"/>
              </w:rPr>
              <w:t>Design &amp; hypotheses</w:t>
            </w:r>
          </w:p>
        </w:tc>
        <w:tc>
          <w:tcPr>
            <w:tcW w:w="5799" w:type="dxa"/>
            <w:shd w:val="clear" w:color="auto" w:fill="FF78CB"/>
          </w:tcPr>
          <w:p w14:paraId="18BB327D" w14:textId="0287C74A" w:rsidR="006E4D56" w:rsidRPr="004A3462" w:rsidRDefault="006E4D56" w:rsidP="006E4D5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Clearly stated purpose of study &amp; </w:t>
            </w:r>
            <w:r w:rsidR="000A6D9E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emotion regulation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</w:t>
            </w: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hypotheses to be tested</w:t>
            </w:r>
          </w:p>
          <w:p w14:paraId="608C9703" w14:textId="77777777" w:rsidR="006E4D56" w:rsidRPr="004A3462" w:rsidRDefault="006E4D56" w:rsidP="006E4D5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Sufficient sample size for study design (with a priori power calculations stated)</w:t>
            </w:r>
          </w:p>
          <w:p w14:paraId="0C8A3160" w14:textId="77777777" w:rsidR="006E4D56" w:rsidRDefault="006E4D56" w:rsidP="006E4D5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Eligibility criteria comprehensive &amp; stated with reference to sufficient variables affecting menstrual cycle – e.g. hormonal medications, pregnancy &amp; breastfeeding status, typical length of cycle, age in relation to puberty &amp; menopause transitions, </w:t>
            </w:r>
            <w:proofErr w:type="spellStart"/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gynecological</w:t>
            </w:r>
            <w:proofErr w:type="spellEnd"/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conditions</w:t>
            </w:r>
          </w:p>
          <w:p w14:paraId="2C94D6D7" w14:textId="77777777" w:rsidR="006E4D56" w:rsidRPr="004A3462" w:rsidRDefault="006E4D56" w:rsidP="0051108E">
            <w:pPr>
              <w:pStyle w:val="ListParagraph"/>
              <w:ind w:left="36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shd w:val="clear" w:color="auto" w:fill="FF78CB"/>
          </w:tcPr>
          <w:p w14:paraId="6502BAF6" w14:textId="77777777" w:rsidR="006E4D56" w:rsidRPr="004A3462" w:rsidRDefault="006E4D56" w:rsidP="006E4D56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</w:t>
            </w:r>
          </w:p>
          <w:p w14:paraId="34CB6CCC" w14:textId="77777777" w:rsidR="006E4D56" w:rsidRPr="004A3462" w:rsidRDefault="006E4D56" w:rsidP="006E4D56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</w:t>
            </w:r>
          </w:p>
          <w:p w14:paraId="7B19AA7E" w14:textId="77777777" w:rsidR="006E4D56" w:rsidRPr="004A3462" w:rsidRDefault="006E4D56" w:rsidP="006E4D56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</w:t>
            </w:r>
          </w:p>
        </w:tc>
      </w:tr>
      <w:tr w:rsidR="006E4D56" w14:paraId="1415CBA2" w14:textId="77777777" w:rsidTr="0088093A">
        <w:trPr>
          <w:trHeight w:val="199"/>
        </w:trPr>
        <w:tc>
          <w:tcPr>
            <w:tcW w:w="8784" w:type="dxa"/>
            <w:gridSpan w:val="3"/>
          </w:tcPr>
          <w:p w14:paraId="209EE1F4" w14:textId="77777777" w:rsidR="006E4D56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  <w:r w:rsidRPr="483D01E6">
              <w:rPr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1276" w:type="dxa"/>
          </w:tcPr>
          <w:p w14:paraId="0A4F023E" w14:textId="77777777" w:rsidR="006E4D56" w:rsidRDefault="006E4D56" w:rsidP="0051108E">
            <w:pPr>
              <w:jc w:val="center"/>
              <w:rPr>
                <w:sz w:val="20"/>
                <w:szCs w:val="20"/>
              </w:rPr>
            </w:pPr>
          </w:p>
        </w:tc>
      </w:tr>
      <w:tr w:rsidR="006E4D56" w:rsidRPr="001B780D" w14:paraId="39A5D919" w14:textId="77777777" w:rsidTr="0088093A">
        <w:trPr>
          <w:trHeight w:val="470"/>
        </w:trPr>
        <w:tc>
          <w:tcPr>
            <w:tcW w:w="570" w:type="dxa"/>
            <w:shd w:val="clear" w:color="auto" w:fill="FF78CB"/>
          </w:tcPr>
          <w:p w14:paraId="2331C7CA" w14:textId="77777777" w:rsidR="006E4D56" w:rsidRPr="001B780D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  <w:r w:rsidRPr="483D01E6">
              <w:rPr>
                <w:sz w:val="20"/>
                <w:szCs w:val="20"/>
              </w:rPr>
              <w:t>M1.</w:t>
            </w:r>
          </w:p>
        </w:tc>
        <w:tc>
          <w:tcPr>
            <w:tcW w:w="2415" w:type="dxa"/>
            <w:shd w:val="clear" w:color="auto" w:fill="FF78CB"/>
          </w:tcPr>
          <w:p w14:paraId="47CA643A" w14:textId="77777777" w:rsidR="006E4D56" w:rsidRPr="001B780D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Representativeness of the cohorts</w:t>
            </w:r>
          </w:p>
          <w:p w14:paraId="3A73E8BA" w14:textId="77777777" w:rsidR="006E4D56" w:rsidRPr="001B780D" w:rsidRDefault="006E4D56" w:rsidP="0051108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FF78CB"/>
          </w:tcPr>
          <w:p w14:paraId="0BB3F161" w14:textId="77777777" w:rsidR="006E4D56" w:rsidRPr="004A3462" w:rsidRDefault="006E4D56" w:rsidP="006E4D56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Sufficient selection methods - assessment process (i.e., prospective) and robustness of measurement tool (i.e., validated scale)</w:t>
            </w:r>
          </w:p>
          <w:p w14:paraId="113FC67F" w14:textId="77777777" w:rsidR="006E4D56" w:rsidRPr="004A3462" w:rsidRDefault="006E4D56" w:rsidP="006E4D56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Was a minimum of two menstrual cycles observed, this length is standard for establishing diagnosis of premenstrual disorders (e.g., PMDD)</w:t>
            </w:r>
          </w:p>
          <w:p w14:paraId="56AEA8B6" w14:textId="77777777" w:rsidR="006E4D56" w:rsidRPr="004A3462" w:rsidRDefault="006E4D56" w:rsidP="006E4D56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Controls exposed to same selection assessment methods</w:t>
            </w:r>
          </w:p>
          <w:p w14:paraId="058B3F43" w14:textId="77777777" w:rsidR="006E4D56" w:rsidRDefault="006E4D56" w:rsidP="006E4D56">
            <w:pPr>
              <w:pStyle w:val="ListParagraph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Consideration of representativeness &amp; data presented – ethnicity, educational level, gender identity, socioeconomic status, etc.</w:t>
            </w:r>
          </w:p>
          <w:p w14:paraId="4A06AB75" w14:textId="77777777" w:rsidR="006E4D56" w:rsidRPr="004A3462" w:rsidRDefault="006E4D56" w:rsidP="0051108E">
            <w:pPr>
              <w:pStyle w:val="ListParagraph"/>
              <w:ind w:left="36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shd w:val="clear" w:color="auto" w:fill="FF78CB"/>
          </w:tcPr>
          <w:p w14:paraId="7CEC713B" w14:textId="77777777" w:rsidR="006E4D56" w:rsidRPr="004A3462" w:rsidRDefault="006E4D56" w:rsidP="006E4D56">
            <w:pPr>
              <w:pStyle w:val="ListParagraph"/>
              <w:numPr>
                <w:ilvl w:val="0"/>
                <w:numId w:val="26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1B780D">
              <w:rPr>
                <w:sz w:val="20"/>
                <w:szCs w:val="20"/>
              </w:rPr>
              <w:t xml:space="preserve">1 </w:t>
            </w: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point</w:t>
            </w:r>
          </w:p>
          <w:p w14:paraId="15C0DA73" w14:textId="77777777" w:rsidR="006E4D56" w:rsidRPr="004A3462" w:rsidRDefault="006E4D56" w:rsidP="006E4D56">
            <w:pPr>
              <w:pStyle w:val="ListParagraph"/>
              <w:numPr>
                <w:ilvl w:val="0"/>
                <w:numId w:val="26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</w:t>
            </w:r>
          </w:p>
          <w:p w14:paraId="2289248D" w14:textId="77777777" w:rsidR="006E4D56" w:rsidRPr="004A3462" w:rsidRDefault="006E4D56" w:rsidP="006E4D56">
            <w:pPr>
              <w:pStyle w:val="ListParagraph"/>
              <w:numPr>
                <w:ilvl w:val="0"/>
                <w:numId w:val="26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</w:t>
            </w:r>
          </w:p>
          <w:p w14:paraId="024C0699" w14:textId="77777777" w:rsidR="006E4D56" w:rsidRPr="001B780D" w:rsidRDefault="006E4D56" w:rsidP="006E4D56">
            <w:pPr>
              <w:pStyle w:val="ListParagraph"/>
              <w:numPr>
                <w:ilvl w:val="0"/>
                <w:numId w:val="26"/>
              </w:numPr>
              <w:textAlignment w:val="baseline"/>
              <w:rPr>
                <w:sz w:val="20"/>
                <w:szCs w:val="20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1 point</w:t>
            </w:r>
          </w:p>
        </w:tc>
      </w:tr>
      <w:tr w:rsidR="006E4D56" w:rsidRPr="001B780D" w14:paraId="6F3CC422" w14:textId="77777777" w:rsidTr="0088093A">
        <w:trPr>
          <w:trHeight w:val="683"/>
        </w:trPr>
        <w:tc>
          <w:tcPr>
            <w:tcW w:w="570" w:type="dxa"/>
            <w:shd w:val="clear" w:color="auto" w:fill="FF78CB"/>
          </w:tcPr>
          <w:p w14:paraId="2A8672CC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M2.</w:t>
            </w:r>
          </w:p>
        </w:tc>
        <w:tc>
          <w:tcPr>
            <w:tcW w:w="2415" w:type="dxa"/>
            <w:shd w:val="clear" w:color="auto" w:fill="FF78CB"/>
          </w:tcPr>
          <w:p w14:paraId="02EEB702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 w:rsidRPr="001B780D">
              <w:rPr>
                <w:sz w:val="20"/>
                <w:szCs w:val="20"/>
              </w:rPr>
              <w:t>Method to ascertain exposure</w:t>
            </w:r>
            <w:r>
              <w:rPr>
                <w:sz w:val="20"/>
                <w:szCs w:val="20"/>
              </w:rPr>
              <w:t xml:space="preserve"> (menstrual cycle phase)</w:t>
            </w:r>
          </w:p>
        </w:tc>
        <w:tc>
          <w:tcPr>
            <w:tcW w:w="5799" w:type="dxa"/>
            <w:shd w:val="clear" w:color="auto" w:fill="FF78CB"/>
          </w:tcPr>
          <w:p w14:paraId="1AEF725D" w14:textId="77777777" w:rsidR="006E4D56" w:rsidRPr="004A3462" w:rsidRDefault="006E4D56" w:rsidP="006E4D56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Method used to ascertain exposure (menstrual cycle phase) is robust? E.g., forward backward count / hormonal assays used</w:t>
            </w:r>
          </w:p>
        </w:tc>
        <w:tc>
          <w:tcPr>
            <w:tcW w:w="1276" w:type="dxa"/>
            <w:shd w:val="clear" w:color="auto" w:fill="FF78CB"/>
          </w:tcPr>
          <w:p w14:paraId="6F031AD3" w14:textId="77777777" w:rsidR="006E4D56" w:rsidRPr="001B780D" w:rsidRDefault="006E4D56" w:rsidP="006E4D56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sz w:val="20"/>
                <w:szCs w:val="20"/>
              </w:rPr>
            </w:pPr>
            <w:r w:rsidRPr="001B780D">
              <w:rPr>
                <w:sz w:val="20"/>
                <w:szCs w:val="20"/>
              </w:rPr>
              <w:t>1 point</w:t>
            </w:r>
          </w:p>
          <w:p w14:paraId="6528F49B" w14:textId="77777777" w:rsidR="006E4D56" w:rsidRPr="001B780D" w:rsidRDefault="006E4D56" w:rsidP="0051108E">
            <w:pPr>
              <w:pStyle w:val="pf0"/>
              <w:ind w:left="360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6E4D56" w:rsidRPr="001B780D" w14:paraId="07D15E8C" w14:textId="77777777" w:rsidTr="0088093A">
        <w:trPr>
          <w:trHeight w:val="295"/>
        </w:trPr>
        <w:tc>
          <w:tcPr>
            <w:tcW w:w="8784" w:type="dxa"/>
            <w:gridSpan w:val="3"/>
          </w:tcPr>
          <w:p w14:paraId="0ED15F5E" w14:textId="01F43D75" w:rsidR="006E4D56" w:rsidRPr="001B780D" w:rsidRDefault="006E4D56" w:rsidP="0088093A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7B40F53C">
              <w:rPr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1276" w:type="dxa"/>
          </w:tcPr>
          <w:p w14:paraId="11446488" w14:textId="77777777" w:rsidR="006E4D56" w:rsidRPr="001B780D" w:rsidRDefault="006E4D56" w:rsidP="0051108E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6E4D56" w:rsidRPr="001B780D" w14:paraId="3BBA8A75" w14:textId="77777777" w:rsidTr="0088093A">
        <w:trPr>
          <w:trHeight w:val="455"/>
        </w:trPr>
        <w:tc>
          <w:tcPr>
            <w:tcW w:w="570" w:type="dxa"/>
            <w:shd w:val="clear" w:color="auto" w:fill="FF78CB"/>
          </w:tcPr>
          <w:p w14:paraId="0624C9A0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M3.</w:t>
            </w:r>
          </w:p>
        </w:tc>
        <w:tc>
          <w:tcPr>
            <w:tcW w:w="2415" w:type="dxa"/>
            <w:shd w:val="clear" w:color="auto" w:fill="FF78CB"/>
          </w:tcPr>
          <w:p w14:paraId="4C57AB68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 w:rsidRPr="001B780D">
              <w:rPr>
                <w:sz w:val="20"/>
                <w:szCs w:val="20"/>
              </w:rPr>
              <w:t>Assessment of outcome</w:t>
            </w:r>
          </w:p>
        </w:tc>
        <w:tc>
          <w:tcPr>
            <w:tcW w:w="5799" w:type="dxa"/>
            <w:shd w:val="clear" w:color="auto" w:fill="FF78CB"/>
          </w:tcPr>
          <w:p w14:paraId="5A579C08" w14:textId="2FDD02F3" w:rsidR="006E4D56" w:rsidRPr="004A3462" w:rsidRDefault="006E4D56" w:rsidP="006E4D56">
            <w:pPr>
              <w:pStyle w:val="ListParagraph"/>
              <w:numPr>
                <w:ilvl w:val="0"/>
                <w:numId w:val="29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Validated measure of emotion</w:t>
            </w:r>
            <w:r w:rsidR="000A6D9E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regulation</w:t>
            </w: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variable</w:t>
            </w:r>
          </w:p>
          <w:p w14:paraId="6E09C448" w14:textId="77777777" w:rsidR="006E4D56" w:rsidRPr="004A3462" w:rsidRDefault="006E4D56" w:rsidP="006E4D56">
            <w:pPr>
              <w:pStyle w:val="ListParagraph"/>
              <w:numPr>
                <w:ilvl w:val="0"/>
                <w:numId w:val="29"/>
              </w:numPr>
              <w:textAlignment w:val="baseline"/>
              <w:rPr>
                <w:sz w:val="20"/>
                <w:szCs w:val="20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Sufficient consideration of confounds (e.g., psychiatric medications, stressful events, negative affect, etc.)</w:t>
            </w:r>
          </w:p>
          <w:p w14:paraId="07BBF525" w14:textId="77777777" w:rsidR="006E4D56" w:rsidRPr="001B780D" w:rsidRDefault="006E4D56" w:rsidP="0051108E">
            <w:pPr>
              <w:pStyle w:val="ListParagraph"/>
              <w:ind w:left="3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78CB"/>
          </w:tcPr>
          <w:p w14:paraId="50B85100" w14:textId="77777777" w:rsidR="006E4D56" w:rsidRPr="001B780D" w:rsidRDefault="006E4D56" w:rsidP="006E4D56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sz w:val="20"/>
                <w:szCs w:val="20"/>
              </w:rPr>
            </w:pPr>
            <w:r w:rsidRPr="483D01E6">
              <w:rPr>
                <w:sz w:val="20"/>
                <w:szCs w:val="20"/>
              </w:rPr>
              <w:t>1 point</w:t>
            </w:r>
          </w:p>
          <w:p w14:paraId="4A084E8E" w14:textId="77777777" w:rsidR="006E4D56" w:rsidRPr="001B780D" w:rsidRDefault="006E4D56" w:rsidP="006E4D56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sz w:val="20"/>
                <w:szCs w:val="20"/>
              </w:rPr>
            </w:pPr>
            <w:r w:rsidRPr="483D01E6">
              <w:rPr>
                <w:sz w:val="20"/>
                <w:szCs w:val="20"/>
              </w:rPr>
              <w:t>1 point</w:t>
            </w:r>
          </w:p>
        </w:tc>
      </w:tr>
      <w:tr w:rsidR="006E4D56" w:rsidRPr="001B780D" w14:paraId="23EDAC8C" w14:textId="77777777" w:rsidTr="0088093A">
        <w:trPr>
          <w:trHeight w:val="698"/>
        </w:trPr>
        <w:tc>
          <w:tcPr>
            <w:tcW w:w="570" w:type="dxa"/>
            <w:shd w:val="clear" w:color="auto" w:fill="FF78CB"/>
          </w:tcPr>
          <w:p w14:paraId="7E5E816B" w14:textId="77777777" w:rsidR="006E4D56" w:rsidRPr="001B780D" w:rsidRDefault="006E4D56" w:rsidP="0051108E">
            <w:pPr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M4.</w:t>
            </w:r>
          </w:p>
        </w:tc>
        <w:tc>
          <w:tcPr>
            <w:tcW w:w="2415" w:type="dxa"/>
            <w:shd w:val="clear" w:color="auto" w:fill="FF78CB"/>
          </w:tcPr>
          <w:p w14:paraId="0A97DAB0" w14:textId="77777777" w:rsidR="006E4D56" w:rsidRPr="001B780D" w:rsidRDefault="006E4D56" w:rsidP="0051108E">
            <w:pPr>
              <w:spacing w:line="259" w:lineRule="auto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Analysis</w:t>
            </w:r>
          </w:p>
        </w:tc>
        <w:tc>
          <w:tcPr>
            <w:tcW w:w="5799" w:type="dxa"/>
            <w:shd w:val="clear" w:color="auto" w:fill="FF78CB"/>
          </w:tcPr>
          <w:p w14:paraId="7EAD4C4E" w14:textId="77777777" w:rsidR="006E4D56" w:rsidRPr="004A3462" w:rsidRDefault="006E4D56" w:rsidP="006E4D5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Thoughtful selection of number &amp; timing of a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ssessment</w:t>
            </w: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s </w:t>
            </w:r>
          </w:p>
          <w:p w14:paraId="59553948" w14:textId="77777777" w:rsidR="006E4D56" w:rsidRPr="004A3462" w:rsidRDefault="006E4D56" w:rsidP="006E4D56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sz w:val="20"/>
                <w:szCs w:val="20"/>
              </w:rPr>
            </w:pPr>
            <w:r w:rsidRPr="004A3462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Appropriate statistical approach (e.g., controlling for multiple comparisons)</w:t>
            </w:r>
          </w:p>
          <w:p w14:paraId="35835D31" w14:textId="77777777" w:rsidR="006E4D56" w:rsidRPr="001B780D" w:rsidRDefault="006E4D56" w:rsidP="0051108E">
            <w:pPr>
              <w:pStyle w:val="ListParagraph"/>
              <w:ind w:left="3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78CB"/>
          </w:tcPr>
          <w:p w14:paraId="0B9AF912" w14:textId="77777777" w:rsidR="006E4D56" w:rsidRPr="001B780D" w:rsidRDefault="006E4D56" w:rsidP="006E4D56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sz w:val="20"/>
                <w:szCs w:val="20"/>
              </w:rPr>
            </w:pPr>
            <w:r w:rsidRPr="001B780D">
              <w:rPr>
                <w:sz w:val="20"/>
                <w:szCs w:val="20"/>
              </w:rPr>
              <w:t>1 point</w:t>
            </w:r>
          </w:p>
          <w:p w14:paraId="5351D9F7" w14:textId="77777777" w:rsidR="006E4D56" w:rsidRPr="001B780D" w:rsidRDefault="006E4D56" w:rsidP="006E4D56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sz w:val="20"/>
                <w:szCs w:val="20"/>
              </w:rPr>
            </w:pPr>
            <w:r w:rsidRPr="3D93254B">
              <w:rPr>
                <w:sz w:val="20"/>
                <w:szCs w:val="20"/>
              </w:rPr>
              <w:t>1 point</w:t>
            </w:r>
          </w:p>
          <w:p w14:paraId="0623BBF0" w14:textId="77777777" w:rsidR="006E4D56" w:rsidRPr="001B780D" w:rsidRDefault="006E4D56" w:rsidP="0051108E">
            <w:pPr>
              <w:rPr>
                <w:sz w:val="20"/>
                <w:szCs w:val="20"/>
              </w:rPr>
            </w:pPr>
          </w:p>
        </w:tc>
      </w:tr>
      <w:tr w:rsidR="006E4D56" w14:paraId="0EB9096C" w14:textId="77777777" w:rsidTr="0088093A">
        <w:trPr>
          <w:trHeight w:val="178"/>
        </w:trPr>
        <w:tc>
          <w:tcPr>
            <w:tcW w:w="8784" w:type="dxa"/>
            <w:gridSpan w:val="3"/>
          </w:tcPr>
          <w:p w14:paraId="7AFAF1CB" w14:textId="5FC72F20" w:rsidR="006E4D56" w:rsidRDefault="006E4D56" w:rsidP="0088093A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3D93254B">
              <w:rPr>
                <w:b/>
                <w:bCs/>
                <w:sz w:val="20"/>
                <w:szCs w:val="20"/>
              </w:rPr>
              <w:t>Score – Menstrual Quality Assessment items</w:t>
            </w:r>
          </w:p>
        </w:tc>
        <w:tc>
          <w:tcPr>
            <w:tcW w:w="1276" w:type="dxa"/>
          </w:tcPr>
          <w:p w14:paraId="081AFF19" w14:textId="77777777" w:rsidR="006E4D56" w:rsidRDefault="006E4D56" w:rsidP="0051108E">
            <w:pPr>
              <w:jc w:val="center"/>
              <w:rPr>
                <w:b/>
                <w:bCs/>
                <w:sz w:val="20"/>
                <w:szCs w:val="20"/>
              </w:rPr>
            </w:pPr>
            <w:r w:rsidRPr="3D93254B">
              <w:rPr>
                <w:b/>
                <w:bCs/>
                <w:sz w:val="20"/>
                <w:szCs w:val="20"/>
              </w:rPr>
              <w:t>/12</w:t>
            </w:r>
          </w:p>
        </w:tc>
      </w:tr>
    </w:tbl>
    <w:p w14:paraId="1EA9881D" w14:textId="77777777" w:rsidR="006E4D56" w:rsidRDefault="006E4D56" w:rsidP="006E4D56"/>
    <w:sectPr w:rsidR="006E4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1C7"/>
    <w:multiLevelType w:val="hybridMultilevel"/>
    <w:tmpl w:val="247C0DF0"/>
    <w:lvl w:ilvl="0" w:tplc="08090017">
      <w:start w:val="1"/>
      <w:numFmt w:val="lowerLetter"/>
      <w:lvlText w:val="%1)"/>
      <w:lvlJc w:val="left"/>
      <w:pPr>
        <w:ind w:left="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84" w:hanging="360"/>
      </w:pPr>
    </w:lvl>
    <w:lvl w:ilvl="2" w:tplc="0809001B" w:tentative="1">
      <w:start w:val="1"/>
      <w:numFmt w:val="lowerRoman"/>
      <w:lvlText w:val="%3."/>
      <w:lvlJc w:val="right"/>
      <w:pPr>
        <w:ind w:left="1504" w:hanging="180"/>
      </w:pPr>
    </w:lvl>
    <w:lvl w:ilvl="3" w:tplc="0809000F" w:tentative="1">
      <w:start w:val="1"/>
      <w:numFmt w:val="decimal"/>
      <w:lvlText w:val="%4."/>
      <w:lvlJc w:val="left"/>
      <w:pPr>
        <w:ind w:left="2224" w:hanging="360"/>
      </w:pPr>
    </w:lvl>
    <w:lvl w:ilvl="4" w:tplc="08090019" w:tentative="1">
      <w:start w:val="1"/>
      <w:numFmt w:val="lowerLetter"/>
      <w:lvlText w:val="%5."/>
      <w:lvlJc w:val="left"/>
      <w:pPr>
        <w:ind w:left="2944" w:hanging="360"/>
      </w:pPr>
    </w:lvl>
    <w:lvl w:ilvl="5" w:tplc="0809001B" w:tentative="1">
      <w:start w:val="1"/>
      <w:numFmt w:val="lowerRoman"/>
      <w:lvlText w:val="%6."/>
      <w:lvlJc w:val="right"/>
      <w:pPr>
        <w:ind w:left="3664" w:hanging="180"/>
      </w:pPr>
    </w:lvl>
    <w:lvl w:ilvl="6" w:tplc="0809000F" w:tentative="1">
      <w:start w:val="1"/>
      <w:numFmt w:val="decimal"/>
      <w:lvlText w:val="%7."/>
      <w:lvlJc w:val="left"/>
      <w:pPr>
        <w:ind w:left="4384" w:hanging="360"/>
      </w:pPr>
    </w:lvl>
    <w:lvl w:ilvl="7" w:tplc="08090019" w:tentative="1">
      <w:start w:val="1"/>
      <w:numFmt w:val="lowerLetter"/>
      <w:lvlText w:val="%8."/>
      <w:lvlJc w:val="left"/>
      <w:pPr>
        <w:ind w:left="5104" w:hanging="360"/>
      </w:pPr>
    </w:lvl>
    <w:lvl w:ilvl="8" w:tplc="0809001B" w:tentative="1">
      <w:start w:val="1"/>
      <w:numFmt w:val="lowerRoman"/>
      <w:lvlText w:val="%9."/>
      <w:lvlJc w:val="right"/>
      <w:pPr>
        <w:ind w:left="5824" w:hanging="180"/>
      </w:pPr>
    </w:lvl>
  </w:abstractNum>
  <w:abstractNum w:abstractNumId="1" w15:restartNumberingAfterBreak="0">
    <w:nsid w:val="030D274B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E0269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7231D"/>
    <w:multiLevelType w:val="hybridMultilevel"/>
    <w:tmpl w:val="D2F0C044"/>
    <w:lvl w:ilvl="0" w:tplc="803273EA">
      <w:start w:val="1"/>
      <w:numFmt w:val="lowerLetter"/>
      <w:lvlText w:val="%1)"/>
      <w:lvlJc w:val="left"/>
      <w:pPr>
        <w:ind w:left="360" w:hanging="360"/>
      </w:pPr>
    </w:lvl>
    <w:lvl w:ilvl="1" w:tplc="4528A0F8">
      <w:start w:val="1"/>
      <w:numFmt w:val="lowerLetter"/>
      <w:lvlText w:val="%2."/>
      <w:lvlJc w:val="left"/>
      <w:pPr>
        <w:ind w:left="1080" w:hanging="360"/>
      </w:pPr>
    </w:lvl>
    <w:lvl w:ilvl="2" w:tplc="E578AD5E">
      <w:start w:val="1"/>
      <w:numFmt w:val="lowerRoman"/>
      <w:lvlText w:val="%3."/>
      <w:lvlJc w:val="right"/>
      <w:pPr>
        <w:ind w:left="1800" w:hanging="180"/>
      </w:pPr>
    </w:lvl>
    <w:lvl w:ilvl="3" w:tplc="5D4E1250">
      <w:start w:val="1"/>
      <w:numFmt w:val="decimal"/>
      <w:lvlText w:val="%4."/>
      <w:lvlJc w:val="left"/>
      <w:pPr>
        <w:ind w:left="2520" w:hanging="360"/>
      </w:pPr>
    </w:lvl>
    <w:lvl w:ilvl="4" w:tplc="0014381E">
      <w:start w:val="1"/>
      <w:numFmt w:val="lowerLetter"/>
      <w:lvlText w:val="%5."/>
      <w:lvlJc w:val="left"/>
      <w:pPr>
        <w:ind w:left="3240" w:hanging="360"/>
      </w:pPr>
    </w:lvl>
    <w:lvl w:ilvl="5" w:tplc="3EF23E74">
      <w:start w:val="1"/>
      <w:numFmt w:val="lowerRoman"/>
      <w:lvlText w:val="%6."/>
      <w:lvlJc w:val="right"/>
      <w:pPr>
        <w:ind w:left="3960" w:hanging="180"/>
      </w:pPr>
    </w:lvl>
    <w:lvl w:ilvl="6" w:tplc="68EC8DF4">
      <w:start w:val="1"/>
      <w:numFmt w:val="decimal"/>
      <w:lvlText w:val="%7."/>
      <w:lvlJc w:val="left"/>
      <w:pPr>
        <w:ind w:left="4680" w:hanging="360"/>
      </w:pPr>
    </w:lvl>
    <w:lvl w:ilvl="7" w:tplc="35266478">
      <w:start w:val="1"/>
      <w:numFmt w:val="lowerLetter"/>
      <w:lvlText w:val="%8."/>
      <w:lvlJc w:val="left"/>
      <w:pPr>
        <w:ind w:left="5400" w:hanging="360"/>
      </w:pPr>
    </w:lvl>
    <w:lvl w:ilvl="8" w:tplc="DB88787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F937D2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6CB92"/>
    <w:multiLevelType w:val="hybridMultilevel"/>
    <w:tmpl w:val="F1561ECA"/>
    <w:lvl w:ilvl="0" w:tplc="9664E098">
      <w:start w:val="1"/>
      <w:numFmt w:val="lowerLetter"/>
      <w:lvlText w:val="%1)"/>
      <w:lvlJc w:val="left"/>
      <w:pPr>
        <w:ind w:left="360" w:hanging="360"/>
      </w:pPr>
    </w:lvl>
    <w:lvl w:ilvl="1" w:tplc="B0DC9890">
      <w:start w:val="1"/>
      <w:numFmt w:val="lowerLetter"/>
      <w:lvlText w:val="%2."/>
      <w:lvlJc w:val="left"/>
      <w:pPr>
        <w:ind w:left="1080" w:hanging="360"/>
      </w:pPr>
    </w:lvl>
    <w:lvl w:ilvl="2" w:tplc="78722E04">
      <w:start w:val="1"/>
      <w:numFmt w:val="lowerRoman"/>
      <w:lvlText w:val="%3."/>
      <w:lvlJc w:val="right"/>
      <w:pPr>
        <w:ind w:left="1800" w:hanging="180"/>
      </w:pPr>
    </w:lvl>
    <w:lvl w:ilvl="3" w:tplc="A9F8FB12">
      <w:start w:val="1"/>
      <w:numFmt w:val="decimal"/>
      <w:lvlText w:val="%4."/>
      <w:lvlJc w:val="left"/>
      <w:pPr>
        <w:ind w:left="2520" w:hanging="360"/>
      </w:pPr>
    </w:lvl>
    <w:lvl w:ilvl="4" w:tplc="70C23D30">
      <w:start w:val="1"/>
      <w:numFmt w:val="lowerLetter"/>
      <w:lvlText w:val="%5."/>
      <w:lvlJc w:val="left"/>
      <w:pPr>
        <w:ind w:left="3240" w:hanging="360"/>
      </w:pPr>
    </w:lvl>
    <w:lvl w:ilvl="5" w:tplc="DE760B02">
      <w:start w:val="1"/>
      <w:numFmt w:val="lowerRoman"/>
      <w:lvlText w:val="%6."/>
      <w:lvlJc w:val="right"/>
      <w:pPr>
        <w:ind w:left="3960" w:hanging="180"/>
      </w:pPr>
    </w:lvl>
    <w:lvl w:ilvl="6" w:tplc="BDAE4CCC">
      <w:start w:val="1"/>
      <w:numFmt w:val="decimal"/>
      <w:lvlText w:val="%7."/>
      <w:lvlJc w:val="left"/>
      <w:pPr>
        <w:ind w:left="4680" w:hanging="360"/>
      </w:pPr>
    </w:lvl>
    <w:lvl w:ilvl="7" w:tplc="88D24B0E">
      <w:start w:val="1"/>
      <w:numFmt w:val="lowerLetter"/>
      <w:lvlText w:val="%8."/>
      <w:lvlJc w:val="left"/>
      <w:pPr>
        <w:ind w:left="5400" w:hanging="360"/>
      </w:pPr>
    </w:lvl>
    <w:lvl w:ilvl="8" w:tplc="D44E487E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A4504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65AAE"/>
    <w:multiLevelType w:val="hybridMultilevel"/>
    <w:tmpl w:val="A0AECC20"/>
    <w:lvl w:ilvl="0" w:tplc="6B24B260">
      <w:start w:val="1"/>
      <w:numFmt w:val="lowerLetter"/>
      <w:lvlText w:val="%1)"/>
      <w:lvlJc w:val="left"/>
      <w:pPr>
        <w:ind w:left="360" w:hanging="360"/>
      </w:pPr>
    </w:lvl>
    <w:lvl w:ilvl="1" w:tplc="A978F480">
      <w:start w:val="1"/>
      <w:numFmt w:val="lowerLetter"/>
      <w:lvlText w:val="%2."/>
      <w:lvlJc w:val="left"/>
      <w:pPr>
        <w:ind w:left="1080" w:hanging="360"/>
      </w:pPr>
    </w:lvl>
    <w:lvl w:ilvl="2" w:tplc="924E4F84">
      <w:start w:val="1"/>
      <w:numFmt w:val="lowerRoman"/>
      <w:lvlText w:val="%3."/>
      <w:lvlJc w:val="right"/>
      <w:pPr>
        <w:ind w:left="1800" w:hanging="180"/>
      </w:pPr>
    </w:lvl>
    <w:lvl w:ilvl="3" w:tplc="D4008408">
      <w:start w:val="1"/>
      <w:numFmt w:val="decimal"/>
      <w:lvlText w:val="%4."/>
      <w:lvlJc w:val="left"/>
      <w:pPr>
        <w:ind w:left="2520" w:hanging="360"/>
      </w:pPr>
    </w:lvl>
    <w:lvl w:ilvl="4" w:tplc="9286CCDA">
      <w:start w:val="1"/>
      <w:numFmt w:val="lowerLetter"/>
      <w:lvlText w:val="%5."/>
      <w:lvlJc w:val="left"/>
      <w:pPr>
        <w:ind w:left="3240" w:hanging="360"/>
      </w:pPr>
    </w:lvl>
    <w:lvl w:ilvl="5" w:tplc="812850E4">
      <w:start w:val="1"/>
      <w:numFmt w:val="lowerRoman"/>
      <w:lvlText w:val="%6."/>
      <w:lvlJc w:val="right"/>
      <w:pPr>
        <w:ind w:left="3960" w:hanging="180"/>
      </w:pPr>
    </w:lvl>
    <w:lvl w:ilvl="6" w:tplc="94AACDFC">
      <w:start w:val="1"/>
      <w:numFmt w:val="decimal"/>
      <w:lvlText w:val="%7."/>
      <w:lvlJc w:val="left"/>
      <w:pPr>
        <w:ind w:left="4680" w:hanging="360"/>
      </w:pPr>
    </w:lvl>
    <w:lvl w:ilvl="7" w:tplc="D324842A">
      <w:start w:val="1"/>
      <w:numFmt w:val="lowerLetter"/>
      <w:lvlText w:val="%8."/>
      <w:lvlJc w:val="left"/>
      <w:pPr>
        <w:ind w:left="5400" w:hanging="360"/>
      </w:pPr>
    </w:lvl>
    <w:lvl w:ilvl="8" w:tplc="E74CFB1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10ED29"/>
    <w:multiLevelType w:val="hybridMultilevel"/>
    <w:tmpl w:val="310E6D5E"/>
    <w:lvl w:ilvl="0" w:tplc="33C444E8">
      <w:start w:val="1"/>
      <w:numFmt w:val="lowerLetter"/>
      <w:lvlText w:val="%1)"/>
      <w:lvlJc w:val="left"/>
      <w:pPr>
        <w:ind w:left="360" w:hanging="360"/>
      </w:pPr>
    </w:lvl>
    <w:lvl w:ilvl="1" w:tplc="DA3A5C98">
      <w:start w:val="1"/>
      <w:numFmt w:val="lowerLetter"/>
      <w:lvlText w:val="%2."/>
      <w:lvlJc w:val="left"/>
      <w:pPr>
        <w:ind w:left="1080" w:hanging="360"/>
      </w:pPr>
    </w:lvl>
    <w:lvl w:ilvl="2" w:tplc="9DE60A56">
      <w:start w:val="1"/>
      <w:numFmt w:val="lowerRoman"/>
      <w:lvlText w:val="%3."/>
      <w:lvlJc w:val="right"/>
      <w:pPr>
        <w:ind w:left="1800" w:hanging="180"/>
      </w:pPr>
    </w:lvl>
    <w:lvl w:ilvl="3" w:tplc="D0F845C6">
      <w:start w:val="1"/>
      <w:numFmt w:val="decimal"/>
      <w:lvlText w:val="%4."/>
      <w:lvlJc w:val="left"/>
      <w:pPr>
        <w:ind w:left="2520" w:hanging="360"/>
      </w:pPr>
    </w:lvl>
    <w:lvl w:ilvl="4" w:tplc="10641780">
      <w:start w:val="1"/>
      <w:numFmt w:val="lowerLetter"/>
      <w:lvlText w:val="%5."/>
      <w:lvlJc w:val="left"/>
      <w:pPr>
        <w:ind w:left="3240" w:hanging="360"/>
      </w:pPr>
    </w:lvl>
    <w:lvl w:ilvl="5" w:tplc="00B0D0AA">
      <w:start w:val="1"/>
      <w:numFmt w:val="lowerRoman"/>
      <w:lvlText w:val="%6."/>
      <w:lvlJc w:val="right"/>
      <w:pPr>
        <w:ind w:left="3960" w:hanging="180"/>
      </w:pPr>
    </w:lvl>
    <w:lvl w:ilvl="6" w:tplc="C82E138C">
      <w:start w:val="1"/>
      <w:numFmt w:val="decimal"/>
      <w:lvlText w:val="%7."/>
      <w:lvlJc w:val="left"/>
      <w:pPr>
        <w:ind w:left="4680" w:hanging="360"/>
      </w:pPr>
    </w:lvl>
    <w:lvl w:ilvl="7" w:tplc="3B4C2FA2">
      <w:start w:val="1"/>
      <w:numFmt w:val="lowerLetter"/>
      <w:lvlText w:val="%8."/>
      <w:lvlJc w:val="left"/>
      <w:pPr>
        <w:ind w:left="5400" w:hanging="360"/>
      </w:pPr>
    </w:lvl>
    <w:lvl w:ilvl="8" w:tplc="A7C4905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567B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4417E1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E00ED0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1931CA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C356D4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D562B"/>
    <w:multiLevelType w:val="hybridMultilevel"/>
    <w:tmpl w:val="E7761902"/>
    <w:lvl w:ilvl="0" w:tplc="EB6C4CAA">
      <w:start w:val="1"/>
      <w:numFmt w:val="lowerLetter"/>
      <w:lvlText w:val="%1)"/>
      <w:lvlJc w:val="left"/>
      <w:pPr>
        <w:ind w:left="360" w:hanging="360"/>
      </w:pPr>
    </w:lvl>
    <w:lvl w:ilvl="1" w:tplc="909C12C6">
      <w:start w:val="1"/>
      <w:numFmt w:val="lowerLetter"/>
      <w:lvlText w:val="%2."/>
      <w:lvlJc w:val="left"/>
      <w:pPr>
        <w:ind w:left="1080" w:hanging="360"/>
      </w:pPr>
    </w:lvl>
    <w:lvl w:ilvl="2" w:tplc="AE544ACA">
      <w:start w:val="1"/>
      <w:numFmt w:val="lowerRoman"/>
      <w:lvlText w:val="%3."/>
      <w:lvlJc w:val="right"/>
      <w:pPr>
        <w:ind w:left="1800" w:hanging="180"/>
      </w:pPr>
    </w:lvl>
    <w:lvl w:ilvl="3" w:tplc="A5D21B5A">
      <w:start w:val="1"/>
      <w:numFmt w:val="decimal"/>
      <w:lvlText w:val="%4."/>
      <w:lvlJc w:val="left"/>
      <w:pPr>
        <w:ind w:left="2520" w:hanging="360"/>
      </w:pPr>
    </w:lvl>
    <w:lvl w:ilvl="4" w:tplc="9B64BE5E">
      <w:start w:val="1"/>
      <w:numFmt w:val="lowerLetter"/>
      <w:lvlText w:val="%5."/>
      <w:lvlJc w:val="left"/>
      <w:pPr>
        <w:ind w:left="3240" w:hanging="360"/>
      </w:pPr>
    </w:lvl>
    <w:lvl w:ilvl="5" w:tplc="A90A55F4">
      <w:start w:val="1"/>
      <w:numFmt w:val="lowerRoman"/>
      <w:lvlText w:val="%6."/>
      <w:lvlJc w:val="right"/>
      <w:pPr>
        <w:ind w:left="3960" w:hanging="180"/>
      </w:pPr>
    </w:lvl>
    <w:lvl w:ilvl="6" w:tplc="03B4500E">
      <w:start w:val="1"/>
      <w:numFmt w:val="decimal"/>
      <w:lvlText w:val="%7."/>
      <w:lvlJc w:val="left"/>
      <w:pPr>
        <w:ind w:left="4680" w:hanging="360"/>
      </w:pPr>
    </w:lvl>
    <w:lvl w:ilvl="7" w:tplc="823C9A7A">
      <w:start w:val="1"/>
      <w:numFmt w:val="lowerLetter"/>
      <w:lvlText w:val="%8."/>
      <w:lvlJc w:val="left"/>
      <w:pPr>
        <w:ind w:left="5400" w:hanging="360"/>
      </w:pPr>
    </w:lvl>
    <w:lvl w:ilvl="8" w:tplc="DAA803E4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FA489F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62E6E0"/>
    <w:multiLevelType w:val="hybridMultilevel"/>
    <w:tmpl w:val="4A449B12"/>
    <w:lvl w:ilvl="0" w:tplc="B1881F34">
      <w:start w:val="1"/>
      <w:numFmt w:val="lowerLetter"/>
      <w:lvlText w:val="%1)"/>
      <w:lvlJc w:val="left"/>
      <w:pPr>
        <w:ind w:left="360" w:hanging="360"/>
      </w:pPr>
    </w:lvl>
    <w:lvl w:ilvl="1" w:tplc="9594BE60">
      <w:start w:val="1"/>
      <w:numFmt w:val="lowerLetter"/>
      <w:lvlText w:val="%2."/>
      <w:lvlJc w:val="left"/>
      <w:pPr>
        <w:ind w:left="1080" w:hanging="360"/>
      </w:pPr>
    </w:lvl>
    <w:lvl w:ilvl="2" w:tplc="FEDE3610">
      <w:start w:val="1"/>
      <w:numFmt w:val="lowerRoman"/>
      <w:lvlText w:val="%3."/>
      <w:lvlJc w:val="right"/>
      <w:pPr>
        <w:ind w:left="1800" w:hanging="180"/>
      </w:pPr>
    </w:lvl>
    <w:lvl w:ilvl="3" w:tplc="5552C694">
      <w:start w:val="1"/>
      <w:numFmt w:val="decimal"/>
      <w:lvlText w:val="%4."/>
      <w:lvlJc w:val="left"/>
      <w:pPr>
        <w:ind w:left="2520" w:hanging="360"/>
      </w:pPr>
    </w:lvl>
    <w:lvl w:ilvl="4" w:tplc="C786E542">
      <w:start w:val="1"/>
      <w:numFmt w:val="lowerLetter"/>
      <w:lvlText w:val="%5."/>
      <w:lvlJc w:val="left"/>
      <w:pPr>
        <w:ind w:left="3240" w:hanging="360"/>
      </w:pPr>
    </w:lvl>
    <w:lvl w:ilvl="5" w:tplc="9E584414">
      <w:start w:val="1"/>
      <w:numFmt w:val="lowerRoman"/>
      <w:lvlText w:val="%6."/>
      <w:lvlJc w:val="right"/>
      <w:pPr>
        <w:ind w:left="3960" w:hanging="180"/>
      </w:pPr>
    </w:lvl>
    <w:lvl w:ilvl="6" w:tplc="23524D86">
      <w:start w:val="1"/>
      <w:numFmt w:val="decimal"/>
      <w:lvlText w:val="%7."/>
      <w:lvlJc w:val="left"/>
      <w:pPr>
        <w:ind w:left="4680" w:hanging="360"/>
      </w:pPr>
    </w:lvl>
    <w:lvl w:ilvl="7" w:tplc="A7282620">
      <w:start w:val="1"/>
      <w:numFmt w:val="lowerLetter"/>
      <w:lvlText w:val="%8."/>
      <w:lvlJc w:val="left"/>
      <w:pPr>
        <w:ind w:left="5400" w:hanging="360"/>
      </w:pPr>
    </w:lvl>
    <w:lvl w:ilvl="8" w:tplc="08A025D0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4F6CB9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A1877"/>
    <w:multiLevelType w:val="hybridMultilevel"/>
    <w:tmpl w:val="FA760D4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F22E1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EF541B"/>
    <w:multiLevelType w:val="hybridMultilevel"/>
    <w:tmpl w:val="1262A35E"/>
    <w:lvl w:ilvl="0" w:tplc="BF2C6B38">
      <w:start w:val="1"/>
      <w:numFmt w:val="lowerLetter"/>
      <w:lvlText w:val="%1)"/>
      <w:lvlJc w:val="left"/>
      <w:pPr>
        <w:ind w:left="360" w:hanging="360"/>
      </w:pPr>
    </w:lvl>
    <w:lvl w:ilvl="1" w:tplc="C9B0E21E">
      <w:start w:val="1"/>
      <w:numFmt w:val="lowerLetter"/>
      <w:lvlText w:val="%2."/>
      <w:lvlJc w:val="left"/>
      <w:pPr>
        <w:ind w:left="1080" w:hanging="360"/>
      </w:pPr>
    </w:lvl>
    <w:lvl w:ilvl="2" w:tplc="2A5EB0EE">
      <w:start w:val="1"/>
      <w:numFmt w:val="lowerRoman"/>
      <w:lvlText w:val="%3."/>
      <w:lvlJc w:val="right"/>
      <w:pPr>
        <w:ind w:left="1800" w:hanging="180"/>
      </w:pPr>
    </w:lvl>
    <w:lvl w:ilvl="3" w:tplc="18E8EF26">
      <w:start w:val="1"/>
      <w:numFmt w:val="decimal"/>
      <w:lvlText w:val="%4."/>
      <w:lvlJc w:val="left"/>
      <w:pPr>
        <w:ind w:left="2520" w:hanging="360"/>
      </w:pPr>
    </w:lvl>
    <w:lvl w:ilvl="4" w:tplc="39CE2744">
      <w:start w:val="1"/>
      <w:numFmt w:val="lowerLetter"/>
      <w:lvlText w:val="%5."/>
      <w:lvlJc w:val="left"/>
      <w:pPr>
        <w:ind w:left="3240" w:hanging="360"/>
      </w:pPr>
    </w:lvl>
    <w:lvl w:ilvl="5" w:tplc="E214A138">
      <w:start w:val="1"/>
      <w:numFmt w:val="lowerRoman"/>
      <w:lvlText w:val="%6."/>
      <w:lvlJc w:val="right"/>
      <w:pPr>
        <w:ind w:left="3960" w:hanging="180"/>
      </w:pPr>
    </w:lvl>
    <w:lvl w:ilvl="6" w:tplc="54688890">
      <w:start w:val="1"/>
      <w:numFmt w:val="decimal"/>
      <w:lvlText w:val="%7."/>
      <w:lvlJc w:val="left"/>
      <w:pPr>
        <w:ind w:left="4680" w:hanging="360"/>
      </w:pPr>
    </w:lvl>
    <w:lvl w:ilvl="7" w:tplc="63FE9F4C">
      <w:start w:val="1"/>
      <w:numFmt w:val="lowerLetter"/>
      <w:lvlText w:val="%8."/>
      <w:lvlJc w:val="left"/>
      <w:pPr>
        <w:ind w:left="5400" w:hanging="360"/>
      </w:pPr>
    </w:lvl>
    <w:lvl w:ilvl="8" w:tplc="BC1E717C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A845FA"/>
    <w:multiLevelType w:val="hybridMultilevel"/>
    <w:tmpl w:val="B8EA68B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245A30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302E3C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680288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FE7DF0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CF6D1A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691F54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C152A4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EB1D61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AA301B"/>
    <w:multiLevelType w:val="hybridMultilevel"/>
    <w:tmpl w:val="6A7E067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840AA7"/>
    <w:multiLevelType w:val="hybridMultilevel"/>
    <w:tmpl w:val="B8EA68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1254858">
    <w:abstractNumId w:val="0"/>
  </w:num>
  <w:num w:numId="2" w16cid:durableId="1985817279">
    <w:abstractNumId w:val="8"/>
  </w:num>
  <w:num w:numId="3" w16cid:durableId="582028180">
    <w:abstractNumId w:val="16"/>
  </w:num>
  <w:num w:numId="4" w16cid:durableId="1823040955">
    <w:abstractNumId w:val="7"/>
  </w:num>
  <w:num w:numId="5" w16cid:durableId="1927348963">
    <w:abstractNumId w:val="3"/>
  </w:num>
  <w:num w:numId="6" w16cid:durableId="2050377983">
    <w:abstractNumId w:val="14"/>
  </w:num>
  <w:num w:numId="7" w16cid:durableId="832262264">
    <w:abstractNumId w:val="20"/>
  </w:num>
  <w:num w:numId="8" w16cid:durableId="1076515837">
    <w:abstractNumId w:val="5"/>
  </w:num>
  <w:num w:numId="9" w16cid:durableId="616908775">
    <w:abstractNumId w:val="18"/>
  </w:num>
  <w:num w:numId="10" w16cid:durableId="440996499">
    <w:abstractNumId w:val="30"/>
  </w:num>
  <w:num w:numId="11" w16cid:durableId="1216040887">
    <w:abstractNumId w:val="21"/>
  </w:num>
  <w:num w:numId="12" w16cid:durableId="1253973361">
    <w:abstractNumId w:val="19"/>
  </w:num>
  <w:num w:numId="13" w16cid:durableId="1095784741">
    <w:abstractNumId w:val="26"/>
  </w:num>
  <w:num w:numId="14" w16cid:durableId="1258097875">
    <w:abstractNumId w:val="24"/>
  </w:num>
  <w:num w:numId="15" w16cid:durableId="108863546">
    <w:abstractNumId w:val="11"/>
  </w:num>
  <w:num w:numId="16" w16cid:durableId="1993946791">
    <w:abstractNumId w:val="23"/>
  </w:num>
  <w:num w:numId="17" w16cid:durableId="880049285">
    <w:abstractNumId w:val="15"/>
  </w:num>
  <w:num w:numId="18" w16cid:durableId="1174953310">
    <w:abstractNumId w:val="29"/>
  </w:num>
  <w:num w:numId="19" w16cid:durableId="650138293">
    <w:abstractNumId w:val="4"/>
  </w:num>
  <w:num w:numId="20" w16cid:durableId="1236548059">
    <w:abstractNumId w:val="17"/>
  </w:num>
  <w:num w:numId="21" w16cid:durableId="1023628218">
    <w:abstractNumId w:val="10"/>
  </w:num>
  <w:num w:numId="22" w16cid:durableId="666831861">
    <w:abstractNumId w:val="2"/>
  </w:num>
  <w:num w:numId="23" w16cid:durableId="1593779887">
    <w:abstractNumId w:val="6"/>
  </w:num>
  <w:num w:numId="24" w16cid:durableId="1290863676">
    <w:abstractNumId w:val="12"/>
  </w:num>
  <w:num w:numId="25" w16cid:durableId="910576322">
    <w:abstractNumId w:val="22"/>
  </w:num>
  <w:num w:numId="26" w16cid:durableId="911158390">
    <w:abstractNumId w:val="28"/>
  </w:num>
  <w:num w:numId="27" w16cid:durableId="159002240">
    <w:abstractNumId w:val="27"/>
  </w:num>
  <w:num w:numId="28" w16cid:durableId="1071274862">
    <w:abstractNumId w:val="25"/>
  </w:num>
  <w:num w:numId="29" w16cid:durableId="1249851426">
    <w:abstractNumId w:val="13"/>
  </w:num>
  <w:num w:numId="30" w16cid:durableId="292366977">
    <w:abstractNumId w:val="1"/>
  </w:num>
  <w:num w:numId="31" w16cid:durableId="1816680838">
    <w:abstractNumId w:val="9"/>
  </w:num>
  <w:num w:numId="32" w16cid:durableId="15817121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56"/>
    <w:rsid w:val="000A6D9E"/>
    <w:rsid w:val="001B62D6"/>
    <w:rsid w:val="00357B4E"/>
    <w:rsid w:val="003B5791"/>
    <w:rsid w:val="0049308E"/>
    <w:rsid w:val="006B3A01"/>
    <w:rsid w:val="006E4D56"/>
    <w:rsid w:val="0079091C"/>
    <w:rsid w:val="0088093A"/>
    <w:rsid w:val="00F7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7C89"/>
  <w15:chartTrackingRefBased/>
  <w15:docId w15:val="{FB9891B0-0A09-4C0F-8EA3-45714B01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D56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D56"/>
    <w:pPr>
      <w:ind w:left="720"/>
      <w:contextualSpacing/>
    </w:pPr>
  </w:style>
  <w:style w:type="table" w:styleId="TableGrid">
    <w:name w:val="Table Grid"/>
    <w:basedOn w:val="TableNormal"/>
    <w:uiPriority w:val="59"/>
    <w:rsid w:val="006E4D5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6E4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f0">
    <w:name w:val="pf0"/>
    <w:basedOn w:val="Normal"/>
    <w:rsid w:val="006E4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Schmalenberger%20KM%5BAuthor%5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%2Fj.psyneuen.2020.1048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entrez/eutils/elink.fcgi?dbfrom=pubmed&amp;retmode=ref&amp;cmd=prlinks&amp;id=331133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ubmed.ncbi.nlm.nih.gov/?term=Schmalenberger%20KM%5BAuthor%5D" TargetMode="External"/><Relationship Id="rId10" Type="http://schemas.openxmlformats.org/officeDocument/2006/relationships/hyperlink" Target="https://doi.org/10.1016%2Fj.psyneuen.2020.1048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entrez/eutils/elink.fcgi?dbfrom=pubmed&amp;retmode=ref&amp;cmd=prlinks&amp;id=33113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1444</Words>
  <Characters>8232</Characters>
  <Application>Microsoft Office Word</Application>
  <DocSecurity>0</DocSecurity>
  <Lines>68</Lines>
  <Paragraphs>19</Paragraphs>
  <ScaleCrop>false</ScaleCrop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Lambert</dc:creator>
  <cp:keywords/>
  <dc:description/>
  <cp:lastModifiedBy>LAMBERT, Ellen (OXLEAS NHS FOUNDATION TRUST)</cp:lastModifiedBy>
  <cp:revision>7</cp:revision>
  <dcterms:created xsi:type="dcterms:W3CDTF">2024-04-15T13:49:00Z</dcterms:created>
  <dcterms:modified xsi:type="dcterms:W3CDTF">2025-04-30T09:54:00Z</dcterms:modified>
</cp:coreProperties>
</file>