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72011" w14:textId="77777777" w:rsidR="00064D46" w:rsidRPr="00A32CAB" w:rsidRDefault="00B23FC6">
      <w:pPr>
        <w:pStyle w:val="Heading1"/>
      </w:pPr>
      <w:bookmarkStart w:id="0" w:name="statistical-analysis-model-selection"/>
      <w:r w:rsidRPr="00A32CAB">
        <w:t>Statistical Analysis: Model Selection</w:t>
      </w:r>
    </w:p>
    <w:p w14:paraId="23172012" w14:textId="210899CA" w:rsidR="00064D46" w:rsidRPr="00A32CAB" w:rsidRDefault="00B23FC6">
      <w:pPr>
        <w:pStyle w:val="FirstParagraph"/>
      </w:pPr>
      <w:r w:rsidRPr="00A32CAB">
        <w:t xml:space="preserve">This document outlines the model selection procedure used to estimate item-level sensitivity scale values from the paired comparison data in the </w:t>
      </w:r>
      <w:r w:rsidR="009E36B4" w:rsidRPr="00A32CAB">
        <w:t>article</w:t>
      </w:r>
      <w:r w:rsidRPr="00A32CAB">
        <w:t xml:space="preserve"> titled </w:t>
      </w:r>
      <w:r w:rsidRPr="00A32CAB">
        <w:rPr>
          <w:i/>
          <w:iCs/>
        </w:rPr>
        <w:t>Disparities in PHQ-9 Item Sensitivity: A Potential Explanation for the Two-Factor Structure</w:t>
      </w:r>
      <w:r w:rsidRPr="00A32CAB">
        <w:t xml:space="preserve">. Four different models were considered: Thurstone’s Case V, Thurstone’s Case III, a binomial model, and a beta density function model, each making different assumptions about the variability in participants’ judgments. The rationale for selecting these models, along with their estimation procedures and goodness-of-fit evaluations, is described below. The data and analysis R code used can be found here: </w:t>
      </w:r>
      <w:hyperlink r:id="rId7">
        <w:r w:rsidRPr="00A32CAB">
          <w:rPr>
            <w:rStyle w:val="Hyperlink"/>
          </w:rPr>
          <w:t>https://osf.io/mw7y9/?view_only=a27f59f7f1d5457e8d4fb21c5fab2948</w:t>
        </w:r>
      </w:hyperlink>
    </w:p>
    <w:p w14:paraId="23172013" w14:textId="64102E4C" w:rsidR="00064D46" w:rsidRPr="00A32CAB" w:rsidRDefault="00B23FC6">
      <w:pPr>
        <w:pStyle w:val="BodyText"/>
      </w:pPr>
      <w:r w:rsidRPr="00A32CAB">
        <w:t>Thurstone defined several different “Cases” of his law that differ based on their assumptions of the underlying scale values</w:t>
      </w:r>
      <w:r w:rsidR="00A32CAB">
        <w:t xml:space="preserve"> [1,3]</w:t>
      </w:r>
      <w:r w:rsidRPr="00A32CAB">
        <w:t>. Case V was first considered to estimate the sensitivity/social desirability scale values of the PHQ-9 items since it is the simplest and most commonly used form of Thurstone’s law. Case V assumes normality, unidimensionality of the psychological continuum in question, and equal standard deviations of the scale values across all items, meaning that the variability in individuals’ reactions is the same for all comparisons. This final assumption of equal standard deviations among items becomes quite untenable in cases where there are one or more extreme items, as was the case for Item 9 (thoughts of death or self-harm) in the present study—most participants judged its content as more uncomfortable than the contents of every other item in the PHQ-9.</w:t>
      </w:r>
    </w:p>
    <w:p w14:paraId="23172014" w14:textId="20486ECC" w:rsidR="00064D46" w:rsidRPr="00A32CAB" w:rsidRDefault="00B23FC6">
      <w:pPr>
        <w:pStyle w:val="BodyText"/>
      </w:pPr>
      <w:r w:rsidRPr="00A32CAB">
        <w:t xml:space="preserve">Case III of Thurstone’s law was then considered to estimate both the scale values and their respective standard deviations. Case III has the same assumptions as Case V, except it does not assume equal standard deviations. Instead, it is assumed that certain items may evoke more consistent judgments, while others may lead to more divergent responses. Another limitation </w:t>
      </w:r>
      <w:r w:rsidRPr="00A32CAB">
        <w:lastRenderedPageBreak/>
        <w:t xml:space="preserve">then arose: we found that Case III handles items with extreme scale values poorly. While we would expect consistently ranked items to have low standard deviations, the model can produce unexpected reversals, yielding disproportionately large standard deviation estimates for extreme items </w:t>
      </w:r>
      <w:r w:rsidR="00E228F4">
        <w:t>[4]</w:t>
      </w:r>
      <w:r w:rsidRPr="00A32CAB">
        <w:t>. This was the case for Item 9 in the present study; although the agreement between participants was the highest for this item, its estimated Case III standard deviation was the highest of all items.</w:t>
      </w:r>
    </w:p>
    <w:p w14:paraId="23172015" w14:textId="32ACD7AC" w:rsidR="00064D46" w:rsidRPr="00A32CAB" w:rsidRDefault="00B23FC6">
      <w:pPr>
        <w:pStyle w:val="BodyText"/>
      </w:pPr>
      <w:r w:rsidRPr="00A32CAB">
        <w:t>Two additional methods were thus considered to estimate the scale values and their standard deviations, as suggested by Wild and Cabral</w:t>
      </w:r>
      <w:r w:rsidR="00E228F4">
        <w:t xml:space="preserve"> [4]</w:t>
      </w:r>
      <w:r w:rsidRPr="00A32CAB">
        <w:t>: the normal approximation of the binomial distribution (the binomial model) and the beta density function (the beta model). In cases where the Turstone model fails, these models should provide results that better apply to the observed data.</w:t>
      </w:r>
    </w:p>
    <w:p w14:paraId="23172016" w14:textId="77777777" w:rsidR="00064D46" w:rsidRPr="00A32CAB" w:rsidRDefault="00B23FC6">
      <w:pPr>
        <w:pStyle w:val="BodyText"/>
      </w:pPr>
      <w:r w:rsidRPr="00A32CAB">
        <w:t>As described in the Introduction section, the method of pair comparisons provides only the relative distance between the items on the psychological continuum in question. However, since we also gathered data on participants’ absolute judgements of the items, we were able to position them on a scale that has a meaningful zero point: the position where 50% of people would judge an item as uncomfortable and 50% as not uncomfortable to disclose. Positive scale values thus indicate the item is more susceptible to SDR (people generally judged its symptoms as uncomfortable to disclose), and negative scale values indicate the item is less susceptible to SDR (people generally judged its symptoms as not uncomfortable to disclose).</w:t>
      </w:r>
    </w:p>
    <w:p w14:paraId="23172017" w14:textId="4864A597" w:rsidR="00064D46" w:rsidRPr="00A32CAB" w:rsidRDefault="00B23FC6">
      <w:pPr>
        <w:pStyle w:val="BodyText"/>
      </w:pPr>
      <w:r w:rsidRPr="00A32CAB">
        <w:t xml:space="preserve">The Thurstone Case V and Case III scale values for the PHQ-9 items were calculated following the procedure outlined by Guilford </w:t>
      </w:r>
      <w:r w:rsidR="00A32CAB">
        <w:t>(</w:t>
      </w:r>
      <w:r w:rsidRPr="00A32CAB">
        <w:t>pp. 160–174)</w:t>
      </w:r>
      <w:r w:rsidR="00A32CAB" w:rsidRPr="00A32CAB">
        <w:t xml:space="preserve"> </w:t>
      </w:r>
      <w:r w:rsidR="00A32CAB">
        <w:t>[1]</w:t>
      </w:r>
      <w:r w:rsidRPr="00A32CAB">
        <w:t xml:space="preserve">, and the binomial and beta models were estimated using the method described by Wild and Cabral </w:t>
      </w:r>
      <w:r w:rsidR="00E228F4">
        <w:t>[4]</w:t>
      </w:r>
      <w:r w:rsidRPr="00A32CAB">
        <w:t xml:space="preserve">. The unit of the </w:t>
      </w:r>
      <w:r w:rsidRPr="00A32CAB">
        <w:lastRenderedPageBreak/>
        <w:t>resulting sensitivity/social undesirability scale for all models was converted to two standard deviations for easier interpretation.</w:t>
      </w:r>
    </w:p>
    <w:p w14:paraId="23172018" w14:textId="1CD29093" w:rsidR="00064D46" w:rsidRPr="00A32CAB" w:rsidRDefault="00B23FC6">
      <w:pPr>
        <w:pStyle w:val="BodyText"/>
      </w:pPr>
      <w:r w:rsidRPr="00A32CAB">
        <w:t xml:space="preserve">The goodness of fit of the four models was evaluated using the procedure also outlined in Wild and Cabral </w:t>
      </w:r>
      <w:r w:rsidR="00E228F4">
        <w:t>[4]</w:t>
      </w:r>
      <w:r w:rsidRPr="00A32CAB">
        <w:t>. Expected probability matrices were generated through simulation based on the distributional assumptions of each model and its estimated parameters. For the Thurstone Case V and Case III models, the estimated scale values and standard deviations were used; for the binomial model, the observed pairwise probability matrix was employed; and for the beta model, the estimated alpha and beta parameters were used. Each simulation was run for 10,000 iterations to ensure stable estimates.</w:t>
      </w:r>
    </w:p>
    <w:p w14:paraId="23172019" w14:textId="43C3C07A" w:rsidR="00064D46" w:rsidRPr="00A32CAB" w:rsidRDefault="00B23FC6">
      <w:pPr>
        <w:pStyle w:val="BodyText"/>
      </w:pPr>
      <w:r w:rsidRPr="00A32CAB">
        <w:t xml:space="preserve">Two statistics were computed to evaluate model fit by comparing the observed and expected probability matrices: the Y statistic and the absolute average discrepancy. Under the assumption of a good model fit, the Y statistic converges to a chi-square distribution as the number of observations (N) approaches infinity, allowing </w:t>
      </w:r>
      <w:r w:rsidRPr="00A32CAB">
        <w:rPr>
          <w:i/>
          <w:iCs/>
        </w:rPr>
        <w:t>p</w:t>
      </w:r>
      <w:r w:rsidRPr="00A32CAB">
        <w:t xml:space="preserve">-values to be derived using </w:t>
      </w:r>
      <m:oMath>
        <m:f>
          <m:fPr>
            <m:ctrlPr>
              <w:rPr>
                <w:rFonts w:ascii="Cambria Math" w:hAnsi="Cambria Math"/>
              </w:rPr>
            </m:ctrlPr>
          </m:fPr>
          <m:num>
            <m:r>
              <w:rPr>
                <w:rFonts w:ascii="Cambria Math" w:hAnsi="Cambria Math"/>
              </w:rPr>
              <m:t>m</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1</m:t>
                </m:r>
              </m:e>
            </m:d>
          </m:num>
          <m:den>
            <m:r>
              <w:rPr>
                <w:rFonts w:ascii="Cambria Math" w:hAnsi="Cambria Math"/>
              </w:rPr>
              <m:t>2</m:t>
            </m:r>
          </m:den>
        </m:f>
        <m:r>
          <m:rPr>
            <m:sty m:val="p"/>
          </m:rPr>
          <w:rPr>
            <w:rFonts w:ascii="Cambria Math" w:hAnsi="Cambria Math"/>
          </w:rPr>
          <m:t>-</m:t>
        </m:r>
        <m:r>
          <w:rPr>
            <w:rFonts w:ascii="Cambria Math" w:hAnsi="Cambria Math"/>
          </w:rPr>
          <m:t>m</m:t>
        </m:r>
      </m:oMath>
      <w:r w:rsidRPr="00A32CAB">
        <w:t xml:space="preserve"> degrees of freedom</w:t>
      </w:r>
      <w:r w:rsidR="00A32CAB">
        <w:t xml:space="preserve"> [2]</w:t>
      </w:r>
      <w:r w:rsidRPr="00A32CAB">
        <w:t xml:space="preserve">, where </w:t>
      </w:r>
      <m:oMath>
        <m:r>
          <w:rPr>
            <w:rFonts w:ascii="Cambria Math" w:hAnsi="Cambria Math"/>
          </w:rPr>
          <m:t>m</m:t>
        </m:r>
      </m:oMath>
      <w:r w:rsidRPr="00A32CAB">
        <w:t xml:space="preserve"> is the number of items. A significant Y statistic indicates that the estimated probabilities differ significantly from the observed probabilities, suggesting poor model fit. The absolute average discrepancy was also calculated to provide another estimate of model accuracy, with smaller values indicating a better fit.</w:t>
      </w:r>
    </w:p>
    <w:p w14:paraId="227C8D7A" w14:textId="590A7895" w:rsidR="00B66AAC" w:rsidRPr="00A32CAB" w:rsidRDefault="00B23FC6" w:rsidP="00744957">
      <w:pPr>
        <w:pStyle w:val="BodyText"/>
        <w:sectPr w:rsidR="00B66AAC" w:rsidRPr="00A32CAB">
          <w:headerReference w:type="default" r:id="rId8"/>
          <w:pgSz w:w="12240" w:h="15840"/>
          <w:pgMar w:top="1440" w:right="1440" w:bottom="1440" w:left="1440" w:header="720" w:footer="720" w:gutter="0"/>
          <w:cols w:space="720"/>
        </w:sectPr>
      </w:pPr>
      <w:r w:rsidRPr="00A32CAB">
        <w:t xml:space="preserve">The scale value results derived from the four different models can be seen in </w:t>
      </w:r>
      <w:hyperlink w:anchor="tbl-1">
        <w:r w:rsidRPr="00A32CAB">
          <w:rPr>
            <w:rStyle w:val="Hyperlink"/>
          </w:rPr>
          <w:t>Table 1</w:t>
        </w:r>
      </w:hyperlink>
      <w:r w:rsidRPr="00A32CAB">
        <w:t xml:space="preserve">, </w:t>
      </w:r>
      <w:hyperlink w:anchor="fig-1">
        <w:r w:rsidRPr="00A32CAB">
          <w:rPr>
            <w:rStyle w:val="Hyperlink"/>
          </w:rPr>
          <w:t>Figure 1</w:t>
        </w:r>
      </w:hyperlink>
      <w:r w:rsidRPr="00A32CAB">
        <w:t xml:space="preserve">, and </w:t>
      </w:r>
      <w:hyperlink w:anchor="fig-2">
        <w:r w:rsidRPr="00A32CAB">
          <w:rPr>
            <w:rStyle w:val="Hyperlink"/>
          </w:rPr>
          <w:t>Figure 2</w:t>
        </w:r>
      </w:hyperlink>
      <w:r w:rsidR="00744957" w:rsidRPr="00A32CAB">
        <w:t>.</w:t>
      </w:r>
      <w:bookmarkStart w:id="1" w:name="tbl-1"/>
    </w:p>
    <w:p w14:paraId="2317201C" w14:textId="77777777" w:rsidR="00064D46" w:rsidRPr="00A32CAB" w:rsidRDefault="00B23FC6">
      <w:pPr>
        <w:pStyle w:val="FigureTitle"/>
      </w:pPr>
      <w:r w:rsidRPr="00A32CAB">
        <w:lastRenderedPageBreak/>
        <w:t>Table 1</w:t>
      </w:r>
    </w:p>
    <w:p w14:paraId="2317201D" w14:textId="77777777" w:rsidR="00064D46" w:rsidRPr="00A32CAB" w:rsidRDefault="00B23FC6" w:rsidP="0078122B">
      <w:pPr>
        <w:pStyle w:val="Caption"/>
        <w:spacing w:after="0"/>
        <w:rPr>
          <w:sz w:val="20"/>
          <w:szCs w:val="20"/>
        </w:rPr>
      </w:pPr>
      <w:r w:rsidRPr="00A32CAB">
        <w:t>Results for the Thurstone Case V and Case III Models, the Binomial and the Beta Density Function Models</w:t>
      </w:r>
    </w:p>
    <w:tbl>
      <w:tblPr>
        <w:tblW w:w="13149" w:type="dxa"/>
        <w:tblLayout w:type="fixed"/>
        <w:tblLook w:val="0420" w:firstRow="1" w:lastRow="0" w:firstColumn="0" w:lastColumn="0" w:noHBand="0" w:noVBand="1"/>
      </w:tblPr>
      <w:tblGrid>
        <w:gridCol w:w="5245"/>
        <w:gridCol w:w="1532"/>
        <w:gridCol w:w="796"/>
        <w:gridCol w:w="796"/>
        <w:gridCol w:w="797"/>
        <w:gridCol w:w="796"/>
        <w:gridCol w:w="797"/>
        <w:gridCol w:w="796"/>
        <w:gridCol w:w="796"/>
        <w:gridCol w:w="798"/>
      </w:tblGrid>
      <w:tr w:rsidR="00064D46" w:rsidRPr="00A32CAB" w14:paraId="23172023" w14:textId="77777777" w:rsidTr="0078122B">
        <w:trPr>
          <w:trHeight w:val="305"/>
          <w:tblHeader/>
        </w:trPr>
        <w:tc>
          <w:tcPr>
            <w:tcW w:w="6777" w:type="dxa"/>
            <w:gridSpan w:val="2"/>
            <w:tcBorders>
              <w:top w:val="single" w:sz="6"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17201E" w14:textId="77777777" w:rsidR="00064D46" w:rsidRPr="00A32CAB" w:rsidRDefault="00064D46" w:rsidP="0078122B">
            <w:pPr>
              <w:pBdr>
                <w:top w:val="none" w:sz="0" w:space="0" w:color="000000"/>
                <w:left w:val="none" w:sz="0" w:space="0" w:color="000000"/>
                <w:bottom w:val="none" w:sz="0" w:space="0" w:color="000000"/>
                <w:right w:val="none" w:sz="0" w:space="0" w:color="000000"/>
              </w:pBdr>
              <w:spacing w:before="100" w:after="100" w:line="276" w:lineRule="auto"/>
              <w:ind w:left="100" w:right="100"/>
              <w:rPr>
                <w:sz w:val="20"/>
                <w:szCs w:val="20"/>
              </w:rPr>
            </w:pPr>
          </w:p>
        </w:tc>
        <w:tc>
          <w:tcPr>
            <w:tcW w:w="796" w:type="dxa"/>
            <w:tcBorders>
              <w:top w:val="single" w:sz="6"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17201F"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Case V</w:t>
            </w:r>
          </w:p>
        </w:tc>
        <w:tc>
          <w:tcPr>
            <w:tcW w:w="1593" w:type="dxa"/>
            <w:gridSpan w:val="2"/>
            <w:tcBorders>
              <w:top w:val="single" w:sz="6"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172020"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Case III</w:t>
            </w:r>
          </w:p>
        </w:tc>
        <w:tc>
          <w:tcPr>
            <w:tcW w:w="1593" w:type="dxa"/>
            <w:gridSpan w:val="2"/>
            <w:tcBorders>
              <w:top w:val="single" w:sz="6"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172021"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Binomial Model</w:t>
            </w:r>
          </w:p>
        </w:tc>
        <w:tc>
          <w:tcPr>
            <w:tcW w:w="2390" w:type="dxa"/>
            <w:gridSpan w:val="3"/>
            <w:tcBorders>
              <w:top w:val="single" w:sz="6"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172022"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Beta Model</w:t>
            </w:r>
          </w:p>
        </w:tc>
      </w:tr>
      <w:tr w:rsidR="0078122B" w:rsidRPr="00A32CAB" w14:paraId="2317202E" w14:textId="77777777" w:rsidTr="0078122B">
        <w:trPr>
          <w:trHeight w:val="305"/>
          <w:tblHeader/>
        </w:trPr>
        <w:tc>
          <w:tcPr>
            <w:tcW w:w="5245" w:type="dxa"/>
            <w:tcBorders>
              <w:top w:val="single" w:sz="12" w:space="0" w:color="666666"/>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24"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rPr>
                <w:sz w:val="20"/>
                <w:szCs w:val="20"/>
              </w:rPr>
            </w:pPr>
            <w:r w:rsidRPr="00A32CAB">
              <w:rPr>
                <w:rFonts w:ascii="Times New Roman" w:eastAsia="Times New Roman" w:hAnsi="Times New Roman" w:cs="Times New Roman"/>
                <w:color w:val="000000"/>
                <w:sz w:val="20"/>
                <w:szCs w:val="20"/>
              </w:rPr>
              <w:t>Item</w:t>
            </w:r>
          </w:p>
        </w:tc>
        <w:tc>
          <w:tcPr>
            <w:tcW w:w="1532" w:type="dxa"/>
            <w:tcBorders>
              <w:top w:val="single" w:sz="12" w:space="0" w:color="666666"/>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25"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Absolute prop.</w:t>
            </w:r>
            <w:r w:rsidRPr="00A32CAB">
              <w:rPr>
                <w:rFonts w:ascii="Times New Roman" w:eastAsia="Times New Roman" w:hAnsi="Times New Roman" w:cs="Times New Roman"/>
                <w:color w:val="000000"/>
                <w:sz w:val="20"/>
                <w:szCs w:val="20"/>
                <w:vertAlign w:val="superscript"/>
              </w:rPr>
              <w:t>a</w:t>
            </w:r>
          </w:p>
        </w:tc>
        <w:tc>
          <w:tcPr>
            <w:tcW w:w="796" w:type="dxa"/>
            <w:tcBorders>
              <w:top w:val="single" w:sz="12" w:space="0" w:color="666666"/>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26"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SV</w:t>
            </w:r>
          </w:p>
        </w:tc>
        <w:tc>
          <w:tcPr>
            <w:tcW w:w="796" w:type="dxa"/>
            <w:tcBorders>
              <w:top w:val="single" w:sz="12" w:space="0" w:color="666666"/>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27"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SV</w:t>
            </w:r>
          </w:p>
        </w:tc>
        <w:tc>
          <w:tcPr>
            <w:tcW w:w="797" w:type="dxa"/>
            <w:tcBorders>
              <w:top w:val="single" w:sz="12" w:space="0" w:color="666666"/>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28"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Sigma</w:t>
            </w:r>
          </w:p>
        </w:tc>
        <w:tc>
          <w:tcPr>
            <w:tcW w:w="796" w:type="dxa"/>
            <w:tcBorders>
              <w:top w:val="single" w:sz="12" w:space="0" w:color="666666"/>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29"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SV</w:t>
            </w:r>
          </w:p>
        </w:tc>
        <w:tc>
          <w:tcPr>
            <w:tcW w:w="797" w:type="dxa"/>
            <w:tcBorders>
              <w:top w:val="single" w:sz="12" w:space="0" w:color="666666"/>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2A"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Sigma</w:t>
            </w:r>
          </w:p>
        </w:tc>
        <w:tc>
          <w:tcPr>
            <w:tcW w:w="796" w:type="dxa"/>
            <w:tcBorders>
              <w:top w:val="single" w:sz="12" w:space="0" w:color="666666"/>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2B"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SV</w:t>
            </w:r>
          </w:p>
        </w:tc>
        <w:tc>
          <w:tcPr>
            <w:tcW w:w="796" w:type="dxa"/>
            <w:tcBorders>
              <w:top w:val="single" w:sz="12" w:space="0" w:color="666666"/>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2C"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Alpha</w:t>
            </w:r>
          </w:p>
        </w:tc>
        <w:tc>
          <w:tcPr>
            <w:tcW w:w="798" w:type="dxa"/>
            <w:tcBorders>
              <w:top w:val="single" w:sz="12" w:space="0" w:color="666666"/>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2D"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Beta</w:t>
            </w:r>
          </w:p>
        </w:tc>
      </w:tr>
      <w:tr w:rsidR="0078122B" w:rsidRPr="00A32CAB" w14:paraId="23172039" w14:textId="77777777" w:rsidTr="0078122B">
        <w:trPr>
          <w:trHeight w:val="312"/>
        </w:trPr>
        <w:tc>
          <w:tcPr>
            <w:tcW w:w="5245"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2F"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rPr>
                <w:sz w:val="20"/>
                <w:szCs w:val="20"/>
              </w:rPr>
            </w:pPr>
            <w:r w:rsidRPr="00A32CAB">
              <w:rPr>
                <w:rFonts w:ascii="Times New Roman" w:eastAsia="Times New Roman" w:hAnsi="Times New Roman" w:cs="Times New Roman"/>
                <w:color w:val="000000"/>
                <w:sz w:val="20"/>
                <w:szCs w:val="20"/>
              </w:rPr>
              <w:t>1. Little interest or pleasure in doing things</w:t>
            </w:r>
          </w:p>
        </w:tc>
        <w:tc>
          <w:tcPr>
            <w:tcW w:w="1532"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30" w14:textId="0BE0C9AC"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.54</w:t>
            </w:r>
          </w:p>
        </w:tc>
        <w:tc>
          <w:tcPr>
            <w:tcW w:w="796"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31"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0.19</w:t>
            </w:r>
          </w:p>
        </w:tc>
        <w:tc>
          <w:tcPr>
            <w:tcW w:w="796"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32"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0.05</w:t>
            </w:r>
          </w:p>
        </w:tc>
        <w:tc>
          <w:tcPr>
            <w:tcW w:w="797"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33"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0.82</w:t>
            </w:r>
          </w:p>
        </w:tc>
        <w:tc>
          <w:tcPr>
            <w:tcW w:w="796"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34"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0.23</w:t>
            </w:r>
          </w:p>
        </w:tc>
        <w:tc>
          <w:tcPr>
            <w:tcW w:w="797"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35"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1.25</w:t>
            </w:r>
          </w:p>
        </w:tc>
        <w:tc>
          <w:tcPr>
            <w:tcW w:w="796"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36"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0.37</w:t>
            </w:r>
          </w:p>
        </w:tc>
        <w:tc>
          <w:tcPr>
            <w:tcW w:w="796"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37"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4.98</w:t>
            </w:r>
          </w:p>
        </w:tc>
        <w:tc>
          <w:tcPr>
            <w:tcW w:w="798"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38"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4.57</w:t>
            </w:r>
          </w:p>
        </w:tc>
      </w:tr>
      <w:tr w:rsidR="0078122B" w:rsidRPr="00A32CAB" w14:paraId="23172044" w14:textId="77777777" w:rsidTr="0078122B">
        <w:trPr>
          <w:trHeight w:val="305"/>
        </w:trPr>
        <w:tc>
          <w:tcPr>
            <w:tcW w:w="52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3A"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rPr>
                <w:sz w:val="20"/>
                <w:szCs w:val="20"/>
              </w:rPr>
            </w:pPr>
            <w:r w:rsidRPr="00A32CAB">
              <w:rPr>
                <w:rFonts w:ascii="Times New Roman" w:eastAsia="Times New Roman" w:hAnsi="Times New Roman" w:cs="Times New Roman"/>
                <w:color w:val="000000"/>
                <w:sz w:val="20"/>
                <w:szCs w:val="20"/>
              </w:rPr>
              <w:t>2. Feeling down, depressed, or hopeless</w:t>
            </w:r>
          </w:p>
        </w:tc>
        <w:tc>
          <w:tcPr>
            <w:tcW w:w="15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3B" w14:textId="49A5783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.73</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3C"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1.03</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3D"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0.51</w:t>
            </w:r>
          </w:p>
        </w:tc>
        <w:tc>
          <w:tcPr>
            <w:tcW w:w="7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3E"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0.77</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3F"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1.12</w:t>
            </w:r>
          </w:p>
        </w:tc>
        <w:tc>
          <w:tcPr>
            <w:tcW w:w="7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40"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1.18</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41"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1.22</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42"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6.30</w:t>
            </w:r>
          </w:p>
        </w:tc>
        <w:tc>
          <w:tcPr>
            <w:tcW w:w="7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43"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3.69</w:t>
            </w:r>
          </w:p>
        </w:tc>
      </w:tr>
      <w:tr w:rsidR="0078122B" w:rsidRPr="00A32CAB" w14:paraId="2317204F" w14:textId="77777777" w:rsidTr="0078122B">
        <w:trPr>
          <w:trHeight w:val="305"/>
        </w:trPr>
        <w:tc>
          <w:tcPr>
            <w:tcW w:w="52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45"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rPr>
                <w:sz w:val="20"/>
                <w:szCs w:val="20"/>
              </w:rPr>
            </w:pPr>
            <w:r w:rsidRPr="00A32CAB">
              <w:rPr>
                <w:rFonts w:ascii="Times New Roman" w:eastAsia="Times New Roman" w:hAnsi="Times New Roman" w:cs="Times New Roman"/>
                <w:color w:val="000000"/>
                <w:sz w:val="20"/>
                <w:szCs w:val="20"/>
              </w:rPr>
              <w:t>3. Trouble falling or staying asleep, or sleeping too much</w:t>
            </w:r>
          </w:p>
        </w:tc>
        <w:tc>
          <w:tcPr>
            <w:tcW w:w="15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46" w14:textId="6C01C0AD"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.09</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47"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-2.39</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48"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-2.06</w:t>
            </w:r>
          </w:p>
        </w:tc>
        <w:tc>
          <w:tcPr>
            <w:tcW w:w="7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49"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1.74</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4A"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-2.43</w:t>
            </w:r>
          </w:p>
        </w:tc>
        <w:tc>
          <w:tcPr>
            <w:tcW w:w="7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4B"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1.20</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4C"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-2.59</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4D"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1.21</w:t>
            </w:r>
          </w:p>
        </w:tc>
        <w:tc>
          <w:tcPr>
            <w:tcW w:w="7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4E"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5.00</w:t>
            </w:r>
          </w:p>
        </w:tc>
      </w:tr>
      <w:tr w:rsidR="0078122B" w:rsidRPr="00A32CAB" w14:paraId="2317205A" w14:textId="77777777" w:rsidTr="0078122B">
        <w:trPr>
          <w:trHeight w:val="305"/>
        </w:trPr>
        <w:tc>
          <w:tcPr>
            <w:tcW w:w="52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50"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rPr>
                <w:sz w:val="20"/>
                <w:szCs w:val="20"/>
              </w:rPr>
            </w:pPr>
            <w:r w:rsidRPr="00A32CAB">
              <w:rPr>
                <w:rFonts w:ascii="Times New Roman" w:eastAsia="Times New Roman" w:hAnsi="Times New Roman" w:cs="Times New Roman"/>
                <w:color w:val="000000"/>
                <w:sz w:val="20"/>
                <w:szCs w:val="20"/>
              </w:rPr>
              <w:t>4. Feeling tired or having little energy</w:t>
            </w:r>
          </w:p>
        </w:tc>
        <w:tc>
          <w:tcPr>
            <w:tcW w:w="15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51" w14:textId="1A499FDD"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.11</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52"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-2.48</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53"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-2.26</w:t>
            </w:r>
          </w:p>
        </w:tc>
        <w:tc>
          <w:tcPr>
            <w:tcW w:w="7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54"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1.88</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55"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-2.54</w:t>
            </w:r>
          </w:p>
        </w:tc>
        <w:tc>
          <w:tcPr>
            <w:tcW w:w="7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56"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1.16</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57"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-2.70</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58"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1.14</w:t>
            </w:r>
          </w:p>
        </w:tc>
        <w:tc>
          <w:tcPr>
            <w:tcW w:w="7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59"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5.14</w:t>
            </w:r>
          </w:p>
        </w:tc>
      </w:tr>
      <w:tr w:rsidR="0078122B" w:rsidRPr="00A32CAB" w14:paraId="23172065" w14:textId="77777777" w:rsidTr="0078122B">
        <w:trPr>
          <w:trHeight w:val="305"/>
        </w:trPr>
        <w:tc>
          <w:tcPr>
            <w:tcW w:w="52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5B"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rPr>
                <w:sz w:val="20"/>
                <w:szCs w:val="20"/>
              </w:rPr>
            </w:pPr>
            <w:r w:rsidRPr="00A32CAB">
              <w:rPr>
                <w:rFonts w:ascii="Times New Roman" w:eastAsia="Times New Roman" w:hAnsi="Times New Roman" w:cs="Times New Roman"/>
                <w:color w:val="000000"/>
                <w:sz w:val="20"/>
                <w:szCs w:val="20"/>
              </w:rPr>
              <w:t>5. Poor appetite or overeating</w:t>
            </w:r>
          </w:p>
        </w:tc>
        <w:tc>
          <w:tcPr>
            <w:tcW w:w="15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5C" w14:textId="1586B43C"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.38</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5D"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-0.54</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5E"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-0.51</w:t>
            </w:r>
          </w:p>
        </w:tc>
        <w:tc>
          <w:tcPr>
            <w:tcW w:w="7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5F"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1.45</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60"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-0.54</w:t>
            </w:r>
          </w:p>
        </w:tc>
        <w:tc>
          <w:tcPr>
            <w:tcW w:w="7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61"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1.39</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62"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-0.42</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63"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3.14</w:t>
            </w:r>
          </w:p>
        </w:tc>
        <w:tc>
          <w:tcPr>
            <w:tcW w:w="7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64"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4.22</w:t>
            </w:r>
          </w:p>
        </w:tc>
      </w:tr>
      <w:tr w:rsidR="0078122B" w:rsidRPr="00A32CAB" w14:paraId="23172070" w14:textId="77777777" w:rsidTr="0078122B">
        <w:trPr>
          <w:trHeight w:val="467"/>
        </w:trPr>
        <w:tc>
          <w:tcPr>
            <w:tcW w:w="52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66"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rPr>
                <w:sz w:val="20"/>
                <w:szCs w:val="20"/>
              </w:rPr>
            </w:pPr>
            <w:r w:rsidRPr="00A32CAB">
              <w:rPr>
                <w:rFonts w:ascii="Times New Roman" w:eastAsia="Times New Roman" w:hAnsi="Times New Roman" w:cs="Times New Roman"/>
                <w:color w:val="000000"/>
                <w:sz w:val="20"/>
                <w:szCs w:val="20"/>
              </w:rPr>
              <w:t>6. Feeling bad about yourself — or that you are a failure or have let yourself or your family down</w:t>
            </w:r>
          </w:p>
        </w:tc>
        <w:tc>
          <w:tcPr>
            <w:tcW w:w="15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67" w14:textId="6BBD1831"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.91</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68"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2.68</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69"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1.34</w:t>
            </w:r>
          </w:p>
        </w:tc>
        <w:tc>
          <w:tcPr>
            <w:tcW w:w="7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6A"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0.83</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6B"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2.61</w:t>
            </w:r>
          </w:p>
        </w:tc>
        <w:tc>
          <w:tcPr>
            <w:tcW w:w="7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6C"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0.91</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6D"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2.58</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6E"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9.11</w:t>
            </w:r>
          </w:p>
        </w:tc>
        <w:tc>
          <w:tcPr>
            <w:tcW w:w="7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6F"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2.08</w:t>
            </w:r>
          </w:p>
        </w:tc>
      </w:tr>
      <w:tr w:rsidR="0078122B" w:rsidRPr="00A32CAB" w14:paraId="2317207B" w14:textId="77777777" w:rsidTr="0078122B">
        <w:trPr>
          <w:trHeight w:val="467"/>
        </w:trPr>
        <w:tc>
          <w:tcPr>
            <w:tcW w:w="52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71"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rPr>
                <w:sz w:val="20"/>
                <w:szCs w:val="20"/>
              </w:rPr>
            </w:pPr>
            <w:r w:rsidRPr="00A32CAB">
              <w:rPr>
                <w:rFonts w:ascii="Times New Roman" w:eastAsia="Times New Roman" w:hAnsi="Times New Roman" w:cs="Times New Roman"/>
                <w:color w:val="000000"/>
                <w:sz w:val="20"/>
                <w:szCs w:val="20"/>
              </w:rPr>
              <w:t>7. Trouble concentrating on things, such as reading the newspaper or watching television</w:t>
            </w:r>
          </w:p>
        </w:tc>
        <w:tc>
          <w:tcPr>
            <w:tcW w:w="15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72" w14:textId="50560B0F"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.22</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73"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-1.62</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74"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-1.25</w:t>
            </w:r>
          </w:p>
        </w:tc>
        <w:tc>
          <w:tcPr>
            <w:tcW w:w="7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75"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1.36</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76"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-1.65</w:t>
            </w:r>
          </w:p>
        </w:tc>
        <w:tc>
          <w:tcPr>
            <w:tcW w:w="7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77"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1.27</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78"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-1.58</w:t>
            </w:r>
          </w:p>
        </w:tc>
        <w:tc>
          <w:tcPr>
            <w:tcW w:w="7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79"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2.14</w:t>
            </w:r>
          </w:p>
        </w:tc>
        <w:tc>
          <w:tcPr>
            <w:tcW w:w="7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7A"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5.24</w:t>
            </w:r>
          </w:p>
        </w:tc>
      </w:tr>
      <w:tr w:rsidR="0078122B" w:rsidRPr="00A32CAB" w14:paraId="23172086" w14:textId="77777777" w:rsidTr="0078122B">
        <w:trPr>
          <w:trHeight w:val="635"/>
        </w:trPr>
        <w:tc>
          <w:tcPr>
            <w:tcW w:w="524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317207C"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rPr>
                <w:sz w:val="20"/>
                <w:szCs w:val="20"/>
              </w:rPr>
            </w:pPr>
            <w:r w:rsidRPr="00A32CAB">
              <w:rPr>
                <w:rFonts w:ascii="Times New Roman" w:eastAsia="Times New Roman" w:hAnsi="Times New Roman" w:cs="Times New Roman"/>
                <w:color w:val="000000"/>
                <w:sz w:val="20"/>
                <w:szCs w:val="20"/>
              </w:rPr>
              <w:t>8. Moving or speaking so slowly that other people could have noticed? Or the opposite — being so fidgety or restless that you have been moving around a lot more than usual</w:t>
            </w:r>
          </w:p>
        </w:tc>
        <w:tc>
          <w:tcPr>
            <w:tcW w:w="1532"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317207D" w14:textId="0FF310A6"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.49</w:t>
            </w:r>
          </w:p>
        </w:tc>
        <w:tc>
          <w:tcPr>
            <w:tcW w:w="796"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317207E"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0.01</w:t>
            </w:r>
          </w:p>
        </w:tc>
        <w:tc>
          <w:tcPr>
            <w:tcW w:w="796"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317207F"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-0.11</w:t>
            </w:r>
          </w:p>
        </w:tc>
        <w:tc>
          <w:tcPr>
            <w:tcW w:w="797"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3172080"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1.08</w:t>
            </w:r>
          </w:p>
        </w:tc>
        <w:tc>
          <w:tcPr>
            <w:tcW w:w="796"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3172081"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0.15</w:t>
            </w:r>
          </w:p>
        </w:tc>
        <w:tc>
          <w:tcPr>
            <w:tcW w:w="797"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3172082"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1.34</w:t>
            </w:r>
          </w:p>
        </w:tc>
        <w:tc>
          <w:tcPr>
            <w:tcW w:w="796"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3172083"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0.30</w:t>
            </w:r>
          </w:p>
        </w:tc>
        <w:tc>
          <w:tcPr>
            <w:tcW w:w="796"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3172084"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4.16</w:t>
            </w:r>
          </w:p>
        </w:tc>
        <w:tc>
          <w:tcPr>
            <w:tcW w:w="79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3172085"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3.97</w:t>
            </w:r>
          </w:p>
        </w:tc>
      </w:tr>
      <w:tr w:rsidR="0078122B" w:rsidRPr="00A32CAB" w14:paraId="23172091" w14:textId="77777777" w:rsidTr="0078122B">
        <w:trPr>
          <w:trHeight w:val="229"/>
        </w:trPr>
        <w:tc>
          <w:tcPr>
            <w:tcW w:w="5245" w:type="dxa"/>
            <w:tcBorders>
              <w:bottom w:val="single" w:sz="4" w:space="0" w:color="auto"/>
            </w:tcBorders>
            <w:shd w:val="clear" w:color="auto" w:fill="FFFFFF"/>
            <w:tcMar>
              <w:top w:w="0" w:type="dxa"/>
              <w:left w:w="0" w:type="dxa"/>
              <w:bottom w:w="0" w:type="dxa"/>
              <w:right w:w="0" w:type="dxa"/>
            </w:tcMar>
            <w:vAlign w:val="center"/>
          </w:tcPr>
          <w:p w14:paraId="23172087"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rPr>
                <w:sz w:val="20"/>
                <w:szCs w:val="20"/>
              </w:rPr>
            </w:pPr>
            <w:r w:rsidRPr="00A32CAB">
              <w:rPr>
                <w:rFonts w:ascii="Times New Roman" w:eastAsia="Times New Roman" w:hAnsi="Times New Roman" w:cs="Times New Roman"/>
                <w:color w:val="000000"/>
                <w:sz w:val="20"/>
                <w:szCs w:val="20"/>
              </w:rPr>
              <w:t>9. Thoughts that you would be better off dead or of hurting yourself in some way</w:t>
            </w:r>
          </w:p>
        </w:tc>
        <w:tc>
          <w:tcPr>
            <w:tcW w:w="1532" w:type="dxa"/>
            <w:tcBorders>
              <w:bottom w:val="single" w:sz="4" w:space="0" w:color="auto"/>
            </w:tcBorders>
            <w:shd w:val="clear" w:color="auto" w:fill="FFFFFF"/>
            <w:tcMar>
              <w:top w:w="0" w:type="dxa"/>
              <w:left w:w="0" w:type="dxa"/>
              <w:bottom w:w="0" w:type="dxa"/>
              <w:right w:w="0" w:type="dxa"/>
            </w:tcMar>
            <w:vAlign w:val="center"/>
          </w:tcPr>
          <w:p w14:paraId="23172088" w14:textId="7AD26DBE"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.97</w:t>
            </w:r>
          </w:p>
        </w:tc>
        <w:tc>
          <w:tcPr>
            <w:tcW w:w="796" w:type="dxa"/>
            <w:tcBorders>
              <w:bottom w:val="single" w:sz="4" w:space="0" w:color="auto"/>
            </w:tcBorders>
            <w:shd w:val="clear" w:color="auto" w:fill="FFFFFF"/>
            <w:tcMar>
              <w:top w:w="0" w:type="dxa"/>
              <w:left w:w="0" w:type="dxa"/>
              <w:bottom w:w="0" w:type="dxa"/>
              <w:right w:w="0" w:type="dxa"/>
            </w:tcMar>
            <w:vAlign w:val="center"/>
          </w:tcPr>
          <w:p w14:paraId="23172089"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3.60</w:t>
            </w:r>
          </w:p>
        </w:tc>
        <w:tc>
          <w:tcPr>
            <w:tcW w:w="796" w:type="dxa"/>
            <w:tcBorders>
              <w:bottom w:val="single" w:sz="4" w:space="0" w:color="auto"/>
            </w:tcBorders>
            <w:shd w:val="clear" w:color="auto" w:fill="FFFFFF"/>
            <w:tcMar>
              <w:top w:w="0" w:type="dxa"/>
              <w:left w:w="0" w:type="dxa"/>
              <w:bottom w:w="0" w:type="dxa"/>
              <w:right w:w="0" w:type="dxa"/>
            </w:tcMar>
            <w:vAlign w:val="center"/>
          </w:tcPr>
          <w:p w14:paraId="2317208A"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4.77</w:t>
            </w:r>
          </w:p>
        </w:tc>
        <w:tc>
          <w:tcPr>
            <w:tcW w:w="797" w:type="dxa"/>
            <w:tcBorders>
              <w:bottom w:val="single" w:sz="4" w:space="0" w:color="auto"/>
            </w:tcBorders>
            <w:shd w:val="clear" w:color="auto" w:fill="FFFFFF"/>
            <w:tcMar>
              <w:top w:w="0" w:type="dxa"/>
              <w:left w:w="0" w:type="dxa"/>
              <w:bottom w:w="0" w:type="dxa"/>
              <w:right w:w="0" w:type="dxa"/>
            </w:tcMar>
            <w:vAlign w:val="center"/>
          </w:tcPr>
          <w:p w14:paraId="2317208B"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3.34</w:t>
            </w:r>
          </w:p>
        </w:tc>
        <w:tc>
          <w:tcPr>
            <w:tcW w:w="796" w:type="dxa"/>
            <w:tcBorders>
              <w:bottom w:val="single" w:sz="4" w:space="0" w:color="auto"/>
            </w:tcBorders>
            <w:shd w:val="clear" w:color="auto" w:fill="FFFFFF"/>
            <w:tcMar>
              <w:top w:w="0" w:type="dxa"/>
              <w:left w:w="0" w:type="dxa"/>
              <w:bottom w:w="0" w:type="dxa"/>
              <w:right w:w="0" w:type="dxa"/>
            </w:tcMar>
            <w:vAlign w:val="center"/>
          </w:tcPr>
          <w:p w14:paraId="2317208C"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3.54</w:t>
            </w:r>
          </w:p>
        </w:tc>
        <w:tc>
          <w:tcPr>
            <w:tcW w:w="797" w:type="dxa"/>
            <w:tcBorders>
              <w:bottom w:val="single" w:sz="4" w:space="0" w:color="auto"/>
            </w:tcBorders>
            <w:shd w:val="clear" w:color="auto" w:fill="FFFFFF"/>
            <w:tcMar>
              <w:top w:w="0" w:type="dxa"/>
              <w:left w:w="0" w:type="dxa"/>
              <w:bottom w:w="0" w:type="dxa"/>
              <w:right w:w="0" w:type="dxa"/>
            </w:tcMar>
            <w:vAlign w:val="center"/>
          </w:tcPr>
          <w:p w14:paraId="2317208D"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0.84</w:t>
            </w:r>
          </w:p>
        </w:tc>
        <w:tc>
          <w:tcPr>
            <w:tcW w:w="796" w:type="dxa"/>
            <w:tcBorders>
              <w:bottom w:val="single" w:sz="4" w:space="0" w:color="auto"/>
            </w:tcBorders>
            <w:shd w:val="clear" w:color="auto" w:fill="FFFFFF"/>
            <w:tcMar>
              <w:top w:w="0" w:type="dxa"/>
              <w:left w:w="0" w:type="dxa"/>
              <w:bottom w:w="0" w:type="dxa"/>
              <w:right w:w="0" w:type="dxa"/>
            </w:tcMar>
            <w:vAlign w:val="center"/>
          </w:tcPr>
          <w:p w14:paraId="2317208E"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3.31</w:t>
            </w:r>
          </w:p>
        </w:tc>
        <w:tc>
          <w:tcPr>
            <w:tcW w:w="796" w:type="dxa"/>
            <w:tcBorders>
              <w:bottom w:val="single" w:sz="4" w:space="0" w:color="auto"/>
            </w:tcBorders>
            <w:shd w:val="clear" w:color="auto" w:fill="FFFFFF"/>
            <w:tcMar>
              <w:top w:w="0" w:type="dxa"/>
              <w:left w:w="0" w:type="dxa"/>
              <w:bottom w:w="0" w:type="dxa"/>
              <w:right w:w="0" w:type="dxa"/>
            </w:tcMar>
            <w:vAlign w:val="center"/>
          </w:tcPr>
          <w:p w14:paraId="2317208F"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4.78</w:t>
            </w:r>
          </w:p>
        </w:tc>
        <w:tc>
          <w:tcPr>
            <w:tcW w:w="798" w:type="dxa"/>
            <w:tcBorders>
              <w:bottom w:val="single" w:sz="4" w:space="0" w:color="auto"/>
            </w:tcBorders>
            <w:shd w:val="clear" w:color="auto" w:fill="FFFFFF"/>
            <w:tcMar>
              <w:top w:w="0" w:type="dxa"/>
              <w:left w:w="0" w:type="dxa"/>
              <w:bottom w:w="0" w:type="dxa"/>
              <w:right w:w="0" w:type="dxa"/>
            </w:tcMar>
            <w:vAlign w:val="center"/>
          </w:tcPr>
          <w:p w14:paraId="23172090" w14:textId="77777777" w:rsidR="00064D46" w:rsidRPr="00A32CAB" w:rsidRDefault="00B23FC6" w:rsidP="0078122B">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sz w:val="20"/>
                <w:szCs w:val="20"/>
              </w:rPr>
            </w:pPr>
            <w:r w:rsidRPr="00A32CAB">
              <w:rPr>
                <w:rFonts w:ascii="Times New Roman" w:eastAsia="Times New Roman" w:hAnsi="Times New Roman" w:cs="Times New Roman"/>
                <w:color w:val="000000"/>
                <w:sz w:val="20"/>
                <w:szCs w:val="20"/>
              </w:rPr>
              <w:t>0.37</w:t>
            </w:r>
          </w:p>
        </w:tc>
      </w:tr>
      <w:tr w:rsidR="0078122B" w:rsidRPr="00A32CAB" w14:paraId="6CB22D04" w14:textId="77777777" w:rsidTr="0078122B">
        <w:trPr>
          <w:trHeight w:val="229"/>
        </w:trPr>
        <w:tc>
          <w:tcPr>
            <w:tcW w:w="13149" w:type="dxa"/>
            <w:gridSpan w:val="10"/>
            <w:tcBorders>
              <w:top w:val="single" w:sz="4" w:space="0" w:color="auto"/>
            </w:tcBorders>
            <w:shd w:val="clear" w:color="auto" w:fill="FFFFFF"/>
            <w:tcMar>
              <w:top w:w="0" w:type="dxa"/>
              <w:left w:w="0" w:type="dxa"/>
              <w:bottom w:w="0" w:type="dxa"/>
              <w:right w:w="0" w:type="dxa"/>
            </w:tcMar>
            <w:vAlign w:val="center"/>
          </w:tcPr>
          <w:p w14:paraId="45872563" w14:textId="0FD329A6" w:rsidR="0078122B" w:rsidRPr="00A32CAB" w:rsidRDefault="0078122B" w:rsidP="0078122B">
            <w:pPr>
              <w:pBdr>
                <w:top w:val="none" w:sz="0" w:space="0" w:color="000000"/>
                <w:left w:val="none" w:sz="0" w:space="0" w:color="000000"/>
                <w:bottom w:val="none" w:sz="0" w:space="0" w:color="000000"/>
                <w:right w:val="none" w:sz="0" w:space="0" w:color="000000"/>
              </w:pBdr>
              <w:spacing w:before="100" w:after="100" w:line="276" w:lineRule="auto"/>
              <w:ind w:left="100" w:right="100"/>
              <w:rPr>
                <w:rFonts w:ascii="Times New Roman" w:eastAsia="Times New Roman" w:hAnsi="Times New Roman" w:cs="Times New Roman"/>
                <w:color w:val="000000"/>
                <w:sz w:val="20"/>
                <w:szCs w:val="20"/>
              </w:rPr>
            </w:pPr>
            <w:r w:rsidRPr="00A32CAB">
              <w:rPr>
                <w:rFonts w:ascii="Times New Roman" w:eastAsia="Times New Roman" w:hAnsi="Times New Roman" w:cs="Times New Roman"/>
                <w:color w:val="000000"/>
                <w:sz w:val="20"/>
                <w:szCs w:val="20"/>
                <w:vertAlign w:val="superscript"/>
              </w:rPr>
              <w:t>a</w:t>
            </w:r>
            <w:r w:rsidRPr="00A32CAB">
              <w:rPr>
                <w:rFonts w:ascii="Times New Roman" w:eastAsia="Times New Roman" w:hAnsi="Times New Roman" w:cs="Times New Roman"/>
                <w:color w:val="000000"/>
                <w:sz w:val="20"/>
                <w:szCs w:val="20"/>
              </w:rPr>
              <w:t>The proportion of participants judging the item as uncomfortable to disclose instead of not uncomfortable.</w:t>
            </w:r>
            <w:r w:rsidRPr="00A32CAB">
              <w:rPr>
                <w:sz w:val="20"/>
                <w:szCs w:val="20"/>
              </w:rPr>
              <w:t xml:space="preserve"> </w:t>
            </w:r>
            <w:r w:rsidRPr="00A32CAB">
              <w:rPr>
                <w:sz w:val="20"/>
                <w:szCs w:val="20"/>
              </w:rPr>
              <w:br/>
            </w:r>
            <w:r w:rsidRPr="00A32CAB">
              <w:rPr>
                <w:rFonts w:ascii="Times New Roman" w:eastAsia="Times New Roman" w:hAnsi="Times New Roman" w:cs="Times New Roman"/>
                <w:i/>
                <w:iCs/>
                <w:color w:val="000000"/>
                <w:sz w:val="20"/>
                <w:szCs w:val="20"/>
              </w:rPr>
              <w:t>Note</w:t>
            </w:r>
            <w:r w:rsidRPr="00A32CAB">
              <w:rPr>
                <w:rFonts w:ascii="Times New Roman" w:eastAsia="Times New Roman" w:hAnsi="Times New Roman" w:cs="Times New Roman"/>
                <w:color w:val="000000"/>
                <w:sz w:val="20"/>
                <w:szCs w:val="20"/>
              </w:rPr>
              <w:t xml:space="preserve">. n = 265. SV = Estimated scale values; Sigma = Estimated standard deviations for the scale values.  </w:t>
            </w:r>
          </w:p>
        </w:tc>
      </w:tr>
    </w:tbl>
    <w:p w14:paraId="45B98563" w14:textId="77777777" w:rsidR="00744957" w:rsidRPr="00A32CAB" w:rsidRDefault="00744957" w:rsidP="0078122B">
      <w:pPr>
        <w:pBdr>
          <w:top w:val="none" w:sz="0" w:space="0" w:color="000000"/>
          <w:left w:val="none" w:sz="0" w:space="0" w:color="000000"/>
          <w:bottom w:val="none" w:sz="0" w:space="0" w:color="000000"/>
          <w:right w:val="none" w:sz="0" w:space="0" w:color="000000"/>
        </w:pBdr>
        <w:spacing w:before="100" w:after="100" w:line="276" w:lineRule="auto"/>
        <w:ind w:right="100"/>
        <w:rPr>
          <w:rFonts w:ascii="Times New Roman" w:eastAsia="Times New Roman" w:hAnsi="Times New Roman" w:cs="Times New Roman"/>
          <w:color w:val="000000"/>
          <w:sz w:val="22"/>
          <w:szCs w:val="22"/>
          <w:vertAlign w:val="superscript"/>
        </w:rPr>
        <w:sectPr w:rsidR="00744957" w:rsidRPr="00A32CAB" w:rsidSect="00744957">
          <w:pgSz w:w="15840" w:h="12240" w:orient="landscape"/>
          <w:pgMar w:top="1440" w:right="1440" w:bottom="1440" w:left="1440" w:header="720" w:footer="720" w:gutter="0"/>
          <w:cols w:space="720"/>
          <w:docGrid w:linePitch="326"/>
        </w:sectPr>
      </w:pPr>
    </w:p>
    <w:p w14:paraId="23172096" w14:textId="77777777" w:rsidR="00064D46" w:rsidRPr="00A32CAB" w:rsidRDefault="00B23FC6">
      <w:pPr>
        <w:pStyle w:val="FigureTitle"/>
      </w:pPr>
      <w:bookmarkStart w:id="2" w:name="fig-1"/>
      <w:bookmarkEnd w:id="1"/>
      <w:r w:rsidRPr="00A32CAB">
        <w:lastRenderedPageBreak/>
        <w:t>Figure 1</w:t>
      </w:r>
    </w:p>
    <w:p w14:paraId="23172097" w14:textId="3AF49F1D" w:rsidR="00064D46" w:rsidRPr="00A32CAB" w:rsidRDefault="00B23FC6">
      <w:pPr>
        <w:pStyle w:val="Caption"/>
      </w:pPr>
      <w:r w:rsidRPr="00A32CAB">
        <w:t>Sensitivity Scale Values for the PHQ-9 Items by Model</w:t>
      </w:r>
    </w:p>
    <w:p w14:paraId="23172098" w14:textId="7BF32C3A" w:rsidR="00064D46" w:rsidRPr="00A32CAB" w:rsidRDefault="00592515">
      <w:pPr>
        <w:pStyle w:val="FigureWithNote"/>
      </w:pPr>
      <w:r w:rsidRPr="00A32CAB">
        <w:drawing>
          <wp:inline distT="0" distB="0" distL="0" distR="0" wp14:anchorId="10411D24" wp14:editId="6A55E305">
            <wp:extent cx="5943600" cy="3371850"/>
            <wp:effectExtent l="0" t="0" r="0" b="0"/>
            <wp:docPr id="506175931" name="Picture 1" descr="A graph with colorful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175931" name="Picture 1" descr="A graph with colorful dots&#10;&#10;AI-generated content may be incorrect."/>
                    <pic:cNvPicPr/>
                  </pic:nvPicPr>
                  <pic:blipFill>
                    <a:blip r:embed="rId9"/>
                    <a:stretch>
                      <a:fillRect/>
                    </a:stretch>
                  </pic:blipFill>
                  <pic:spPr>
                    <a:xfrm>
                      <a:off x="0" y="0"/>
                      <a:ext cx="5943600" cy="3371850"/>
                    </a:xfrm>
                    <a:prstGeom prst="rect">
                      <a:avLst/>
                    </a:prstGeom>
                  </pic:spPr>
                </pic:pic>
              </a:graphicData>
            </a:graphic>
          </wp:inline>
        </w:drawing>
      </w:r>
    </w:p>
    <w:bookmarkEnd w:id="2"/>
    <w:p w14:paraId="23172099" w14:textId="77777777" w:rsidR="00064D46" w:rsidRPr="00A32CAB" w:rsidRDefault="00B23FC6">
      <w:pPr>
        <w:pStyle w:val="FigureNote"/>
      </w:pPr>
      <w:r w:rsidRPr="00A32CAB">
        <w:rPr>
          <w:i/>
          <w:iCs/>
        </w:rPr>
        <w:t>Note</w:t>
      </w:r>
      <w:r w:rsidRPr="00A32CAB">
        <w:t>. n = 265. Positive values indicate higher susceptibility to SDR (symptoms uncomfortable to disclose) and negative values indicate lower susceptibility to SDR (symptoms not uncomfortable to disclose)</w:t>
      </w:r>
    </w:p>
    <w:p w14:paraId="2317209A" w14:textId="77777777" w:rsidR="00064D46" w:rsidRPr="00A32CAB" w:rsidRDefault="00B23FC6">
      <w:pPr>
        <w:pStyle w:val="FigureTitle"/>
      </w:pPr>
      <w:bookmarkStart w:id="3" w:name="fig-2"/>
      <w:r w:rsidRPr="00A32CAB">
        <w:lastRenderedPageBreak/>
        <w:t>Figure 2</w:t>
      </w:r>
    </w:p>
    <w:p w14:paraId="2317209B" w14:textId="35D7A8B8" w:rsidR="00064D46" w:rsidRPr="00A32CAB" w:rsidRDefault="00B23FC6">
      <w:pPr>
        <w:pStyle w:val="Caption"/>
      </w:pPr>
      <w:r w:rsidRPr="00A32CAB">
        <w:t>Theoretical Distributions for the Sensitivity Scale Values for the PHQ-9 Items by Model</w:t>
      </w:r>
    </w:p>
    <w:p w14:paraId="2317209C" w14:textId="6C2B1733" w:rsidR="00064D46" w:rsidRPr="00A32CAB" w:rsidRDefault="00371158">
      <w:pPr>
        <w:pStyle w:val="FigureWithoutNote"/>
      </w:pPr>
      <w:r w:rsidRPr="00A32CAB">
        <w:drawing>
          <wp:inline distT="0" distB="0" distL="0" distR="0" wp14:anchorId="3981B65B" wp14:editId="7A3F5EF7">
            <wp:extent cx="5943600" cy="4128135"/>
            <wp:effectExtent l="0" t="0" r="0" b="5715"/>
            <wp:docPr id="763071371" name="Picture 1" descr="A group of graphs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71371" name="Picture 1" descr="A group of graphs with different colored lines&#10;&#10;AI-generated content may be incorrect."/>
                    <pic:cNvPicPr/>
                  </pic:nvPicPr>
                  <pic:blipFill>
                    <a:blip r:embed="rId10"/>
                    <a:stretch>
                      <a:fillRect/>
                    </a:stretch>
                  </pic:blipFill>
                  <pic:spPr>
                    <a:xfrm>
                      <a:off x="0" y="0"/>
                      <a:ext cx="5943600" cy="4128135"/>
                    </a:xfrm>
                    <a:prstGeom prst="rect">
                      <a:avLst/>
                    </a:prstGeom>
                  </pic:spPr>
                </pic:pic>
              </a:graphicData>
            </a:graphic>
          </wp:inline>
        </w:drawing>
      </w:r>
    </w:p>
    <w:bookmarkEnd w:id="3"/>
    <w:p w14:paraId="2317209D" w14:textId="77777777" w:rsidR="00064D46" w:rsidRPr="00A32CAB" w:rsidRDefault="00B23FC6">
      <w:r w:rsidRPr="00A32CAB">
        <w:br w:type="page"/>
      </w:r>
    </w:p>
    <w:p w14:paraId="2317209E" w14:textId="77777777" w:rsidR="00064D46" w:rsidRPr="00A32CAB" w:rsidRDefault="00B23FC6">
      <w:pPr>
        <w:pStyle w:val="BodyText"/>
      </w:pPr>
      <w:r w:rsidRPr="00A32CAB">
        <w:lastRenderedPageBreak/>
        <w:t xml:space="preserve">The goodness of fit results for the models can be seen in </w:t>
      </w:r>
      <w:hyperlink w:anchor="tbl-2">
        <w:r w:rsidRPr="00A32CAB">
          <w:rPr>
            <w:rStyle w:val="Hyperlink"/>
          </w:rPr>
          <w:t>Table 2</w:t>
        </w:r>
      </w:hyperlink>
      <w:r w:rsidRPr="00A32CAB">
        <w:t>. Only the binomial model fits the data reasonably well, as it has the lowest average discrepancy and is the only one with a statistically nonsignificant Y statistic.</w:t>
      </w:r>
    </w:p>
    <w:p w14:paraId="567E2393" w14:textId="77777777" w:rsidR="007C7741" w:rsidRPr="00A32CAB" w:rsidRDefault="007C7741">
      <w:pPr>
        <w:pStyle w:val="BodyText"/>
      </w:pPr>
    </w:p>
    <w:p w14:paraId="2317209F" w14:textId="77777777" w:rsidR="00064D46" w:rsidRPr="00A32CAB" w:rsidRDefault="00B23FC6">
      <w:pPr>
        <w:pStyle w:val="FigureTitle"/>
      </w:pPr>
      <w:bookmarkStart w:id="4" w:name="tbl-2"/>
      <w:r w:rsidRPr="00A32CAB">
        <w:t>Table 2</w:t>
      </w:r>
    </w:p>
    <w:p w14:paraId="231720A0" w14:textId="77777777" w:rsidR="00064D46" w:rsidRPr="00A32CAB" w:rsidRDefault="00B23FC6">
      <w:pPr>
        <w:pStyle w:val="Caption"/>
      </w:pPr>
      <w:r w:rsidRPr="00A32CAB">
        <w:t>Goodness of Fit Results for the Thurstone Case V and Case III Models, and the Binomial and Beta Models</w:t>
      </w:r>
    </w:p>
    <w:tbl>
      <w:tblPr>
        <w:tblW w:w="0" w:type="auto"/>
        <w:tblLayout w:type="fixed"/>
        <w:tblLook w:val="0420" w:firstRow="1" w:lastRow="0" w:firstColumn="0" w:lastColumn="0" w:noHBand="0" w:noVBand="1"/>
      </w:tblPr>
      <w:tblGrid>
        <w:gridCol w:w="1080"/>
        <w:gridCol w:w="1080"/>
        <w:gridCol w:w="1080"/>
        <w:gridCol w:w="1080"/>
        <w:gridCol w:w="1872"/>
      </w:tblGrid>
      <w:tr w:rsidR="00064D46" w:rsidRPr="00A32CAB" w14:paraId="231720A4" w14:textId="77777777">
        <w:trPr>
          <w:tblHeader/>
        </w:trPr>
        <w:tc>
          <w:tcPr>
            <w:tcW w:w="1080" w:type="dxa"/>
            <w:vMerge w:val="restart"/>
            <w:tcBorders>
              <w:top w:val="single" w:sz="6"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A1"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pPr>
            <w:r w:rsidRPr="00A32CAB">
              <w:rPr>
                <w:rFonts w:ascii="Times New Roman" w:eastAsia="Times New Roman" w:hAnsi="Times New Roman" w:cs="Times New Roman"/>
                <w:color w:val="000000"/>
                <w:sz w:val="22"/>
                <w:szCs w:val="22"/>
              </w:rPr>
              <w:t>Model</w:t>
            </w:r>
          </w:p>
        </w:tc>
        <w:tc>
          <w:tcPr>
            <w:tcW w:w="3240" w:type="dxa"/>
            <w:gridSpan w:val="3"/>
            <w:tcBorders>
              <w:top w:val="single" w:sz="6"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1720A2"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Goodness of fit test statistics</w:t>
            </w:r>
          </w:p>
        </w:tc>
        <w:tc>
          <w:tcPr>
            <w:tcW w:w="1872" w:type="dxa"/>
            <w:vMerge w:val="restart"/>
            <w:tcBorders>
              <w:top w:val="single" w:sz="6"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A3"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Absolute average discrepancy</w:t>
            </w:r>
          </w:p>
        </w:tc>
      </w:tr>
      <w:tr w:rsidR="00064D46" w:rsidRPr="00A32CAB" w14:paraId="231720AA" w14:textId="77777777">
        <w:trPr>
          <w:tblHeader/>
        </w:trPr>
        <w:tc>
          <w:tcPr>
            <w:tcW w:w="1080" w:type="dxa"/>
            <w:vMerge/>
            <w:tcBorders>
              <w:top w:val="single" w:sz="6"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A5" w14:textId="77777777" w:rsidR="00064D46" w:rsidRPr="00A32CAB" w:rsidRDefault="00064D46">
            <w:pPr>
              <w:pBdr>
                <w:top w:val="none" w:sz="0" w:space="0" w:color="000000"/>
                <w:left w:val="none" w:sz="0" w:space="0" w:color="000000"/>
                <w:bottom w:val="none" w:sz="0" w:space="0" w:color="000000"/>
                <w:right w:val="none" w:sz="0" w:space="0" w:color="000000"/>
              </w:pBdr>
              <w:spacing w:before="100" w:after="100" w:line="360" w:lineRule="auto"/>
              <w:ind w:left="100" w:right="100"/>
            </w:pPr>
          </w:p>
        </w:tc>
        <w:tc>
          <w:tcPr>
            <w:tcW w:w="1080" w:type="dxa"/>
            <w:tcBorders>
              <w:top w:val="single" w:sz="12" w:space="0" w:color="666666"/>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A6"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Y</w:t>
            </w:r>
          </w:p>
        </w:tc>
        <w:tc>
          <w:tcPr>
            <w:tcW w:w="1080" w:type="dxa"/>
            <w:tcBorders>
              <w:top w:val="single" w:sz="12" w:space="0" w:color="666666"/>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A7"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i/>
                <w:color w:val="000000"/>
                <w:sz w:val="22"/>
                <w:szCs w:val="22"/>
              </w:rPr>
              <w:t>df</w:t>
            </w:r>
          </w:p>
        </w:tc>
        <w:tc>
          <w:tcPr>
            <w:tcW w:w="1080" w:type="dxa"/>
            <w:tcBorders>
              <w:top w:val="single" w:sz="12" w:space="0" w:color="666666"/>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A8"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i/>
                <w:color w:val="000000"/>
                <w:sz w:val="22"/>
                <w:szCs w:val="22"/>
              </w:rPr>
              <w:t>p</w:t>
            </w:r>
          </w:p>
        </w:tc>
        <w:tc>
          <w:tcPr>
            <w:tcW w:w="1872" w:type="dxa"/>
            <w:vMerge/>
            <w:tcBorders>
              <w:top w:val="single" w:sz="6"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A9" w14:textId="77777777" w:rsidR="00064D46" w:rsidRPr="00A32CAB" w:rsidRDefault="00064D4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p>
        </w:tc>
      </w:tr>
      <w:tr w:rsidR="00064D46" w:rsidRPr="00A32CAB" w14:paraId="231720B0" w14:textId="77777777">
        <w:tc>
          <w:tcPr>
            <w:tcW w:w="1080"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AB"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pPr>
            <w:r w:rsidRPr="00A32CAB">
              <w:rPr>
                <w:rFonts w:ascii="Times New Roman" w:eastAsia="Times New Roman" w:hAnsi="Times New Roman" w:cs="Times New Roman"/>
                <w:color w:val="000000"/>
                <w:sz w:val="22"/>
                <w:szCs w:val="22"/>
              </w:rPr>
              <w:t>Case V</w:t>
            </w:r>
          </w:p>
        </w:tc>
        <w:tc>
          <w:tcPr>
            <w:tcW w:w="1080"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AC"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754.24</w:t>
            </w:r>
          </w:p>
        </w:tc>
        <w:tc>
          <w:tcPr>
            <w:tcW w:w="1080"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AD"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27</w:t>
            </w:r>
          </w:p>
        </w:tc>
        <w:tc>
          <w:tcPr>
            <w:tcW w:w="1080"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AE"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0.000</w:t>
            </w:r>
          </w:p>
        </w:tc>
        <w:tc>
          <w:tcPr>
            <w:tcW w:w="1872"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AF"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0.094</w:t>
            </w:r>
          </w:p>
        </w:tc>
      </w:tr>
      <w:tr w:rsidR="00064D46" w:rsidRPr="00A32CAB" w14:paraId="231720B6" w14:textId="77777777">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B1"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pPr>
            <w:r w:rsidRPr="00A32CAB">
              <w:rPr>
                <w:rFonts w:ascii="Times New Roman" w:eastAsia="Times New Roman" w:hAnsi="Times New Roman" w:cs="Times New Roman"/>
                <w:color w:val="000000"/>
                <w:sz w:val="22"/>
                <w:szCs w:val="22"/>
              </w:rPr>
              <w:t>Case III</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B2"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107.06</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B3"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27</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B4"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0.000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B5"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0.031</w:t>
            </w:r>
          </w:p>
        </w:tc>
      </w:tr>
      <w:tr w:rsidR="00064D46" w:rsidRPr="00A32CAB" w14:paraId="231720BC" w14:textId="77777777">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B7"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pPr>
            <w:r w:rsidRPr="00A32CAB">
              <w:rPr>
                <w:rFonts w:ascii="Times New Roman" w:eastAsia="Times New Roman" w:hAnsi="Times New Roman" w:cs="Times New Roman"/>
                <w:color w:val="000000"/>
                <w:sz w:val="22"/>
                <w:szCs w:val="22"/>
              </w:rPr>
              <w:t>Binomial</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B8"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0.54</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B9"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27</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BA"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1.000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20BB"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0.002</w:t>
            </w:r>
          </w:p>
        </w:tc>
      </w:tr>
      <w:tr w:rsidR="00064D46" w:rsidRPr="00A32CAB" w14:paraId="231720C2" w14:textId="77777777">
        <w:tc>
          <w:tcPr>
            <w:tcW w:w="1080"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BD"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pPr>
            <w:r w:rsidRPr="00A32CAB">
              <w:rPr>
                <w:rFonts w:ascii="Times New Roman" w:eastAsia="Times New Roman" w:hAnsi="Times New Roman" w:cs="Times New Roman"/>
                <w:color w:val="000000"/>
                <w:sz w:val="22"/>
                <w:szCs w:val="22"/>
              </w:rPr>
              <w:t>Beta</w:t>
            </w:r>
          </w:p>
        </w:tc>
        <w:tc>
          <w:tcPr>
            <w:tcW w:w="1080"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BE"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686.93</w:t>
            </w:r>
          </w:p>
        </w:tc>
        <w:tc>
          <w:tcPr>
            <w:tcW w:w="1080"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BF"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27</w:t>
            </w:r>
          </w:p>
        </w:tc>
        <w:tc>
          <w:tcPr>
            <w:tcW w:w="1080"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C0"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0.000</w:t>
            </w:r>
          </w:p>
        </w:tc>
        <w:tc>
          <w:tcPr>
            <w:tcW w:w="1872"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center"/>
          </w:tcPr>
          <w:p w14:paraId="231720C1" w14:textId="77777777" w:rsidR="00064D46" w:rsidRPr="00A32CAB" w:rsidRDefault="00B23FC6">
            <w:pPr>
              <w:pBdr>
                <w:top w:val="none" w:sz="0" w:space="0" w:color="000000"/>
                <w:left w:val="none" w:sz="0" w:space="0" w:color="000000"/>
                <w:bottom w:val="none" w:sz="0" w:space="0" w:color="000000"/>
                <w:right w:val="none" w:sz="0" w:space="0" w:color="000000"/>
              </w:pBdr>
              <w:spacing w:before="100" w:after="100" w:line="360" w:lineRule="auto"/>
              <w:ind w:left="100" w:right="100"/>
              <w:jc w:val="center"/>
            </w:pPr>
            <w:r w:rsidRPr="00A32CAB">
              <w:rPr>
                <w:rFonts w:ascii="Times New Roman" w:eastAsia="Times New Roman" w:hAnsi="Times New Roman" w:cs="Times New Roman"/>
                <w:color w:val="000000"/>
                <w:sz w:val="22"/>
                <w:szCs w:val="22"/>
              </w:rPr>
              <w:t>0.054</w:t>
            </w:r>
          </w:p>
        </w:tc>
      </w:tr>
    </w:tbl>
    <w:bookmarkEnd w:id="4"/>
    <w:p w14:paraId="231720C3" w14:textId="77777777" w:rsidR="00064D46" w:rsidRPr="00A32CAB" w:rsidRDefault="00B23FC6">
      <w:pPr>
        <w:pStyle w:val="FigureNote"/>
      </w:pPr>
      <w:r w:rsidRPr="00A32CAB">
        <w:rPr>
          <w:i/>
          <w:iCs/>
        </w:rPr>
        <w:t>Note</w:t>
      </w:r>
      <w:r w:rsidRPr="00A32CAB">
        <w:t>. n = 265.</w:t>
      </w:r>
    </w:p>
    <w:p w14:paraId="4A83EEA2" w14:textId="77777777" w:rsidR="007C7741" w:rsidRPr="00A32CAB" w:rsidRDefault="007C7741">
      <w:pPr>
        <w:pStyle w:val="BodyText"/>
      </w:pPr>
    </w:p>
    <w:p w14:paraId="231720C4" w14:textId="40279B77" w:rsidR="00064D46" w:rsidRPr="00A32CAB" w:rsidRDefault="00B23FC6">
      <w:pPr>
        <w:pStyle w:val="BodyText"/>
      </w:pPr>
      <w:r w:rsidRPr="00A32CAB">
        <w:t>These results support the use of the binomial model for estimating the sensitivity scale values in the present study. Its superior fit suggests that it more accurately captures participants’ relative judgments without imposing overly restrictive assumptions. The sensitivity scale values reported in the main manuscript are therefore based on estimates from the binomial model.</w:t>
      </w:r>
    </w:p>
    <w:p w14:paraId="231720C5" w14:textId="77777777" w:rsidR="00064D46" w:rsidRPr="00A32CAB" w:rsidRDefault="00B23FC6">
      <w:r w:rsidRPr="00A32CAB">
        <w:br w:type="page"/>
      </w:r>
    </w:p>
    <w:p w14:paraId="231720C6" w14:textId="77777777" w:rsidR="00064D46" w:rsidRPr="00A32CAB" w:rsidRDefault="00B23FC6">
      <w:pPr>
        <w:pStyle w:val="Heading1"/>
      </w:pPr>
      <w:bookmarkStart w:id="5" w:name="references"/>
      <w:bookmarkEnd w:id="0"/>
      <w:r w:rsidRPr="00A32CAB">
        <w:lastRenderedPageBreak/>
        <w:t>References</w:t>
      </w:r>
    </w:p>
    <w:p w14:paraId="231720C7" w14:textId="72DB349A" w:rsidR="00064D46" w:rsidRPr="00A32CAB" w:rsidRDefault="00B23FC6" w:rsidP="00A32CAB">
      <w:pPr>
        <w:pStyle w:val="Bibliography"/>
        <w:numPr>
          <w:ilvl w:val="0"/>
          <w:numId w:val="23"/>
        </w:numPr>
      </w:pPr>
      <w:bookmarkStart w:id="6" w:name="ref-guilford1954"/>
      <w:bookmarkStart w:id="7" w:name="refs"/>
      <w:r w:rsidRPr="00A32CAB">
        <w:t>Guilford, JP</w:t>
      </w:r>
      <w:r w:rsidR="00523EE8">
        <w:t>.</w:t>
      </w:r>
      <w:r w:rsidRPr="00A32CAB">
        <w:t xml:space="preserve"> </w:t>
      </w:r>
      <w:r w:rsidRPr="00523EE8">
        <w:t>Psychometric methods</w:t>
      </w:r>
      <w:r w:rsidRPr="00A32CAB">
        <w:t xml:space="preserve">. </w:t>
      </w:r>
      <w:r w:rsidR="00523EE8">
        <w:t xml:space="preserve">New York: </w:t>
      </w:r>
      <w:r w:rsidRPr="00A32CAB">
        <w:t>McGraw-Hill</w:t>
      </w:r>
      <w:r w:rsidR="00523EE8">
        <w:t>; 1954.</w:t>
      </w:r>
    </w:p>
    <w:p w14:paraId="231720C8" w14:textId="30395BA5" w:rsidR="00064D46" w:rsidRPr="00A32CAB" w:rsidRDefault="00B23FC6" w:rsidP="00A32CAB">
      <w:pPr>
        <w:pStyle w:val="Bibliography"/>
        <w:numPr>
          <w:ilvl w:val="0"/>
          <w:numId w:val="23"/>
        </w:numPr>
      </w:pPr>
      <w:bookmarkStart w:id="8" w:name="ref-hohle1966"/>
      <w:bookmarkEnd w:id="6"/>
      <w:r w:rsidRPr="00A32CAB">
        <w:t xml:space="preserve">Hohle, RH. (1966). An empirical evaluation and comparison of two models for discriminability scales. </w:t>
      </w:r>
      <w:r w:rsidR="00337215" w:rsidRPr="00337215">
        <w:t>J Math Psychol</w:t>
      </w:r>
      <w:r w:rsidR="00523EE8">
        <w:t xml:space="preserve">. </w:t>
      </w:r>
      <w:r w:rsidR="00C6419F">
        <w:t>1966; doi:</w:t>
      </w:r>
      <w:r w:rsidRPr="00C6419F">
        <w:t>10.1016/0022-2496(66)90010-1</w:t>
      </w:r>
    </w:p>
    <w:p w14:paraId="231720C9" w14:textId="7A24B1FC" w:rsidR="00064D46" w:rsidRPr="00A32CAB" w:rsidRDefault="00B23FC6" w:rsidP="00A32CAB">
      <w:pPr>
        <w:pStyle w:val="Bibliography"/>
        <w:numPr>
          <w:ilvl w:val="0"/>
          <w:numId w:val="23"/>
        </w:numPr>
      </w:pPr>
      <w:bookmarkStart w:id="9" w:name="ref-thurstone1927"/>
      <w:bookmarkEnd w:id="8"/>
      <w:r w:rsidRPr="00A32CAB">
        <w:t xml:space="preserve">Thurstone, LL. The method of paired comparisons for social values. </w:t>
      </w:r>
      <w:r w:rsidR="004157EC" w:rsidRPr="004157EC">
        <w:t>J Abnorm Soc Psychol</w:t>
      </w:r>
      <w:r w:rsidR="00337215">
        <w:t xml:space="preserve">. </w:t>
      </w:r>
      <w:r w:rsidR="00337215" w:rsidRPr="00A32CAB">
        <w:t>1927</w:t>
      </w:r>
      <w:r w:rsidR="00337215">
        <w:t>; doi:</w:t>
      </w:r>
      <w:r w:rsidRPr="00337215">
        <w:t>10.1037/h0065439</w:t>
      </w:r>
    </w:p>
    <w:p w14:paraId="231720CA" w14:textId="341C170A" w:rsidR="00064D46" w:rsidRDefault="00B23FC6" w:rsidP="00A32CAB">
      <w:pPr>
        <w:pStyle w:val="Bibliography"/>
        <w:numPr>
          <w:ilvl w:val="0"/>
          <w:numId w:val="23"/>
        </w:numPr>
      </w:pPr>
      <w:bookmarkStart w:id="10" w:name="ref-wild&amp;cabral1976"/>
      <w:bookmarkEnd w:id="9"/>
      <w:r w:rsidRPr="00A32CAB">
        <w:t xml:space="preserve">Wild, BS, Cabral, RM. The </w:t>
      </w:r>
      <w:r w:rsidR="005E7509">
        <w:t>s</w:t>
      </w:r>
      <w:r w:rsidRPr="00A32CAB">
        <w:t xml:space="preserve">caling of </w:t>
      </w:r>
      <w:r w:rsidR="005E7509">
        <w:t>p</w:t>
      </w:r>
      <w:r w:rsidRPr="00A32CAB">
        <w:t xml:space="preserve">aired </w:t>
      </w:r>
      <w:r w:rsidR="005E7509">
        <w:t>c</w:t>
      </w:r>
      <w:r w:rsidRPr="00A32CAB">
        <w:t xml:space="preserve">omparison </w:t>
      </w:r>
      <w:r w:rsidR="005E7509">
        <w:t>d</w:t>
      </w:r>
      <w:r w:rsidRPr="00A32CAB">
        <w:t xml:space="preserve">ata </w:t>
      </w:r>
      <w:r w:rsidR="005E7509">
        <w:t>w</w:t>
      </w:r>
      <w:r w:rsidRPr="00A32CAB">
        <w:t xml:space="preserve">ith one or </w:t>
      </w:r>
      <w:r w:rsidR="005E7509">
        <w:t>m</w:t>
      </w:r>
      <w:r w:rsidRPr="00A32CAB">
        <w:t xml:space="preserve">ore </w:t>
      </w:r>
      <w:r w:rsidR="005E7509">
        <w:t>e</w:t>
      </w:r>
      <w:r w:rsidRPr="00A32CAB">
        <w:t xml:space="preserve">xtreme </w:t>
      </w:r>
      <w:r w:rsidR="005E7509">
        <w:t>s</w:t>
      </w:r>
      <w:r w:rsidRPr="00A32CAB">
        <w:t xml:space="preserve">timuli: a </w:t>
      </w:r>
      <w:r w:rsidR="005E7509">
        <w:t>c</w:t>
      </w:r>
      <w:r w:rsidRPr="00A32CAB">
        <w:t xml:space="preserve">omparison of three </w:t>
      </w:r>
      <w:r w:rsidR="005E7509">
        <w:t>m</w:t>
      </w:r>
      <w:r w:rsidRPr="00A32CAB">
        <w:t xml:space="preserve">odels. </w:t>
      </w:r>
      <w:r w:rsidR="005E7509" w:rsidRPr="005E7509">
        <w:t>Educ Psychol Meas</w:t>
      </w:r>
      <w:r w:rsidR="004157EC">
        <w:t xml:space="preserve">. </w:t>
      </w:r>
      <w:r w:rsidR="004157EC" w:rsidRPr="00A32CAB">
        <w:t>1976</w:t>
      </w:r>
      <w:r w:rsidR="004157EC">
        <w:t>; doi:</w:t>
      </w:r>
      <w:r w:rsidRPr="004157EC">
        <w:t>10.1177/001316447603600311</w:t>
      </w:r>
      <w:bookmarkEnd w:id="5"/>
      <w:bookmarkEnd w:id="7"/>
      <w:bookmarkEnd w:id="10"/>
    </w:p>
    <w:sectPr w:rsidR="00064D4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720DA" w14:textId="77777777" w:rsidR="00B23FC6" w:rsidRPr="00A32CAB" w:rsidRDefault="00B23FC6">
      <w:pPr>
        <w:spacing w:line="240" w:lineRule="auto"/>
      </w:pPr>
      <w:r w:rsidRPr="00A32CAB">
        <w:separator/>
      </w:r>
    </w:p>
  </w:endnote>
  <w:endnote w:type="continuationSeparator" w:id="0">
    <w:p w14:paraId="231720DC" w14:textId="77777777" w:rsidR="00B23FC6" w:rsidRPr="00A32CAB" w:rsidRDefault="00B23FC6">
      <w:pPr>
        <w:spacing w:line="240" w:lineRule="auto"/>
      </w:pPr>
      <w:r w:rsidRPr="00A32C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720CF" w14:textId="77777777" w:rsidR="00064D46" w:rsidRPr="00A32CAB" w:rsidRDefault="00B23FC6">
      <w:r w:rsidRPr="00A32CAB">
        <w:separator/>
      </w:r>
    </w:p>
  </w:footnote>
  <w:footnote w:type="continuationSeparator" w:id="0">
    <w:p w14:paraId="231720D0" w14:textId="77777777" w:rsidR="00064D46" w:rsidRPr="00A32CAB" w:rsidRDefault="00B23FC6">
      <w:r w:rsidRPr="00A32CA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720D2" w14:textId="36F2588D" w:rsidR="00B23FC6" w:rsidRPr="00A32CAB" w:rsidRDefault="00B23FC6" w:rsidP="000D23CF">
    <w:pPr>
      <w:tabs>
        <w:tab w:val="right" w:pos="9360"/>
      </w:tabs>
    </w:pPr>
    <w:r w:rsidRPr="00A32CAB">
      <w:tab/>
    </w:r>
    <w:r w:rsidRPr="00A32CAB">
      <w:fldChar w:fldCharType="begin"/>
    </w:r>
    <w:r w:rsidRPr="00A32CAB">
      <w:instrText xml:space="preserve"> PAGE   \* MERGEFORMAT </w:instrText>
    </w:r>
    <w:r w:rsidRPr="00A32CAB">
      <w:fldChar w:fldCharType="separate"/>
    </w:r>
    <w:r w:rsidRPr="00A32CAB">
      <w:t>1</w:t>
    </w:r>
    <w:r w:rsidRPr="00A32CAB">
      <w:fldChar w:fldCharType="end"/>
    </w:r>
  </w:p>
  <w:p w14:paraId="231720D3" w14:textId="77777777" w:rsidR="00B23FC6" w:rsidRPr="00A32CAB" w:rsidRDefault="00B23F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1A5F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AA8C72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A3E2FD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C147E6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39682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2128A1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8C86D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65E97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55097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C8C9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A990"/>
    <w:multiLevelType w:val="multilevel"/>
    <w:tmpl w:val="FBE4EC4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1" w15:restartNumberingAfterBreak="0">
    <w:nsid w:val="5D1079BE"/>
    <w:multiLevelType w:val="hybridMultilevel"/>
    <w:tmpl w:val="589A61B8"/>
    <w:lvl w:ilvl="0" w:tplc="2A80B848">
      <w:start w:val="1"/>
      <w:numFmt w:val="decimal"/>
      <w:pStyle w:val="APAEnumerated"/>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B4F74AE"/>
    <w:multiLevelType w:val="hybridMultilevel"/>
    <w:tmpl w:val="1F9E7446"/>
    <w:lvl w:ilvl="0" w:tplc="040F000F">
      <w:start w:val="1"/>
      <w:numFmt w:val="decimal"/>
      <w:lvlText w:val="%1."/>
      <w:lvlJc w:val="left"/>
      <w:pPr>
        <w:ind w:left="360" w:hanging="360"/>
      </w:p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num w:numId="1" w16cid:durableId="423961382">
    <w:abstractNumId w:val="11"/>
  </w:num>
  <w:num w:numId="2" w16cid:durableId="1687557963">
    <w:abstractNumId w:val="9"/>
  </w:num>
  <w:num w:numId="3" w16cid:durableId="1037200209">
    <w:abstractNumId w:val="7"/>
  </w:num>
  <w:num w:numId="4" w16cid:durableId="1834566650">
    <w:abstractNumId w:val="6"/>
  </w:num>
  <w:num w:numId="5" w16cid:durableId="1713074931">
    <w:abstractNumId w:val="5"/>
  </w:num>
  <w:num w:numId="6" w16cid:durableId="90976974">
    <w:abstractNumId w:val="4"/>
  </w:num>
  <w:num w:numId="7" w16cid:durableId="1378773811">
    <w:abstractNumId w:val="8"/>
  </w:num>
  <w:num w:numId="8" w16cid:durableId="2106684559">
    <w:abstractNumId w:val="3"/>
  </w:num>
  <w:num w:numId="9" w16cid:durableId="1702896435">
    <w:abstractNumId w:val="2"/>
  </w:num>
  <w:num w:numId="10" w16cid:durableId="1542131015">
    <w:abstractNumId w:val="1"/>
  </w:num>
  <w:num w:numId="11" w16cid:durableId="1202327122">
    <w:abstractNumId w:val="0"/>
  </w:num>
  <w:num w:numId="12" w16cid:durableId="1855149352">
    <w:abstractNumId w:val="9"/>
  </w:num>
  <w:num w:numId="13" w16cid:durableId="1364743380">
    <w:abstractNumId w:val="7"/>
  </w:num>
  <w:num w:numId="14" w16cid:durableId="20473214">
    <w:abstractNumId w:val="6"/>
  </w:num>
  <w:num w:numId="15" w16cid:durableId="1905485383">
    <w:abstractNumId w:val="5"/>
  </w:num>
  <w:num w:numId="16" w16cid:durableId="1657997273">
    <w:abstractNumId w:val="4"/>
  </w:num>
  <w:num w:numId="17" w16cid:durableId="1775712193">
    <w:abstractNumId w:val="8"/>
  </w:num>
  <w:num w:numId="18" w16cid:durableId="772827886">
    <w:abstractNumId w:val="3"/>
  </w:num>
  <w:num w:numId="19" w16cid:durableId="1912688915">
    <w:abstractNumId w:val="2"/>
  </w:num>
  <w:num w:numId="20" w16cid:durableId="1611625261">
    <w:abstractNumId w:val="1"/>
  </w:num>
  <w:num w:numId="21" w16cid:durableId="2107966237">
    <w:abstractNumId w:val="0"/>
  </w:num>
  <w:num w:numId="22" w16cid:durableId="1673530828">
    <w:abstractNumId w:val="10"/>
  </w:num>
  <w:num w:numId="23" w16cid:durableId="15960110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D46"/>
    <w:rsid w:val="00032C24"/>
    <w:rsid w:val="00064D46"/>
    <w:rsid w:val="001673D7"/>
    <w:rsid w:val="00266A9E"/>
    <w:rsid w:val="002F0631"/>
    <w:rsid w:val="00337215"/>
    <w:rsid w:val="00371158"/>
    <w:rsid w:val="004157EC"/>
    <w:rsid w:val="00523EE8"/>
    <w:rsid w:val="00592515"/>
    <w:rsid w:val="005E7509"/>
    <w:rsid w:val="00744957"/>
    <w:rsid w:val="0078122B"/>
    <w:rsid w:val="007C7741"/>
    <w:rsid w:val="00885BA1"/>
    <w:rsid w:val="009E36B4"/>
    <w:rsid w:val="00A32CAB"/>
    <w:rsid w:val="00B23FC6"/>
    <w:rsid w:val="00B66AAC"/>
    <w:rsid w:val="00C6419F"/>
    <w:rsid w:val="00E228F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2011"/>
  <w15:docId w15:val="{D759124A-AF28-48ED-A289-4C113550A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560B"/>
    <w:pPr>
      <w:spacing w:after="0" w:line="480" w:lineRule="auto"/>
    </w:pPr>
    <w:rPr>
      <w:noProof/>
    </w:rPr>
  </w:style>
  <w:style w:type="paragraph" w:styleId="Heading1">
    <w:name w:val="heading 1"/>
    <w:basedOn w:val="Normal"/>
    <w:next w:val="BodyText"/>
    <w:uiPriority w:val="9"/>
    <w:qFormat/>
    <w:rsid w:val="00901FB7"/>
    <w:pPr>
      <w:keepNext/>
      <w:keepLines/>
      <w:jc w:val="center"/>
      <w:outlineLvl w:val="0"/>
    </w:pPr>
    <w:rPr>
      <w:rFonts w:asciiTheme="majorHAnsi" w:eastAsiaTheme="majorEastAsia" w:hAnsiTheme="majorHAnsi" w:cstheme="majorBidi"/>
      <w:b/>
      <w:bCs/>
      <w:szCs w:val="32"/>
    </w:rPr>
  </w:style>
  <w:style w:type="paragraph" w:styleId="Heading2">
    <w:name w:val="heading 2"/>
    <w:basedOn w:val="Normal"/>
    <w:next w:val="BodyText"/>
    <w:uiPriority w:val="9"/>
    <w:unhideWhenUsed/>
    <w:qFormat/>
    <w:rsid w:val="00901FB7"/>
    <w:pPr>
      <w:keepNext/>
      <w:keepLines/>
      <w:outlineLvl w:val="1"/>
    </w:pPr>
    <w:rPr>
      <w:rFonts w:asciiTheme="majorHAnsi" w:eastAsiaTheme="majorEastAsia" w:hAnsiTheme="majorHAnsi" w:cstheme="majorBidi"/>
      <w:b/>
      <w:bCs/>
      <w:szCs w:val="28"/>
    </w:rPr>
  </w:style>
  <w:style w:type="paragraph" w:styleId="Heading3">
    <w:name w:val="heading 3"/>
    <w:basedOn w:val="Normal"/>
    <w:next w:val="BodyText"/>
    <w:uiPriority w:val="9"/>
    <w:unhideWhenUsed/>
    <w:qFormat/>
    <w:rsid w:val="00901FB7"/>
    <w:pPr>
      <w:keepNext/>
      <w:keepLines/>
      <w:outlineLvl w:val="2"/>
    </w:pPr>
    <w:rPr>
      <w:rFonts w:asciiTheme="majorHAnsi" w:eastAsiaTheme="majorEastAsia" w:hAnsiTheme="majorHAnsi" w:cstheme="majorBidi"/>
      <w:b/>
      <w:bCs/>
      <w:i/>
    </w:rPr>
  </w:style>
  <w:style w:type="paragraph" w:styleId="Heading4">
    <w:name w:val="heading 4"/>
    <w:basedOn w:val="Normal"/>
    <w:next w:val="BodyText"/>
    <w:uiPriority w:val="9"/>
    <w:unhideWhenUsed/>
    <w:qFormat/>
    <w:rsid w:val="008174AC"/>
    <w:pPr>
      <w:keepNext/>
      <w:keepLines/>
      <w:ind w:firstLine="720"/>
      <w:outlineLvl w:val="3"/>
    </w:pPr>
    <w:rPr>
      <w:rFonts w:asciiTheme="majorHAnsi" w:eastAsiaTheme="majorEastAsia" w:hAnsiTheme="majorHAnsi" w:cstheme="majorBidi"/>
      <w:b/>
      <w:bCs/>
    </w:rPr>
  </w:style>
  <w:style w:type="paragraph" w:styleId="Heading5">
    <w:name w:val="heading 5"/>
    <w:basedOn w:val="Normal"/>
    <w:next w:val="BodyText"/>
    <w:uiPriority w:val="9"/>
    <w:unhideWhenUsed/>
    <w:qFormat/>
    <w:rsid w:val="00BD022F"/>
    <w:pPr>
      <w:keepNext/>
      <w:keepLines/>
      <w:ind w:firstLine="720"/>
      <w:outlineLvl w:val="4"/>
    </w:pPr>
    <w:rPr>
      <w:rFonts w:asciiTheme="majorHAnsi" w:eastAsiaTheme="majorEastAsia" w:hAnsiTheme="majorHAnsi" w:cstheme="majorBidi"/>
      <w:b/>
      <w:i/>
      <w:iCs/>
    </w:rPr>
  </w:style>
  <w:style w:type="paragraph" w:styleId="Heading6">
    <w:name w:val="heading 6"/>
    <w:basedOn w:val="Normal"/>
    <w:next w:val="BodyText"/>
    <w:uiPriority w:val="9"/>
    <w:unhideWhenUsed/>
    <w:qFormat/>
    <w:pPr>
      <w:keepNext/>
      <w:keepLines/>
      <w:spacing w:before="200"/>
      <w:outlineLvl w:val="5"/>
    </w:pPr>
    <w:rPr>
      <w:rFonts w:asciiTheme="majorHAnsi" w:eastAsiaTheme="majorEastAsia" w:hAnsiTheme="majorHAnsi" w:cstheme="majorBidi"/>
      <w:color w:val="4472C4" w:themeColor="accent1"/>
    </w:rPr>
  </w:style>
  <w:style w:type="paragraph" w:styleId="Heading7">
    <w:name w:val="heading 7"/>
    <w:basedOn w:val="Normal"/>
    <w:next w:val="BodyText"/>
    <w:uiPriority w:val="9"/>
    <w:unhideWhenUsed/>
    <w:qFormat/>
    <w:pPr>
      <w:keepNext/>
      <w:keepLines/>
      <w:spacing w:before="200"/>
      <w:outlineLvl w:val="6"/>
    </w:pPr>
    <w:rPr>
      <w:rFonts w:asciiTheme="majorHAnsi" w:eastAsiaTheme="majorEastAsia" w:hAnsiTheme="majorHAnsi" w:cstheme="majorBidi"/>
      <w:color w:val="4472C4" w:themeColor="accent1"/>
    </w:rPr>
  </w:style>
  <w:style w:type="paragraph" w:styleId="Heading8">
    <w:name w:val="heading 8"/>
    <w:basedOn w:val="Normal"/>
    <w:next w:val="BodyText"/>
    <w:uiPriority w:val="9"/>
    <w:unhideWhenUsed/>
    <w:qFormat/>
    <w:pPr>
      <w:keepNext/>
      <w:keepLines/>
      <w:spacing w:before="200"/>
      <w:outlineLvl w:val="7"/>
    </w:pPr>
    <w:rPr>
      <w:rFonts w:asciiTheme="majorHAnsi" w:eastAsiaTheme="majorEastAsia" w:hAnsiTheme="majorHAnsi" w:cstheme="majorBidi"/>
      <w:color w:val="4472C4" w:themeColor="accent1"/>
    </w:rPr>
  </w:style>
  <w:style w:type="paragraph" w:styleId="Heading9">
    <w:name w:val="heading 9"/>
    <w:basedOn w:val="Normal"/>
    <w:next w:val="BodyText"/>
    <w:uiPriority w:val="9"/>
    <w:unhideWhenUsed/>
    <w:qFormat/>
    <w:pPr>
      <w:keepNext/>
      <w:keepLines/>
      <w:spacing w:before="200"/>
      <w:outlineLvl w:val="8"/>
    </w:pPr>
    <w:rPr>
      <w:rFonts w:asciiTheme="majorHAnsi" w:eastAsiaTheme="majorEastAsia" w:hAnsiTheme="majorHAnsi" w:cstheme="majorBidi"/>
      <w:color w:val="4472C4"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83560B"/>
    <w:pPr>
      <w:ind w:firstLine="720"/>
    </w:pPr>
  </w:style>
  <w:style w:type="paragraph" w:customStyle="1" w:styleId="FirstParagraph">
    <w:name w:val="First Paragraph"/>
    <w:basedOn w:val="BodyText"/>
    <w:next w:val="BodyText"/>
    <w:qFormat/>
    <w:rsid w:val="008174AC"/>
  </w:style>
  <w:style w:type="paragraph" w:customStyle="1" w:styleId="Compact">
    <w:name w:val="Compact"/>
    <w:basedOn w:val="BodyText"/>
    <w:qFormat/>
    <w:rsid w:val="00387689"/>
    <w:pPr>
      <w:spacing w:line="240" w:lineRule="auto"/>
      <w:ind w:firstLine="0"/>
    </w:pPr>
  </w:style>
  <w:style w:type="paragraph" w:styleId="Title">
    <w:name w:val="Title"/>
    <w:basedOn w:val="Normal"/>
    <w:next w:val="BodyText"/>
    <w:link w:val="TitleChar"/>
    <w:qFormat/>
    <w:rsid w:val="00E401FC"/>
    <w:pPr>
      <w:jc w:val="center"/>
      <w:outlineLvl w:val="0"/>
    </w:pPr>
    <w:rPr>
      <w:b/>
      <w:bCs/>
    </w:rPr>
  </w:style>
  <w:style w:type="paragraph" w:styleId="Subtitle">
    <w:name w:val="Subtitle"/>
    <w:basedOn w:val="Title"/>
    <w:next w:val="BodyText"/>
    <w:qFormat/>
    <w:rsid w:val="00E401FC"/>
    <w:pPr>
      <w:outlineLvl w:val="1"/>
    </w:pPr>
    <w:rPr>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rsid w:val="002A768D"/>
    <w:pPr>
      <w:keepNext/>
      <w:keepLines/>
    </w:pPr>
    <w:rPr>
      <w:szCs w:val="20"/>
    </w:rPr>
  </w:style>
  <w:style w:type="paragraph" w:styleId="Bibliography">
    <w:name w:val="Bibliography"/>
    <w:basedOn w:val="Normal"/>
    <w:qFormat/>
    <w:rsid w:val="00CB7758"/>
    <w:pPr>
      <w:ind w:left="720" w:hanging="720"/>
    </w:pPr>
  </w:style>
  <w:style w:type="paragraph" w:styleId="BlockText">
    <w:name w:val="Block Text"/>
    <w:basedOn w:val="BodyText"/>
    <w:next w:val="BodyText"/>
    <w:link w:val="BlockTextChar"/>
    <w:uiPriority w:val="9"/>
    <w:unhideWhenUsed/>
    <w:qFormat/>
    <w:rsid w:val="0017682D"/>
    <w:pPr>
      <w:ind w:left="720" w:right="720" w:firstLine="0"/>
    </w:pPr>
  </w:style>
  <w:style w:type="paragraph" w:styleId="FootnoteText">
    <w:name w:val="footnote text"/>
    <w:basedOn w:val="Normal"/>
    <w:uiPriority w:val="9"/>
    <w:unhideWhenUsed/>
    <w:qFormat/>
  </w:style>
  <w:style w:type="table" w:customStyle="1" w:styleId="Table">
    <w:name w:val="Table"/>
    <w:semiHidden/>
    <w:unhideWhenUsed/>
    <w:qFormat/>
    <w:rsid w:val="00387689"/>
    <w:pPr>
      <w:spacing w:before="60" w:after="60"/>
    </w:pPr>
    <w:tblPr>
      <w:tblInd w:w="0" w:type="dxa"/>
      <w:tblBorders>
        <w:bottom w:val="single" w:sz="4" w:space="0" w:color="auto"/>
      </w:tblBorders>
      <w:tblCellMar>
        <w:top w:w="58" w:type="dxa"/>
        <w:left w:w="58" w:type="dxa"/>
        <w:bottom w:w="58" w:type="dxa"/>
        <w:right w:w="58" w:type="dxa"/>
      </w:tblCellMar>
    </w:tblPr>
    <w:tcPr>
      <w:vAlign w:val="center"/>
    </w:tc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DefinitionTerm">
    <w:name w:val="Definition Term"/>
    <w:basedOn w:val="Normal"/>
    <w:next w:val="Definition"/>
    <w:pPr>
      <w:keepNext/>
      <w:keepLines/>
    </w:pPr>
    <w:rPr>
      <w:b/>
    </w:rPr>
  </w:style>
  <w:style w:type="paragraph" w:customStyle="1" w:styleId="Definition">
    <w:name w:val="Definition"/>
    <w:basedOn w:val="Normal"/>
  </w:style>
  <w:style w:type="paragraph" w:styleId="Caption">
    <w:name w:val="caption"/>
    <w:basedOn w:val="Normal"/>
    <w:link w:val="CaptionChar"/>
    <w:rsid w:val="003B7C65"/>
    <w:pPr>
      <w:keepNext/>
      <w:keepLines/>
      <w:spacing w:after="120"/>
    </w:pPr>
    <w:rPr>
      <w:i/>
    </w:rPr>
  </w:style>
  <w:style w:type="paragraph" w:customStyle="1" w:styleId="TableCaption">
    <w:name w:val="Table Caption"/>
    <w:basedOn w:val="Caption"/>
  </w:style>
  <w:style w:type="paragraph" w:customStyle="1" w:styleId="ImageCaption">
    <w:name w:val="Image Caption"/>
    <w:basedOn w:val="Caption"/>
  </w:style>
  <w:style w:type="paragraph" w:customStyle="1" w:styleId="Figure">
    <w:name w:val="Figure"/>
    <w:basedOn w:val="Normal"/>
    <w:link w:val="FigureChar"/>
    <w:rsid w:val="00D630B7"/>
    <w:pPr>
      <w:spacing w:line="240" w:lineRule="auto"/>
    </w:pPr>
  </w:style>
  <w:style w:type="paragraph" w:customStyle="1" w:styleId="CaptionedFigure">
    <w:name w:val="Captioned Figure"/>
    <w:basedOn w:val="Figure"/>
    <w:rsid w:val="00AE5BBA"/>
  </w:style>
  <w:style w:type="character" w:customStyle="1" w:styleId="CaptionChar">
    <w:name w:val="Caption Char"/>
    <w:basedOn w:val="DefaultParagraphFont"/>
    <w:link w:val="Caption"/>
    <w:rsid w:val="003B7C65"/>
    <w:rPr>
      <w:i/>
    </w:rPr>
  </w:style>
  <w:style w:type="character" w:customStyle="1" w:styleId="VerbatimChar">
    <w:name w:val="Verbatim Char"/>
    <w:basedOn w:val="CaptionChar"/>
    <w:link w:val="SourceCode"/>
    <w:rPr>
      <w:rFonts w:ascii="Consolas" w:hAnsi="Consolas"/>
      <w:i/>
      <w:sz w:val="22"/>
    </w:rPr>
  </w:style>
  <w:style w:type="character" w:customStyle="1" w:styleId="SectionNumber">
    <w:name w:val="Section Number"/>
    <w:basedOn w:val="CaptionChar"/>
    <w:rPr>
      <w:i/>
    </w:rPr>
  </w:style>
  <w:style w:type="character" w:styleId="FootnoteReference">
    <w:name w:val="footnote reference"/>
    <w:basedOn w:val="CaptionChar"/>
    <w:rPr>
      <w:i/>
      <w:vertAlign w:val="superscript"/>
    </w:rPr>
  </w:style>
  <w:style w:type="character" w:styleId="Hyperlink">
    <w:name w:val="Hyperlink"/>
    <w:basedOn w:val="CaptionChar"/>
    <w:rsid w:val="00250BD5"/>
    <w:rPr>
      <w:i w:val="0"/>
      <w:color w:val="4472C4"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2F5496" w:themeColor="accent1" w:themeShade="BF"/>
    </w:rPr>
  </w:style>
  <w:style w:type="character" w:customStyle="1" w:styleId="BodyTextChar">
    <w:name w:val="Body Text Char"/>
    <w:basedOn w:val="DefaultParagraphFont"/>
    <w:link w:val="BodyText"/>
    <w:rsid w:val="0083560B"/>
  </w:style>
  <w:style w:type="paragraph" w:customStyle="1" w:styleId="red">
    <w:name w:val="red"/>
    <w:basedOn w:val="BodyText"/>
    <w:link w:val="redChar"/>
    <w:qFormat/>
    <w:rsid w:val="00385D19"/>
    <w:rPr>
      <w:color w:val="FF0000"/>
    </w:rPr>
  </w:style>
  <w:style w:type="character" w:customStyle="1" w:styleId="redChar">
    <w:name w:val="red Char"/>
    <w:basedOn w:val="BodyTextChar"/>
    <w:link w:val="red"/>
    <w:rsid w:val="00385D19"/>
    <w:rPr>
      <w:color w:val="FF0000"/>
    </w:rPr>
  </w:style>
  <w:style w:type="paragraph" w:customStyle="1" w:styleId="SourceCode">
    <w:name w:val="Source Code"/>
    <w:basedOn w:val="Normal"/>
    <w:link w:val="VerbatimChar"/>
    <w:pPr>
      <w:shd w:val="clear" w:color="auto" w:fill="F1F3F5"/>
      <w:wordWrap w:val="0"/>
    </w:pPr>
  </w:style>
  <w:style w:type="character" w:customStyle="1" w:styleId="KeywordTok">
    <w:name w:val="KeywordTok"/>
    <w:basedOn w:val="VerbatimChar"/>
    <w:rPr>
      <w:rFonts w:ascii="Consolas" w:hAnsi="Consolas"/>
      <w:i/>
      <w:color w:val="003B4F"/>
      <w:sz w:val="22"/>
      <w:shd w:val="clear" w:color="auto" w:fill="F1F3F5"/>
    </w:rPr>
  </w:style>
  <w:style w:type="character" w:customStyle="1" w:styleId="DataTypeTok">
    <w:name w:val="DataTypeTok"/>
    <w:basedOn w:val="VerbatimChar"/>
    <w:rPr>
      <w:rFonts w:ascii="Consolas" w:hAnsi="Consolas"/>
      <w:i/>
      <w:color w:val="AD0000"/>
      <w:sz w:val="22"/>
      <w:shd w:val="clear" w:color="auto" w:fill="F1F3F5"/>
    </w:rPr>
  </w:style>
  <w:style w:type="character" w:customStyle="1" w:styleId="DecValTok">
    <w:name w:val="DecValTok"/>
    <w:basedOn w:val="VerbatimChar"/>
    <w:rPr>
      <w:rFonts w:ascii="Consolas" w:hAnsi="Consolas"/>
      <w:i/>
      <w:color w:val="AD0000"/>
      <w:sz w:val="22"/>
      <w:shd w:val="clear" w:color="auto" w:fill="F1F3F5"/>
    </w:rPr>
  </w:style>
  <w:style w:type="character" w:customStyle="1" w:styleId="BaseNTok">
    <w:name w:val="BaseNTok"/>
    <w:basedOn w:val="VerbatimChar"/>
    <w:rPr>
      <w:rFonts w:ascii="Consolas" w:hAnsi="Consolas"/>
      <w:i/>
      <w:color w:val="AD0000"/>
      <w:sz w:val="22"/>
      <w:shd w:val="clear" w:color="auto" w:fill="F1F3F5"/>
    </w:rPr>
  </w:style>
  <w:style w:type="character" w:customStyle="1" w:styleId="FloatTok">
    <w:name w:val="FloatTok"/>
    <w:basedOn w:val="VerbatimChar"/>
    <w:rPr>
      <w:rFonts w:ascii="Consolas" w:hAnsi="Consolas"/>
      <w:i/>
      <w:color w:val="AD0000"/>
      <w:sz w:val="22"/>
      <w:shd w:val="clear" w:color="auto" w:fill="F1F3F5"/>
    </w:rPr>
  </w:style>
  <w:style w:type="character" w:customStyle="1" w:styleId="ConstantTok">
    <w:name w:val="ConstantTok"/>
    <w:basedOn w:val="VerbatimChar"/>
    <w:rPr>
      <w:rFonts w:ascii="Consolas" w:hAnsi="Consolas"/>
      <w:i/>
      <w:color w:val="8F5902"/>
      <w:sz w:val="22"/>
      <w:shd w:val="clear" w:color="auto" w:fill="F1F3F5"/>
    </w:rPr>
  </w:style>
  <w:style w:type="character" w:customStyle="1" w:styleId="CharTok">
    <w:name w:val="CharTok"/>
    <w:basedOn w:val="VerbatimChar"/>
    <w:rPr>
      <w:rFonts w:ascii="Consolas" w:hAnsi="Consolas"/>
      <w:i/>
      <w:color w:val="20794D"/>
      <w:sz w:val="22"/>
      <w:shd w:val="clear" w:color="auto" w:fill="F1F3F5"/>
    </w:rPr>
  </w:style>
  <w:style w:type="character" w:customStyle="1" w:styleId="SpecialCharTok">
    <w:name w:val="SpecialCharTok"/>
    <w:basedOn w:val="VerbatimChar"/>
    <w:rPr>
      <w:rFonts w:ascii="Consolas" w:hAnsi="Consolas"/>
      <w:i/>
      <w:color w:val="5E5E5E"/>
      <w:sz w:val="22"/>
      <w:shd w:val="clear" w:color="auto" w:fill="F1F3F5"/>
    </w:rPr>
  </w:style>
  <w:style w:type="character" w:customStyle="1" w:styleId="StringTok">
    <w:name w:val="StringTok"/>
    <w:basedOn w:val="VerbatimChar"/>
    <w:rPr>
      <w:rFonts w:ascii="Consolas" w:hAnsi="Consolas"/>
      <w:i/>
      <w:color w:val="20794D"/>
      <w:sz w:val="22"/>
      <w:shd w:val="clear" w:color="auto" w:fill="F1F3F5"/>
    </w:rPr>
  </w:style>
  <w:style w:type="character" w:customStyle="1" w:styleId="VerbatimStringTok">
    <w:name w:val="VerbatimStringTok"/>
    <w:basedOn w:val="VerbatimChar"/>
    <w:rPr>
      <w:rFonts w:ascii="Consolas" w:hAnsi="Consolas"/>
      <w:i/>
      <w:color w:val="20794D"/>
      <w:sz w:val="22"/>
      <w:shd w:val="clear" w:color="auto" w:fill="F1F3F5"/>
    </w:rPr>
  </w:style>
  <w:style w:type="character" w:customStyle="1" w:styleId="SpecialStringTok">
    <w:name w:val="SpecialStringTok"/>
    <w:basedOn w:val="VerbatimChar"/>
    <w:rPr>
      <w:rFonts w:ascii="Consolas" w:hAnsi="Consolas"/>
      <w:i/>
      <w:color w:val="20794D"/>
      <w:sz w:val="22"/>
      <w:shd w:val="clear" w:color="auto" w:fill="F1F3F5"/>
    </w:rPr>
  </w:style>
  <w:style w:type="character" w:customStyle="1" w:styleId="ImportTok">
    <w:name w:val="ImportTok"/>
    <w:basedOn w:val="VerbatimChar"/>
    <w:rPr>
      <w:rFonts w:ascii="Consolas" w:hAnsi="Consolas"/>
      <w:i/>
      <w:color w:val="00769E"/>
      <w:sz w:val="22"/>
      <w:shd w:val="clear" w:color="auto" w:fill="F1F3F5"/>
    </w:rPr>
  </w:style>
  <w:style w:type="character" w:customStyle="1" w:styleId="CommentTok">
    <w:name w:val="CommentTok"/>
    <w:basedOn w:val="VerbatimChar"/>
    <w:rPr>
      <w:rFonts w:ascii="Consolas" w:hAnsi="Consolas"/>
      <w:i/>
      <w:color w:val="5E5E5E"/>
      <w:sz w:val="22"/>
      <w:shd w:val="clear" w:color="auto" w:fill="F1F3F5"/>
    </w:rPr>
  </w:style>
  <w:style w:type="character" w:customStyle="1" w:styleId="DocumentationTok">
    <w:name w:val="DocumentationTok"/>
    <w:basedOn w:val="VerbatimChar"/>
    <w:rPr>
      <w:rFonts w:ascii="Consolas" w:hAnsi="Consolas"/>
      <w:i w:val="0"/>
      <w:color w:val="5E5E5E"/>
      <w:sz w:val="22"/>
      <w:shd w:val="clear" w:color="auto" w:fill="F1F3F5"/>
    </w:rPr>
  </w:style>
  <w:style w:type="character" w:customStyle="1" w:styleId="AnnotationTok">
    <w:name w:val="AnnotationTok"/>
    <w:basedOn w:val="VerbatimChar"/>
    <w:rPr>
      <w:rFonts w:ascii="Consolas" w:hAnsi="Consolas"/>
      <w:i/>
      <w:color w:val="5E5E5E"/>
      <w:sz w:val="22"/>
      <w:shd w:val="clear" w:color="auto" w:fill="F1F3F5"/>
    </w:rPr>
  </w:style>
  <w:style w:type="character" w:customStyle="1" w:styleId="CommentVarTok">
    <w:name w:val="CommentVarTok"/>
    <w:basedOn w:val="VerbatimChar"/>
    <w:rPr>
      <w:rFonts w:ascii="Consolas" w:hAnsi="Consolas"/>
      <w:i w:val="0"/>
      <w:color w:val="5E5E5E"/>
      <w:sz w:val="22"/>
      <w:shd w:val="clear" w:color="auto" w:fill="F1F3F5"/>
    </w:rPr>
  </w:style>
  <w:style w:type="character" w:customStyle="1" w:styleId="OtherTok">
    <w:name w:val="OtherTok"/>
    <w:basedOn w:val="VerbatimChar"/>
    <w:rPr>
      <w:rFonts w:ascii="Consolas" w:hAnsi="Consolas"/>
      <w:i/>
      <w:color w:val="003B4F"/>
      <w:sz w:val="22"/>
      <w:shd w:val="clear" w:color="auto" w:fill="F1F3F5"/>
    </w:rPr>
  </w:style>
  <w:style w:type="character" w:customStyle="1" w:styleId="FunctionTok">
    <w:name w:val="FunctionTok"/>
    <w:basedOn w:val="VerbatimChar"/>
    <w:rPr>
      <w:rFonts w:ascii="Consolas" w:hAnsi="Consolas"/>
      <w:i/>
      <w:color w:val="4758AB"/>
      <w:sz w:val="22"/>
      <w:shd w:val="clear" w:color="auto" w:fill="F1F3F5"/>
    </w:rPr>
  </w:style>
  <w:style w:type="character" w:customStyle="1" w:styleId="VariableTok">
    <w:name w:val="VariableTok"/>
    <w:basedOn w:val="VerbatimChar"/>
    <w:rPr>
      <w:rFonts w:ascii="Consolas" w:hAnsi="Consolas"/>
      <w:i/>
      <w:color w:val="111111"/>
      <w:sz w:val="22"/>
      <w:shd w:val="clear" w:color="auto" w:fill="F1F3F5"/>
    </w:rPr>
  </w:style>
  <w:style w:type="character" w:customStyle="1" w:styleId="ControlFlowTok">
    <w:name w:val="ControlFlowTok"/>
    <w:basedOn w:val="VerbatimChar"/>
    <w:rPr>
      <w:rFonts w:ascii="Consolas" w:hAnsi="Consolas"/>
      <w:i/>
      <w:color w:val="003B4F"/>
      <w:sz w:val="22"/>
      <w:shd w:val="clear" w:color="auto" w:fill="F1F3F5"/>
    </w:rPr>
  </w:style>
  <w:style w:type="character" w:customStyle="1" w:styleId="OperatorTok">
    <w:name w:val="OperatorTok"/>
    <w:basedOn w:val="VerbatimChar"/>
    <w:rPr>
      <w:rFonts w:ascii="Consolas" w:hAnsi="Consolas"/>
      <w:i/>
      <w:color w:val="5E5E5E"/>
      <w:sz w:val="22"/>
      <w:shd w:val="clear" w:color="auto" w:fill="F1F3F5"/>
    </w:rPr>
  </w:style>
  <w:style w:type="character" w:customStyle="1" w:styleId="BuiltInTok">
    <w:name w:val="BuiltInTok"/>
    <w:basedOn w:val="VerbatimChar"/>
    <w:rPr>
      <w:rFonts w:ascii="Consolas" w:hAnsi="Consolas"/>
      <w:i/>
      <w:color w:val="003B4F"/>
      <w:sz w:val="22"/>
      <w:shd w:val="clear" w:color="auto" w:fill="F1F3F5"/>
    </w:rPr>
  </w:style>
  <w:style w:type="character" w:customStyle="1" w:styleId="ExtensionTok">
    <w:name w:val="ExtensionTok"/>
    <w:basedOn w:val="VerbatimChar"/>
    <w:rPr>
      <w:rFonts w:ascii="Consolas" w:hAnsi="Consolas"/>
      <w:i/>
      <w:color w:val="003B4F"/>
      <w:sz w:val="22"/>
      <w:shd w:val="clear" w:color="auto" w:fill="F1F3F5"/>
    </w:rPr>
  </w:style>
  <w:style w:type="character" w:customStyle="1" w:styleId="PreprocessorTok">
    <w:name w:val="PreprocessorTok"/>
    <w:basedOn w:val="VerbatimChar"/>
    <w:rPr>
      <w:rFonts w:ascii="Consolas" w:hAnsi="Consolas"/>
      <w:i/>
      <w:color w:val="AD0000"/>
      <w:sz w:val="22"/>
      <w:shd w:val="clear" w:color="auto" w:fill="F1F3F5"/>
    </w:rPr>
  </w:style>
  <w:style w:type="character" w:customStyle="1" w:styleId="AttributeTok">
    <w:name w:val="AttributeTok"/>
    <w:basedOn w:val="VerbatimChar"/>
    <w:rPr>
      <w:rFonts w:ascii="Consolas" w:hAnsi="Consolas"/>
      <w:i/>
      <w:color w:val="657422"/>
      <w:sz w:val="22"/>
      <w:shd w:val="clear" w:color="auto" w:fill="F1F3F5"/>
    </w:rPr>
  </w:style>
  <w:style w:type="character" w:customStyle="1" w:styleId="RegionMarkerTok">
    <w:name w:val="RegionMarkerTok"/>
    <w:basedOn w:val="VerbatimChar"/>
    <w:rPr>
      <w:rFonts w:ascii="Consolas" w:hAnsi="Consolas"/>
      <w:i/>
      <w:color w:val="003B4F"/>
      <w:sz w:val="22"/>
      <w:shd w:val="clear" w:color="auto" w:fill="F1F3F5"/>
    </w:rPr>
  </w:style>
  <w:style w:type="character" w:customStyle="1" w:styleId="InformationTok">
    <w:name w:val="InformationTok"/>
    <w:basedOn w:val="VerbatimChar"/>
    <w:rPr>
      <w:rFonts w:ascii="Consolas" w:hAnsi="Consolas"/>
      <w:i/>
      <w:color w:val="5E5E5E"/>
      <w:sz w:val="22"/>
      <w:shd w:val="clear" w:color="auto" w:fill="F1F3F5"/>
    </w:rPr>
  </w:style>
  <w:style w:type="character" w:customStyle="1" w:styleId="WarningTok">
    <w:name w:val="WarningTok"/>
    <w:basedOn w:val="VerbatimChar"/>
    <w:rPr>
      <w:rFonts w:ascii="Consolas" w:hAnsi="Consolas"/>
      <w:i w:val="0"/>
      <w:color w:val="5E5E5E"/>
      <w:sz w:val="22"/>
      <w:shd w:val="clear" w:color="auto" w:fill="F1F3F5"/>
    </w:rPr>
  </w:style>
  <w:style w:type="character" w:customStyle="1" w:styleId="AlertTok">
    <w:name w:val="AlertTok"/>
    <w:basedOn w:val="VerbatimChar"/>
    <w:rPr>
      <w:rFonts w:ascii="Consolas" w:hAnsi="Consolas"/>
      <w:i/>
      <w:color w:val="AD0000"/>
      <w:sz w:val="22"/>
      <w:shd w:val="clear" w:color="auto" w:fill="F1F3F5"/>
    </w:rPr>
  </w:style>
  <w:style w:type="character" w:customStyle="1" w:styleId="ErrorTok">
    <w:name w:val="ErrorTok"/>
    <w:basedOn w:val="VerbatimChar"/>
    <w:rPr>
      <w:rFonts w:ascii="Consolas" w:hAnsi="Consolas"/>
      <w:i/>
      <w:color w:val="AD0000"/>
      <w:sz w:val="22"/>
      <w:shd w:val="clear" w:color="auto" w:fill="F1F3F5"/>
    </w:rPr>
  </w:style>
  <w:style w:type="character" w:customStyle="1" w:styleId="NormalTok">
    <w:name w:val="NormalTok"/>
    <w:basedOn w:val="VerbatimChar"/>
    <w:rPr>
      <w:rFonts w:ascii="Consolas" w:hAnsi="Consolas"/>
      <w:i/>
      <w:color w:val="003B4F"/>
      <w:sz w:val="22"/>
      <w:shd w:val="clear" w:color="auto" w:fill="F1F3F5"/>
    </w:rPr>
  </w:style>
  <w:style w:type="paragraph" w:styleId="Header">
    <w:name w:val="header"/>
    <w:basedOn w:val="Normal"/>
    <w:link w:val="HeaderChar"/>
    <w:uiPriority w:val="99"/>
    <w:unhideWhenUsed/>
    <w:rsid w:val="00340B9E"/>
    <w:pPr>
      <w:tabs>
        <w:tab w:val="center" w:pos="4680"/>
        <w:tab w:val="right" w:pos="9360"/>
      </w:tabs>
    </w:pPr>
  </w:style>
  <w:style w:type="character" w:customStyle="1" w:styleId="HeaderChar">
    <w:name w:val="Header Char"/>
    <w:basedOn w:val="DefaultParagraphFont"/>
    <w:link w:val="Header"/>
    <w:uiPriority w:val="99"/>
    <w:rsid w:val="00340B9E"/>
  </w:style>
  <w:style w:type="paragraph" w:styleId="Footer">
    <w:name w:val="footer"/>
    <w:basedOn w:val="Normal"/>
    <w:link w:val="FooterChar"/>
    <w:unhideWhenUsed/>
    <w:rsid w:val="00340B9E"/>
    <w:pPr>
      <w:tabs>
        <w:tab w:val="center" w:pos="4680"/>
        <w:tab w:val="right" w:pos="9360"/>
      </w:tabs>
    </w:pPr>
  </w:style>
  <w:style w:type="character" w:customStyle="1" w:styleId="FooterChar">
    <w:name w:val="Footer Char"/>
    <w:basedOn w:val="DefaultParagraphFont"/>
    <w:link w:val="Footer"/>
    <w:rsid w:val="00340B9E"/>
  </w:style>
  <w:style w:type="paragraph" w:customStyle="1" w:styleId="APAEnumerated">
    <w:name w:val="APAEnumerated"/>
    <w:basedOn w:val="BodyText"/>
    <w:link w:val="APAEnumeratedChar"/>
    <w:qFormat/>
    <w:rsid w:val="00717963"/>
    <w:pPr>
      <w:numPr>
        <w:numId w:val="1"/>
      </w:numPr>
      <w:ind w:left="792"/>
    </w:pPr>
  </w:style>
  <w:style w:type="character" w:customStyle="1" w:styleId="TitleChar">
    <w:name w:val="Title Char"/>
    <w:basedOn w:val="DefaultParagraphFont"/>
    <w:link w:val="Title"/>
    <w:rsid w:val="00010E42"/>
    <w:rPr>
      <w:b/>
      <w:bCs/>
    </w:rPr>
  </w:style>
  <w:style w:type="paragraph" w:customStyle="1" w:styleId="FigureTitle">
    <w:name w:val="FigureTitle"/>
    <w:basedOn w:val="Figure"/>
    <w:link w:val="FigureTitleChar"/>
    <w:qFormat/>
    <w:rsid w:val="00064E3B"/>
    <w:pPr>
      <w:keepNext/>
      <w:keepLines/>
      <w:spacing w:line="480" w:lineRule="auto"/>
      <w:outlineLvl w:val="0"/>
    </w:pPr>
    <w:rPr>
      <w:b/>
    </w:rPr>
  </w:style>
  <w:style w:type="character" w:customStyle="1" w:styleId="FigureChar">
    <w:name w:val="Figure Char"/>
    <w:basedOn w:val="DefaultParagraphFont"/>
    <w:link w:val="Figure"/>
    <w:rsid w:val="00D630B7"/>
  </w:style>
  <w:style w:type="character" w:customStyle="1" w:styleId="FigureTitleChar">
    <w:name w:val="FigureTitle Char"/>
    <w:basedOn w:val="FigureChar"/>
    <w:link w:val="FigureTitle"/>
    <w:rsid w:val="00064E3B"/>
    <w:rPr>
      <w:b/>
    </w:rPr>
  </w:style>
  <w:style w:type="paragraph" w:customStyle="1" w:styleId="FigureNote">
    <w:name w:val="FigureNote"/>
    <w:basedOn w:val="BodyText"/>
    <w:link w:val="FigureNoteChar"/>
    <w:qFormat/>
    <w:rsid w:val="00A946AC"/>
    <w:pPr>
      <w:spacing w:before="60"/>
      <w:ind w:firstLine="0"/>
    </w:pPr>
  </w:style>
  <w:style w:type="character" w:customStyle="1" w:styleId="FigureNoteChar">
    <w:name w:val="FigureNote Char"/>
    <w:basedOn w:val="BodyTextChar"/>
    <w:link w:val="FigureNote"/>
    <w:rsid w:val="00A946AC"/>
  </w:style>
  <w:style w:type="character" w:customStyle="1" w:styleId="APAEnumeratedChar">
    <w:name w:val="APAEnumerated Char"/>
    <w:basedOn w:val="BodyTextChar"/>
    <w:link w:val="APAEnumerated"/>
    <w:rsid w:val="00717963"/>
  </w:style>
  <w:style w:type="paragraph" w:customStyle="1" w:styleId="FigureWithNote">
    <w:name w:val="FigureWithNote"/>
    <w:basedOn w:val="Figure"/>
    <w:link w:val="FigureWithNoteChar"/>
    <w:qFormat/>
    <w:rsid w:val="00B42EBE"/>
    <w:pPr>
      <w:keepNext/>
    </w:pPr>
  </w:style>
  <w:style w:type="character" w:customStyle="1" w:styleId="FigureWithNoteChar">
    <w:name w:val="FigureWithNote Char"/>
    <w:basedOn w:val="FigureChar"/>
    <w:link w:val="FigureWithNote"/>
    <w:rsid w:val="00B42EBE"/>
  </w:style>
  <w:style w:type="paragraph" w:customStyle="1" w:styleId="FigureWithoutNote">
    <w:name w:val="FigureWithoutNote"/>
    <w:basedOn w:val="Figure"/>
    <w:link w:val="FigureWithoutNoteChar"/>
    <w:qFormat/>
    <w:rsid w:val="00C304F7"/>
    <w:pPr>
      <w:spacing w:after="240"/>
    </w:pPr>
  </w:style>
  <w:style w:type="character" w:customStyle="1" w:styleId="FigureWithoutNoteChar">
    <w:name w:val="FigureWithoutNote Char"/>
    <w:basedOn w:val="FigureChar"/>
    <w:link w:val="FigureWithoutNote"/>
    <w:rsid w:val="00C304F7"/>
  </w:style>
  <w:style w:type="paragraph" w:customStyle="1" w:styleId="AuthorNote">
    <w:name w:val="AuthorNote"/>
    <w:basedOn w:val="Author"/>
    <w:qFormat/>
    <w:rsid w:val="00C84525"/>
    <w:pPr>
      <w:keepNext w:val="0"/>
      <w:keepLines w:val="0"/>
      <w:spacing w:after="0" w:line="480" w:lineRule="auto"/>
      <w:ind w:firstLine="720"/>
      <w:jc w:val="left"/>
    </w:pPr>
  </w:style>
  <w:style w:type="paragraph" w:customStyle="1" w:styleId="AfterWithoutNote">
    <w:name w:val="AfterWithoutNote"/>
    <w:basedOn w:val="BodyText"/>
    <w:link w:val="AfterWithoutNoteChar"/>
    <w:qFormat/>
    <w:rsid w:val="00BB3FEC"/>
    <w:pPr>
      <w:spacing w:before="240"/>
    </w:pPr>
  </w:style>
  <w:style w:type="character" w:customStyle="1" w:styleId="AfterWithoutNoteChar">
    <w:name w:val="AfterWithoutNote Char"/>
    <w:basedOn w:val="BodyTextChar"/>
    <w:link w:val="AfterWithoutNote"/>
    <w:rsid w:val="00BB3FEC"/>
  </w:style>
  <w:style w:type="paragraph" w:customStyle="1" w:styleId="NoIndent">
    <w:name w:val="NoIndent"/>
    <w:basedOn w:val="BodyText"/>
    <w:link w:val="NoIndentChar"/>
    <w:qFormat/>
    <w:rsid w:val="004023D3"/>
    <w:pPr>
      <w:ind w:firstLine="0"/>
    </w:pPr>
  </w:style>
  <w:style w:type="character" w:customStyle="1" w:styleId="NoIndentChar">
    <w:name w:val="NoIndent Char"/>
    <w:basedOn w:val="BodyTextChar"/>
    <w:link w:val="NoIndent"/>
    <w:rsid w:val="004023D3"/>
  </w:style>
  <w:style w:type="paragraph" w:customStyle="1" w:styleId="NextBlockText">
    <w:name w:val="NextBlockText"/>
    <w:basedOn w:val="BlockText"/>
    <w:link w:val="NextBlockTextChar"/>
    <w:qFormat/>
    <w:rsid w:val="00065938"/>
    <w:pPr>
      <w:ind w:firstLine="720"/>
    </w:pPr>
  </w:style>
  <w:style w:type="character" w:customStyle="1" w:styleId="BlockTextChar">
    <w:name w:val="Block Text Char"/>
    <w:basedOn w:val="BodyTextChar"/>
    <w:link w:val="BlockText"/>
    <w:uiPriority w:val="9"/>
    <w:rsid w:val="00065938"/>
  </w:style>
  <w:style w:type="character" w:customStyle="1" w:styleId="NextBlockTextChar">
    <w:name w:val="NextBlockText Char"/>
    <w:basedOn w:val="BlockTextChar"/>
    <w:link w:val="NextBlockText"/>
    <w:rsid w:val="00065938"/>
  </w:style>
  <w:style w:type="character" w:styleId="PlaceholderText">
    <w:name w:val="Placeholder Text"/>
    <w:basedOn w:val="DefaultParagraphFont"/>
    <w:semiHidden/>
    <w:rsid w:val="00BB5C76"/>
    <w:rPr>
      <w:color w:val="666666"/>
    </w:rPr>
  </w:style>
  <w:style w:type="character" w:customStyle="1" w:styleId="H4">
    <w:name w:val="H4"/>
    <w:basedOn w:val="DefaultParagraphFont"/>
    <w:uiPriority w:val="1"/>
    <w:qFormat/>
    <w:rsid w:val="00EA785F"/>
    <w:rPr>
      <w:b/>
    </w:rPr>
  </w:style>
  <w:style w:type="character" w:customStyle="1" w:styleId="H5">
    <w:name w:val="H5"/>
    <w:basedOn w:val="H4"/>
    <w:uiPriority w:val="1"/>
    <w:qFormat/>
    <w:rsid w:val="00EA785F"/>
    <w:rPr>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sf.io/mw7y9/?view_only=a27f59f7f1d5457e8d4fb21c5fab294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1341</Words>
  <Characters>7646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Kristín Hulda Kristófersdóttir - HI</dc:creator>
  <cp:keywords>model selection</cp:keywords>
  <dc:description/>
  <cp:lastModifiedBy>Kristín Hulda Kristófersdóttir - HI</cp:lastModifiedBy>
  <cp:revision>11</cp:revision>
  <dcterms:created xsi:type="dcterms:W3CDTF">2025-06-05T11:15:00Z</dcterms:created>
  <dcterms:modified xsi:type="dcterms:W3CDTF">2025-06-11T14:26:00Z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ffiliationsdifferent">
    <vt:lpwstr>False</vt:lpwstr>
  </property>
  <property fmtid="{D5CDD505-2E9C-101B-9397-08002B2CF9AE}" pid="4" name="apaabstract">
    <vt:lpwstr/>
  </property>
  <property fmtid="{D5CDD505-2E9C-101B-9397-08002B2CF9AE}" pid="5" name="apaauthor">
    <vt:lpwstr/>
  </property>
  <property fmtid="{D5CDD505-2E9C-101B-9397-08002B2CF9AE}" pid="6" name="apatitle">
    <vt:lpwstr/>
  </property>
  <property fmtid="{D5CDD505-2E9C-101B-9397-08002B2CF9AE}" pid="7" name="apatitledisplay">
    <vt:lpwstr/>
  </property>
  <property fmtid="{D5CDD505-2E9C-101B-9397-08002B2CF9AE}" pid="8" name="author-note">
    <vt:lpwstr/>
  </property>
  <property fmtid="{D5CDD505-2E9C-101B-9397-08002B2CF9AE}" pid="9" name="authors">
    <vt:lpwstr/>
  </property>
  <property fmtid="{D5CDD505-2E9C-101B-9397-08002B2CF9AE}" pid="10" name="biblio-config">
    <vt:lpwstr>True</vt:lpwstr>
  </property>
  <property fmtid="{D5CDD505-2E9C-101B-9397-08002B2CF9AE}" pid="11" name="by-affiliation">
    <vt:lpwstr/>
  </property>
  <property fmtid="{D5CDD505-2E9C-101B-9397-08002B2CF9AE}" pid="12" name="by-author">
    <vt:lpwstr/>
  </property>
  <property fmtid="{D5CDD505-2E9C-101B-9397-08002B2CF9AE}" pid="13" name="cap-location">
    <vt:lpwstr>top</vt:lpwstr>
  </property>
  <property fmtid="{D5CDD505-2E9C-101B-9397-08002B2CF9AE}" pid="14" name="csl">
    <vt:lpwstr>_extensions/wjschne/apaquarto/apa.csl</vt:lpwstr>
  </property>
  <property fmtid="{D5CDD505-2E9C-101B-9397-08002B2CF9AE}" pid="15" name="documentmode">
    <vt:lpwstr>man</vt:lpwstr>
  </property>
  <property fmtid="{D5CDD505-2E9C-101B-9397-08002B2CF9AE}" pid="16" name="editor_options">
    <vt:lpwstr/>
  </property>
  <property fmtid="{D5CDD505-2E9C-101B-9397-08002B2CF9AE}" pid="17" name="execute">
    <vt:lpwstr/>
  </property>
  <property fmtid="{D5CDD505-2E9C-101B-9397-08002B2CF9AE}" pid="18" name="fig-cap-location">
    <vt:lpwstr>top</vt:lpwstr>
  </property>
  <property fmtid="{D5CDD505-2E9C-101B-9397-08002B2CF9AE}" pid="19" name="floatsintext">
    <vt:lpwstr>True</vt:lpwstr>
  </property>
  <property fmtid="{D5CDD505-2E9C-101B-9397-08002B2CF9AE}" pid="20" name="header-includes">
    <vt:lpwstr/>
  </property>
  <property fmtid="{D5CDD505-2E9C-101B-9397-08002B2CF9AE}" pid="21" name="include-after">
    <vt:lpwstr/>
  </property>
  <property fmtid="{D5CDD505-2E9C-101B-9397-08002B2CF9AE}" pid="22" name="include-before">
    <vt:lpwstr/>
  </property>
  <property fmtid="{D5CDD505-2E9C-101B-9397-08002B2CF9AE}" pid="23" name="knitr">
    <vt:lpwstr/>
  </property>
  <property fmtid="{D5CDD505-2E9C-101B-9397-08002B2CF9AE}" pid="24" name="labels">
    <vt:lpwstr/>
  </property>
  <property fmtid="{D5CDD505-2E9C-101B-9397-08002B2CF9AE}" pid="25" name="language">
    <vt:lpwstr/>
  </property>
  <property fmtid="{D5CDD505-2E9C-101B-9397-08002B2CF9AE}" pid="26" name="oneaffiliation">
    <vt:lpwstr>True</vt:lpwstr>
  </property>
  <property fmtid="{D5CDD505-2E9C-101B-9397-08002B2CF9AE}" pid="27" name="oneauthor">
    <vt:lpwstr>True</vt:lpwstr>
  </property>
  <property fmtid="{D5CDD505-2E9C-101B-9397-08002B2CF9AE}" pid="28" name="references">
    <vt:lpwstr/>
  </property>
  <property fmtid="{D5CDD505-2E9C-101B-9397-08002B2CF9AE}" pid="29" name="revealjs-plugins">
    <vt:lpwstr/>
  </property>
  <property fmtid="{D5CDD505-2E9C-101B-9397-08002B2CF9AE}" pid="30" name="short-title">
    <vt:lpwstr/>
  </property>
  <property fmtid="{D5CDD505-2E9C-101B-9397-08002B2CF9AE}" pid="31" name="suppress-abstract">
    <vt:lpwstr>True</vt:lpwstr>
  </property>
  <property fmtid="{D5CDD505-2E9C-101B-9397-08002B2CF9AE}" pid="32" name="suppress-short-title">
    <vt:lpwstr>True</vt:lpwstr>
  </property>
  <property fmtid="{D5CDD505-2E9C-101B-9397-08002B2CF9AE}" pid="33" name="suppress-title-page">
    <vt:lpwstr>True</vt:lpwstr>
  </property>
  <property fmtid="{D5CDD505-2E9C-101B-9397-08002B2CF9AE}" pid="34" name="tbl-cap-location">
    <vt:lpwstr>top</vt:lpwstr>
  </property>
  <property fmtid="{D5CDD505-2E9C-101B-9397-08002B2CF9AE}" pid="35" name="toc-title">
    <vt:lpwstr>Table of contents</vt:lpwstr>
  </property>
  <property fmtid="{D5CDD505-2E9C-101B-9397-08002B2CF9AE}" pid="36" name="zerocitations">
    <vt:lpwstr>False</vt:lpwstr>
  </property>
</Properties>
</file>