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insoku w:val="0"/>
        <w:overflowPunct w:val="0"/>
        <w:spacing w:line="360" w:lineRule="auto"/>
        <w:jc w:val="center"/>
        <w:rPr>
          <w:rFonts w:hint="eastAsia" w:ascii="Times New Roman" w:hAnsi="Times New Roman" w:eastAsia="黑体" w:cs="Times New Roman"/>
          <w:b/>
          <w:bCs/>
          <w:color w:val="000000"/>
          <w:sz w:val="32"/>
          <w:szCs w:val="32"/>
          <w:highlight w:val="none"/>
        </w:rPr>
      </w:pPr>
      <w:r>
        <w:rPr>
          <w:rFonts w:hint="eastAsia" w:ascii="Times New Roman" w:hAnsi="Times New Roman" w:eastAsia="黑体" w:cs="Times New Roman"/>
          <w:b/>
          <w:bCs/>
          <w:color w:val="000000"/>
          <w:sz w:val="32"/>
          <w:szCs w:val="32"/>
          <w:highlight w:val="none"/>
        </w:rPr>
        <w:t>Fertility Anxiety Scale for Women of Childbearing Age</w:t>
      </w:r>
    </w:p>
    <w:p>
      <w:pPr>
        <w:keepNext w:val="0"/>
        <w:keepLines w:val="0"/>
        <w:pageBreakBefore w:val="0"/>
        <w:widowControl w:val="0"/>
        <w:kinsoku/>
        <w:wordWrap/>
        <w:overflowPunct/>
        <w:topLinePunct w:val="0"/>
        <w:autoSpaceDE/>
        <w:autoSpaceDN/>
        <w:bidi w:val="0"/>
        <w:adjustRightInd/>
        <w:snapToGrid/>
        <w:textAlignment w:val="auto"/>
        <w:rPr>
          <w:rFonts w:hint="eastAsia" w:ascii="Times New Roman Regular" w:hAnsi="Times New Roman Regular" w:cs="Times New Roman Regular"/>
          <w:sz w:val="24"/>
          <w:lang w:val="en-US" w:eastAsia="zh-CN"/>
        </w:rPr>
      </w:pPr>
      <w:r>
        <w:rPr>
          <w:rFonts w:hint="eastAsia" w:ascii="Times New Roman Regular" w:hAnsi="Times New Roman Regular" w:cs="Times New Roman Regular"/>
          <w:sz w:val="24"/>
          <w:lang w:val="en-US" w:eastAsia="zh-CN"/>
        </w:rPr>
        <w:t>Instructions: The following lists various psychological and behavioral manifestations related to fertility anxiety. Please read them carefully and select the corresponding numerical value based on your true situation. There are no right or wrong answers, and do not spend too much time pondering. From 1 to 5, the degree of conformity gradually increases, with scores ranging from 1 (indicating strong nonconformity) to 5 (indicating strong conformity)</w:t>
      </w:r>
    </w:p>
    <w:p>
      <w:pPr>
        <w:keepNext w:val="0"/>
        <w:keepLines w:val="0"/>
        <w:pageBreakBefore w:val="0"/>
        <w:widowControl w:val="0"/>
        <w:kinsoku/>
        <w:wordWrap/>
        <w:overflowPunct/>
        <w:topLinePunct w:val="0"/>
        <w:autoSpaceDE/>
        <w:autoSpaceDN/>
        <w:bidi w:val="0"/>
        <w:adjustRightInd/>
        <w:snapToGrid/>
        <w:textAlignment w:val="auto"/>
        <w:rPr>
          <w:rFonts w:hint="eastAsia" w:ascii="Times New Roman Regular" w:hAnsi="Times New Roman Regular" w:cs="Times New Roman Regular"/>
          <w:sz w:val="24"/>
          <w:lang w:val="en-US" w:eastAsia="zh-CN"/>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17"/>
        <w:gridCol w:w="321"/>
        <w:gridCol w:w="321"/>
        <w:gridCol w:w="321"/>
        <w:gridCol w:w="321"/>
        <w:gridCol w:w="321"/>
      </w:tblGrid>
      <w:tr>
        <w:tc>
          <w:tcPr>
            <w:tcW w:w="0" w:type="auto"/>
          </w:tcPr>
          <w:p>
            <w:pPr>
              <w:jc w:val="center"/>
              <w:rPr>
                <w:rFonts w:hint="default" w:ascii="Times New Roman Bold" w:hAnsi="Times New Roman Bold" w:cs="Times New Roman Bold"/>
                <w:b/>
                <w:bCs w:val="0"/>
                <w14:ligatures w14:val="standardContextual"/>
              </w:rPr>
            </w:pPr>
            <w:r>
              <w:rPr>
                <w:rFonts w:hint="default" w:ascii="Times New Roman Bold" w:hAnsi="Times New Roman Bold" w:cs="Times New Roman Bold"/>
                <w:b/>
                <w:bCs w:val="0"/>
                <w14:ligatures w14:val="standardContextual"/>
              </w:rPr>
              <w:t>Item</w:t>
            </w:r>
          </w:p>
        </w:tc>
        <w:tc>
          <w:tcPr>
            <w:tcW w:w="0" w:type="auto"/>
          </w:tcPr>
          <w:p>
            <w:pPr>
              <w:jc w:val="center"/>
              <w:rPr>
                <w:rFonts w:hint="default" w:ascii="Times New Roman Bold" w:hAnsi="Times New Roman Bold" w:cs="Times New Roman Bold" w:eastAsiaTheme="minorEastAsia"/>
                <w:b/>
                <w:bCs w:val="0"/>
                <w:lang w:eastAsia="zh-CN"/>
                <w14:ligatures w14:val="standardContextual"/>
              </w:rPr>
            </w:pPr>
            <w:r>
              <w:rPr>
                <w:rFonts w:hint="default" w:ascii="Times New Roman Bold" w:hAnsi="Times New Roman Bold" w:cs="Times New Roman Bold"/>
                <w:b/>
                <w:bCs w:val="0"/>
                <w:lang w:val="en-US" w:eastAsia="zh-CN"/>
                <w14:ligatures w14:val="standardContextual"/>
              </w:rPr>
              <w:t>1</w:t>
            </w:r>
          </w:p>
        </w:tc>
        <w:tc>
          <w:tcPr>
            <w:tcW w:w="0" w:type="auto"/>
          </w:tcPr>
          <w:p>
            <w:pPr>
              <w:jc w:val="center"/>
              <w:rPr>
                <w:rFonts w:hint="default" w:ascii="Times New Roman Bold" w:hAnsi="Times New Roman Bold" w:cs="Times New Roman Bold" w:eastAsiaTheme="minorEastAsia"/>
                <w:b/>
                <w:bCs w:val="0"/>
                <w:lang w:eastAsia="zh-CN"/>
                <w14:ligatures w14:val="standardContextual"/>
              </w:rPr>
            </w:pPr>
            <w:r>
              <w:rPr>
                <w:rFonts w:hint="default" w:ascii="Times New Roman Bold" w:hAnsi="Times New Roman Bold" w:cs="Times New Roman Bold"/>
                <w:b/>
                <w:bCs w:val="0"/>
                <w:lang w:val="en-US" w:eastAsia="zh-CN"/>
                <w14:ligatures w14:val="standardContextual"/>
              </w:rPr>
              <w:t>2</w:t>
            </w:r>
          </w:p>
        </w:tc>
        <w:tc>
          <w:tcPr>
            <w:tcW w:w="0" w:type="auto"/>
          </w:tcPr>
          <w:p>
            <w:pPr>
              <w:jc w:val="center"/>
              <w:rPr>
                <w:rFonts w:hint="default" w:ascii="Times New Roman Bold" w:hAnsi="Times New Roman Bold" w:cs="Times New Roman Bold" w:eastAsiaTheme="minorEastAsia"/>
                <w:b/>
                <w:bCs w:val="0"/>
                <w:lang w:val="en-US" w:eastAsia="zh-CN"/>
                <w14:ligatures w14:val="standardContextual"/>
              </w:rPr>
            </w:pPr>
            <w:r>
              <w:rPr>
                <w:rFonts w:hint="default" w:ascii="Times New Roman Bold" w:hAnsi="Times New Roman Bold" w:cs="Times New Roman Bold"/>
                <w:b/>
                <w:bCs w:val="0"/>
                <w:lang w:val="en-US" w:eastAsia="zh-CN"/>
                <w14:ligatures w14:val="standardContextual"/>
              </w:rPr>
              <w:t>3</w:t>
            </w:r>
          </w:p>
        </w:tc>
        <w:tc>
          <w:tcPr>
            <w:tcW w:w="0" w:type="auto"/>
          </w:tcPr>
          <w:p>
            <w:pPr>
              <w:jc w:val="center"/>
              <w:rPr>
                <w:rFonts w:hint="default" w:ascii="Times New Roman Bold" w:hAnsi="Times New Roman Bold" w:cs="Times New Roman Bold" w:eastAsiaTheme="minorEastAsia"/>
                <w:b/>
                <w:bCs w:val="0"/>
                <w:lang w:val="en-US" w:eastAsia="zh-CN"/>
                <w14:ligatures w14:val="standardContextual"/>
              </w:rPr>
            </w:pPr>
            <w:r>
              <w:rPr>
                <w:rFonts w:hint="default" w:ascii="Times New Roman Bold" w:hAnsi="Times New Roman Bold" w:cs="Times New Roman Bold"/>
                <w:b/>
                <w:bCs w:val="0"/>
                <w:lang w:val="en-US" w:eastAsia="zh-CN"/>
                <w14:ligatures w14:val="standardContextual"/>
              </w:rPr>
              <w:t>4</w:t>
            </w:r>
          </w:p>
        </w:tc>
        <w:tc>
          <w:tcPr>
            <w:tcW w:w="0" w:type="auto"/>
          </w:tcPr>
          <w:p>
            <w:pPr>
              <w:jc w:val="center"/>
              <w:rPr>
                <w:rFonts w:hint="default" w:ascii="Times New Roman Bold" w:hAnsi="Times New Roman Bold" w:cs="Times New Roman Bold" w:eastAsiaTheme="minorEastAsia"/>
                <w:b/>
                <w:bCs w:val="0"/>
                <w:lang w:eastAsia="zh-CN"/>
                <w14:ligatures w14:val="standardContextual"/>
              </w:rPr>
            </w:pPr>
            <w:r>
              <w:rPr>
                <w:rFonts w:hint="default" w:ascii="Times New Roman Bold" w:hAnsi="Times New Roman Bold" w:cs="Times New Roman Bold"/>
                <w:b/>
                <w:bCs w:val="0"/>
                <w:lang w:val="en-US" w:eastAsia="zh-CN"/>
                <w14:ligatures w14:val="standardContextual"/>
              </w:rPr>
              <w:t>5</w:t>
            </w:r>
          </w:p>
        </w:tc>
      </w:tr>
      <w:tr>
        <w:tc>
          <w:tcPr>
            <w:tcW w:w="0" w:type="auto"/>
          </w:tcPr>
          <w:p>
            <w:pPr>
              <w:rPr>
                <w:sz w:val="18"/>
                <w:szCs w:val="18"/>
                <w14:ligatures w14:val="standardContextual"/>
              </w:rPr>
            </w:pPr>
            <w:r>
              <w:rPr>
                <w:rFonts w:ascii="Times New Roman Regular" w:hAnsi="Times New Roman Regular" w:cs="Times New Roman Regular"/>
                <w:sz w:val="18"/>
                <w:szCs w:val="18"/>
                <w14:ligatures w14:val="standardContextual"/>
              </w:rPr>
              <w:t>1.I am concerned that having children might hinder my career development.</w:t>
            </w: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r>
      <w:tr>
        <w:tc>
          <w:tcPr>
            <w:tcW w:w="0" w:type="auto"/>
          </w:tcPr>
          <w:p>
            <w:pPr>
              <w:rPr>
                <w:sz w:val="18"/>
                <w:szCs w:val="18"/>
                <w14:ligatures w14:val="standardContextual"/>
              </w:rPr>
            </w:pPr>
            <w:r>
              <w:rPr>
                <w:rFonts w:ascii="Times New Roman Regular" w:hAnsi="Times New Roman Regular" w:cs="Times New Roman Regular"/>
                <w:sz w:val="18"/>
                <w:szCs w:val="18"/>
                <w14:ligatures w14:val="standardContextual"/>
              </w:rPr>
              <w:t>2.The potential loss of personal space due to having children cause me anxiety.</w:t>
            </w: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r>
      <w:tr>
        <w:tc>
          <w:tcPr>
            <w:tcW w:w="0" w:type="auto"/>
          </w:tcPr>
          <w:p>
            <w:pPr>
              <w:rPr>
                <w:sz w:val="18"/>
                <w:szCs w:val="18"/>
                <w14:ligatures w14:val="standardContextual"/>
              </w:rPr>
            </w:pPr>
            <w:r>
              <w:rPr>
                <w:rFonts w:ascii="Times New Roman Regular" w:hAnsi="Times New Roman Regular" w:cs="Times New Roman Regular"/>
                <w:sz w:val="18"/>
                <w:szCs w:val="18"/>
                <w14:ligatures w14:val="standardContextual"/>
              </w:rPr>
              <w:t>3.I worry that having children could reduce my overall quality of life.</w:t>
            </w: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r>
      <w:tr>
        <w:tc>
          <w:tcPr>
            <w:tcW w:w="0" w:type="auto"/>
          </w:tcPr>
          <w:p>
            <w:pPr>
              <w:rPr>
                <w:sz w:val="18"/>
                <w:szCs w:val="18"/>
                <w14:ligatures w14:val="standardContextual"/>
              </w:rPr>
            </w:pPr>
            <w:r>
              <w:rPr>
                <w:rFonts w:ascii="Times New Roman Regular" w:hAnsi="Times New Roman Regular" w:cs="Times New Roman Regular"/>
                <w:sz w:val="18"/>
                <w:szCs w:val="18"/>
                <w14:ligatures w14:val="standardContextual"/>
              </w:rPr>
              <w:t>4.I am concerned that taking maternity leave might interrupt my career progression.</w:t>
            </w: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r>
      <w:tr>
        <w:tc>
          <w:tcPr>
            <w:tcW w:w="0" w:type="auto"/>
          </w:tcPr>
          <w:p>
            <w:pPr>
              <w:rPr>
                <w:sz w:val="18"/>
                <w:szCs w:val="18"/>
                <w14:ligatures w14:val="standardContextual"/>
              </w:rPr>
            </w:pPr>
            <w:r>
              <w:rPr>
                <w:rFonts w:ascii="Times New Roman Regular" w:hAnsi="Times New Roman Regular" w:cs="Times New Roman Regular"/>
                <w:sz w:val="18"/>
                <w:szCs w:val="18"/>
                <w14:ligatures w14:val="standardContextual"/>
              </w:rPr>
              <w:t>5.I fear that having children will take away the freedom to enjoy life as I did before.</w:t>
            </w: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r>
      <w:tr>
        <w:trPr>
          <w:trHeight w:val="293" w:hRule="atLeast"/>
        </w:trPr>
        <w:tc>
          <w:tcPr>
            <w:tcW w:w="0" w:type="auto"/>
          </w:tcPr>
          <w:p>
            <w:pPr>
              <w:rPr>
                <w:sz w:val="18"/>
                <w:szCs w:val="18"/>
                <w14:ligatures w14:val="standardContextual"/>
              </w:rPr>
            </w:pPr>
            <w:r>
              <w:rPr>
                <w:rFonts w:ascii="Times New Roman Regular" w:hAnsi="Times New Roman Regular" w:cs="Times New Roman Regular"/>
                <w:sz w:val="18"/>
                <w:szCs w:val="18"/>
                <w14:ligatures w14:val="standardContextual"/>
              </w:rPr>
              <w:t>6.I am apprehensive about the difficulty of balancing work and family life after childbirth.</w:t>
            </w: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r>
      <w:tr>
        <w:tc>
          <w:tcPr>
            <w:tcW w:w="0" w:type="auto"/>
          </w:tcPr>
          <w:p>
            <w:pPr>
              <w:rPr>
                <w:sz w:val="18"/>
                <w:szCs w:val="18"/>
                <w14:ligatures w14:val="standardContextual"/>
              </w:rPr>
            </w:pPr>
            <w:r>
              <w:rPr>
                <w:rFonts w:ascii="Times New Roman Regular" w:hAnsi="Times New Roman Regular" w:cs="Times New Roman Regular"/>
                <w:sz w:val="18"/>
                <w:szCs w:val="18"/>
                <w14:ligatures w14:val="standardContextual"/>
              </w:rPr>
              <w:t>7.I worry that having children could increase the risk of unemployment.</w:t>
            </w: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r>
      <w:tr>
        <w:tc>
          <w:tcPr>
            <w:tcW w:w="0" w:type="auto"/>
          </w:tcPr>
          <w:p>
            <w:pPr>
              <w:rPr>
                <w:sz w:val="18"/>
                <w:szCs w:val="18"/>
                <w14:ligatures w14:val="standardContextual"/>
              </w:rPr>
            </w:pPr>
            <w:r>
              <w:rPr>
                <w:rFonts w:ascii="Times New Roman Regular" w:hAnsi="Times New Roman Regular" w:cs="Times New Roman Regular"/>
                <w:sz w:val="18"/>
                <w:szCs w:val="18"/>
                <w14:ligatures w14:val="standardContextual"/>
              </w:rPr>
              <w:t>8.The financial burden of raising children is a significant source of concern for me.</w:t>
            </w: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r>
      <w:tr>
        <w:tc>
          <w:tcPr>
            <w:tcW w:w="0" w:type="auto"/>
          </w:tcPr>
          <w:p>
            <w:pPr>
              <w:rPr>
                <w:sz w:val="18"/>
                <w:szCs w:val="18"/>
                <w14:ligatures w14:val="standardContextual"/>
              </w:rPr>
            </w:pPr>
            <w:r>
              <w:rPr>
                <w:rFonts w:ascii="Times New Roman Regular" w:hAnsi="Times New Roman Regular" w:cs="Times New Roman Regular"/>
                <w:sz w:val="18"/>
                <w:szCs w:val="18"/>
                <w14:ligatures w14:val="standardContextual"/>
              </w:rPr>
              <w:t>9.I feel anxious about my ability to provide my children with sufficient material resources.</w:t>
            </w: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r>
      <w:tr>
        <w:tc>
          <w:tcPr>
            <w:tcW w:w="0" w:type="auto"/>
          </w:tcPr>
          <w:p>
            <w:pPr>
              <w:rPr>
                <w:sz w:val="18"/>
                <w:szCs w:val="18"/>
                <w14:ligatures w14:val="standardContextual"/>
              </w:rPr>
            </w:pPr>
            <w:r>
              <w:rPr>
                <w:rFonts w:ascii="Times New Roman Regular" w:hAnsi="Times New Roman Regular" w:cs="Times New Roman Regular"/>
                <w:sz w:val="18"/>
                <w:szCs w:val="18"/>
                <w14:ligatures w14:val="standardContextual"/>
              </w:rPr>
              <w:t>10.The high costs associated with children’s education are a major source of stress.</w:t>
            </w: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r>
      <w:tr>
        <w:tc>
          <w:tcPr>
            <w:tcW w:w="0" w:type="auto"/>
          </w:tcPr>
          <w:p>
            <w:pPr>
              <w:rPr>
                <w:sz w:val="18"/>
                <w:szCs w:val="18"/>
                <w14:ligatures w14:val="standardContextual"/>
              </w:rPr>
            </w:pPr>
            <w:r>
              <w:rPr>
                <w:rFonts w:ascii="Times New Roman Regular" w:hAnsi="Times New Roman Regular" w:cs="Times New Roman Regular"/>
                <w:sz w:val="18"/>
                <w:szCs w:val="18"/>
                <w14:ligatures w14:val="standardContextual"/>
              </w:rPr>
              <w:t>11.I am concerned that raising children will place a heavy financial strain on our family.</w:t>
            </w: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r>
      <w:tr>
        <w:tc>
          <w:tcPr>
            <w:tcW w:w="0" w:type="auto"/>
          </w:tcPr>
          <w:p>
            <w:pPr>
              <w:rPr>
                <w:sz w:val="18"/>
                <w:szCs w:val="18"/>
                <w14:ligatures w14:val="standardContextual"/>
              </w:rPr>
            </w:pPr>
            <w:r>
              <w:rPr>
                <w:rFonts w:ascii="Times New Roman Regular" w:hAnsi="Times New Roman Regular" w:cs="Times New Roman Regular"/>
                <w:sz w:val="18"/>
                <w:szCs w:val="18"/>
                <w14:ligatures w14:val="standardContextual"/>
              </w:rPr>
              <w:t>12.The financial pressure of supporting elderly parents makes me hesitant to expand my family.</w:t>
            </w: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r>
      <w:tr>
        <w:tc>
          <w:tcPr>
            <w:tcW w:w="0" w:type="auto"/>
          </w:tcPr>
          <w:p>
            <w:pPr>
              <w:rPr>
                <w:sz w:val="18"/>
                <w:szCs w:val="18"/>
                <w14:ligatures w14:val="standardContextual"/>
              </w:rPr>
            </w:pPr>
            <w:r>
              <w:rPr>
                <w:rFonts w:ascii="Times New Roman Regular" w:hAnsi="Times New Roman Regular" w:cs="Times New Roman Regular"/>
                <w:sz w:val="18"/>
                <w:szCs w:val="18"/>
                <w14:ligatures w14:val="standardContextual"/>
              </w:rPr>
              <w:t>13.I worry about the possibility of a shortage of hospital beds as my due date approaches.</w:t>
            </w: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r>
      <w:tr>
        <w:tc>
          <w:tcPr>
            <w:tcW w:w="0" w:type="auto"/>
          </w:tcPr>
          <w:p>
            <w:pPr>
              <w:rPr>
                <w:sz w:val="18"/>
                <w:szCs w:val="18"/>
                <w14:ligatures w14:val="standardContextual"/>
              </w:rPr>
            </w:pPr>
            <w:r>
              <w:rPr>
                <w:rFonts w:ascii="Times New Roman Regular" w:hAnsi="Times New Roman Regular" w:cs="Times New Roman Regular"/>
                <w:sz w:val="18"/>
                <w:szCs w:val="18"/>
                <w14:ligatures w14:val="standardContextual"/>
              </w:rPr>
              <w:t>14.I am concerned that having children may exacerbate our current housing constraints.</w:t>
            </w: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r>
      <w:tr>
        <w:tc>
          <w:tcPr>
            <w:tcW w:w="0" w:type="auto"/>
          </w:tcPr>
          <w:p>
            <w:pPr>
              <w:rPr>
                <w:sz w:val="18"/>
                <w:szCs w:val="18"/>
                <w14:ligatures w14:val="standardContextual"/>
              </w:rPr>
            </w:pPr>
            <w:r>
              <w:rPr>
                <w:rFonts w:ascii="Times New Roman Regular" w:hAnsi="Times New Roman Regular" w:cs="Times New Roman Regular"/>
                <w:sz w:val="18"/>
                <w:szCs w:val="18"/>
                <w14:ligatures w14:val="standardContextual"/>
              </w:rPr>
              <w:t>15.The lack of sufficient childcare resources, such as kindergartens and daycare centers, worries me.</w:t>
            </w: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r>
      <w:tr>
        <w:tc>
          <w:tcPr>
            <w:tcW w:w="0" w:type="auto"/>
          </w:tcPr>
          <w:p>
            <w:pPr>
              <w:rPr>
                <w:sz w:val="18"/>
                <w:szCs w:val="18"/>
                <w14:ligatures w14:val="standardContextual"/>
              </w:rPr>
            </w:pPr>
            <w:r>
              <w:rPr>
                <w:rFonts w:ascii="Times New Roman Regular" w:hAnsi="Times New Roman Regular" w:cs="Times New Roman Regular"/>
                <w:sz w:val="18"/>
                <w:szCs w:val="18"/>
                <w14:ligatures w14:val="standardContextual"/>
              </w:rPr>
              <w:t>16.I am anxious about the inadequate availability of medical resources for child-rearing.</w:t>
            </w: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r>
      <w:tr>
        <w:tc>
          <w:tcPr>
            <w:tcW w:w="0" w:type="auto"/>
          </w:tcPr>
          <w:p>
            <w:pPr>
              <w:rPr>
                <w:sz w:val="18"/>
                <w:szCs w:val="18"/>
                <w14:ligatures w14:val="standardContextual"/>
              </w:rPr>
            </w:pPr>
            <w:r>
              <w:rPr>
                <w:rFonts w:ascii="Times New Roman Regular" w:hAnsi="Times New Roman Regular" w:cs="Times New Roman Regular"/>
                <w:sz w:val="18"/>
                <w:szCs w:val="18"/>
                <w14:ligatures w14:val="standardContextual"/>
              </w:rPr>
              <w:t>17.Public facilities for pregnant women and infants seem insufficient and poorly developed.</w:t>
            </w: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r>
      <w:tr>
        <w:tc>
          <w:tcPr>
            <w:tcW w:w="0" w:type="auto"/>
          </w:tcPr>
          <w:p>
            <w:pPr>
              <w:rPr>
                <w:sz w:val="18"/>
                <w:szCs w:val="18"/>
                <w14:ligatures w14:val="standardContextual"/>
              </w:rPr>
            </w:pPr>
            <w:r>
              <w:rPr>
                <w:rFonts w:ascii="Times New Roman Regular" w:hAnsi="Times New Roman Regular" w:cs="Times New Roman Regular"/>
                <w:sz w:val="18"/>
                <w:szCs w:val="18"/>
                <w14:ligatures w14:val="standardContextual"/>
              </w:rPr>
              <w:t>18.I am apprehensive that my partner may not contribute equally</w:t>
            </w:r>
            <w:r>
              <w:rPr>
                <w:rFonts w:hint="eastAsia" w:ascii="Times New Roman Regular" w:hAnsi="Times New Roman Regular" w:cs="Times New Roman Regular"/>
                <w:sz w:val="18"/>
                <w:szCs w:val="18"/>
                <w:lang w:val="en-US" w:eastAsia="zh-CN"/>
                <w14:ligatures w14:val="standardContextual"/>
              </w:rPr>
              <w:t xml:space="preserve"> </w:t>
            </w:r>
            <w:r>
              <w:rPr>
                <w:rFonts w:ascii="Times New Roman Regular" w:hAnsi="Times New Roman Regular" w:cs="Times New Roman Regular"/>
                <w:sz w:val="18"/>
                <w:szCs w:val="18"/>
                <w14:ligatures w14:val="standardContextual"/>
              </w:rPr>
              <w:t>to child-rearing responsibilities.</w:t>
            </w: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r>
      <w:tr>
        <w:tc>
          <w:tcPr>
            <w:tcW w:w="0" w:type="auto"/>
          </w:tcPr>
          <w:p>
            <w:pPr>
              <w:rPr>
                <w:sz w:val="18"/>
                <w:szCs w:val="18"/>
                <w14:ligatures w14:val="standardContextual"/>
              </w:rPr>
            </w:pPr>
            <w:r>
              <w:rPr>
                <w:rFonts w:ascii="Times New Roman Regular" w:hAnsi="Times New Roman Regular" w:cs="Times New Roman Regular"/>
                <w:sz w:val="18"/>
                <w:szCs w:val="18"/>
                <w14:ligatures w14:val="standardContextual"/>
              </w:rPr>
              <w:t>19.I worry that our parents or in-laws may be unwilling to assist with childcare.</w:t>
            </w: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r>
      <w:tr>
        <w:tc>
          <w:tcPr>
            <w:tcW w:w="0" w:type="auto"/>
          </w:tcPr>
          <w:p>
            <w:pPr>
              <w:rPr>
                <w:sz w:val="18"/>
                <w:szCs w:val="18"/>
                <w14:ligatures w14:val="standardContextual"/>
              </w:rPr>
            </w:pPr>
            <w:r>
              <w:rPr>
                <w:rFonts w:ascii="Times New Roman Regular" w:hAnsi="Times New Roman Regular" w:cs="Times New Roman Regular"/>
                <w:sz w:val="18"/>
                <w:szCs w:val="18"/>
                <w14:ligatures w14:val="standardContextual"/>
              </w:rPr>
              <w:t>20.I am concerned that family members may lack the energy or capacity to help care for children.</w:t>
            </w: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c>
          <w:tcPr>
            <w:tcW w:w="0" w:type="auto"/>
          </w:tcPr>
          <w:p>
            <w:pPr>
              <w:rPr>
                <w14:ligatures w14:val="standardContextual"/>
              </w:rPr>
            </w:pPr>
          </w:p>
        </w:tc>
      </w:tr>
    </w:tbl>
    <w:p>
      <w:pPr>
        <w:rPr>
          <w:rFonts w:ascii="Times New Roman Regular" w:hAnsi="Times New Roman Regular" w:cs="Times New Roman Regular"/>
          <w:sz w:val="24"/>
        </w:rPr>
      </w:pPr>
    </w:p>
    <w:p>
      <w:pPr>
        <w:rPr>
          <w:rFonts w:ascii="Times New Roman Regular" w:hAnsi="Times New Roman Regular" w:cs="Times New Roman Regular"/>
          <w:sz w:val="24"/>
        </w:rPr>
      </w:pPr>
    </w:p>
    <w:p>
      <w:pPr>
        <w:rPr>
          <w:rFonts w:ascii="Times New Roman Regular" w:hAnsi="Times New Roman Regular" w:cs="Times New Roman Regular"/>
          <w:sz w:val="24"/>
        </w:rPr>
      </w:pPr>
    </w:p>
    <w:p>
      <w:pPr>
        <w:rPr>
          <w:rFonts w:ascii="Times New Roman Regular" w:hAnsi="Times New Roman Regular" w:cs="Times New Roman Regular"/>
          <w:sz w:val="24"/>
        </w:rPr>
      </w:pPr>
    </w:p>
    <w:p>
      <w:pPr>
        <w:rPr>
          <w:rFonts w:ascii="Times New Roman Regular" w:hAnsi="Times New Roman Regular" w:cs="Times New Roman Regular"/>
          <w:sz w:val="24"/>
        </w:rPr>
      </w:pPr>
    </w:p>
    <w:p>
      <w:pPr>
        <w:rPr>
          <w:rFonts w:ascii="Times New Roman Regular" w:hAnsi="Times New Roman Regular" w:cs="Times New Roman Regular"/>
          <w:sz w:val="24"/>
        </w:rPr>
      </w:pPr>
    </w:p>
    <w:p>
      <w:pPr>
        <w:rPr>
          <w:rFonts w:ascii="Times New Roman Regular" w:hAnsi="Times New Roman Regular" w:cs="Times New Roman Regular"/>
          <w:sz w:val="24"/>
        </w:rPr>
      </w:pPr>
    </w:p>
    <w:p>
      <w:pPr>
        <w:rPr>
          <w:rFonts w:ascii="Times New Roman Regular" w:hAnsi="Times New Roman Regular" w:cs="Times New Roman Regular"/>
          <w:sz w:val="24"/>
        </w:rPr>
      </w:pPr>
    </w:p>
    <w:p>
      <w:pPr>
        <w:rPr>
          <w:rFonts w:ascii="Times New Roman Regular" w:hAnsi="Times New Roman Regular" w:cs="Times New Roman Regular"/>
          <w:sz w:val="24"/>
        </w:rPr>
      </w:pPr>
    </w:p>
    <w:p>
      <w:pPr>
        <w:rPr>
          <w:rFonts w:ascii="Times New Roman Regular" w:hAnsi="Times New Roman Regular" w:cs="Times New Roman Regular"/>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Bold" w:hAnsi="Times New Roman Bold" w:eastAsia="宋体" w:cs="Times New Roman Bold"/>
          <w:b/>
          <w:bCs/>
          <w:color w:val="000000"/>
          <w:kern w:val="0"/>
          <w:sz w:val="28"/>
          <w:szCs w:val="28"/>
          <w:lang w:val="en-US" w:eastAsia="zh-CN" w:bidi="ar"/>
        </w:rPr>
      </w:pPr>
      <w:r>
        <w:rPr>
          <w:rFonts w:hint="default" w:ascii="Times New Roman Bold" w:hAnsi="Times New Roman Bold" w:eastAsia="宋体" w:cs="Times New Roman Bold"/>
          <w:b/>
          <w:bCs/>
          <w:color w:val="000000"/>
          <w:kern w:val="0"/>
          <w:sz w:val="28"/>
          <w:szCs w:val="28"/>
          <w:lang w:val="en-US" w:eastAsia="zh-CN" w:bidi="ar"/>
        </w:rPr>
        <w:t>The developmental procedure of the Fertility Anxiety Scale</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Times New Roman Bold" w:hAnsi="Times New Roman Bold" w:eastAsia="宋体" w:cs="Times New Roman Bold"/>
          <w:b/>
          <w:bCs/>
          <w:color w:val="000000"/>
          <w:kern w:val="0"/>
          <w:sz w:val="24"/>
          <w:szCs w:val="24"/>
          <w:lang w:val="en-US" w:eastAsia="zh-CN" w:bidi="ar"/>
        </w:rPr>
      </w:pPr>
      <w:r>
        <w:rPr>
          <w:rFonts w:hint="default" w:ascii="Times New Roman Regular" w:hAnsi="Times New Roman Regular" w:eastAsia="宋体" w:cs="Times New Roman Regular"/>
          <w:color w:val="000000"/>
          <w:kern w:val="0"/>
          <w:sz w:val="24"/>
          <w:szCs w:val="24"/>
          <w:lang w:val="en-US" w:eastAsia="zh-CN" w:bidi="ar"/>
        </w:rPr>
        <w:t>The "Fertility Anxiety Scale for Women of Childbearing Age" used in this study followed statistically valid scale development procedures. Initially, this study conceptualized fertility anxiety into four dimensions—self-sacrifice, financial commitment, resource scarcity, and parenting support—based on the fertility anxiety theory grounded in the rational economic person hypothesis, the marginal child rational choice theory</w:t>
      </w:r>
      <w:r>
        <w:rPr>
          <w:rFonts w:hint="eastAsia" w:ascii="Times New Roman Regular" w:hAnsi="Times New Roman Regular" w:eastAsia="宋体" w:cs="Times New Roman Regular"/>
          <w:color w:val="000000"/>
          <w:kern w:val="0"/>
          <w:sz w:val="24"/>
          <w:szCs w:val="24"/>
          <w:lang w:val="en-US" w:eastAsia="zh-CN" w:bidi="ar"/>
        </w:rPr>
        <w:t xml:space="preserve"> </w:t>
      </w:r>
      <w:r>
        <w:rPr>
          <w:rFonts w:hint="default" w:ascii="Times New Roman" w:hAnsi="Times New Roman" w:eastAsia="宋体" w:cs="Times New Roman"/>
          <w:b w:val="0"/>
          <w:bCs w:val="0"/>
          <w:color w:val="000000"/>
          <w:kern w:val="0"/>
          <w:sz w:val="24"/>
          <w:szCs w:val="24"/>
          <w:lang w:val="en-US" w:eastAsia="zh-CN" w:bidi="ar"/>
        </w:rPr>
        <w:t>(Leibenstein, 1957)</w:t>
      </w:r>
      <w:r>
        <w:rPr>
          <w:rFonts w:hint="default" w:ascii="Times New Roman Regular" w:hAnsi="Times New Roman Regular" w:eastAsia="宋体" w:cs="Times New Roman Regular"/>
          <w:color w:val="000000"/>
          <w:kern w:val="0"/>
          <w:sz w:val="24"/>
          <w:szCs w:val="24"/>
          <w:lang w:val="en-US" w:eastAsia="zh-CN" w:bidi="ar"/>
        </w:rPr>
        <w:t>, and the work-family conflict theory</w:t>
      </w:r>
      <w:r>
        <w:rPr>
          <w:rFonts w:hint="eastAsia" w:ascii="Times New Roman Regular" w:hAnsi="Times New Roman Regular" w:eastAsia="宋体" w:cs="Times New Roman Regular"/>
          <w:color w:val="000000"/>
          <w:kern w:val="0"/>
          <w:sz w:val="24"/>
          <w:szCs w:val="24"/>
          <w:lang w:val="en-US" w:eastAsia="zh-CN" w:bidi="ar"/>
        </w:rPr>
        <w:t xml:space="preserve"> </w:t>
      </w:r>
      <w:r>
        <w:rPr>
          <w:rFonts w:hint="default" w:ascii="Times New Roman" w:hAnsi="Times New Roman" w:eastAsia="宋体" w:cs="Times New Roman"/>
          <w:b w:val="0"/>
          <w:bCs w:val="0"/>
          <w:color w:val="000000"/>
          <w:kern w:val="0"/>
          <w:sz w:val="24"/>
          <w:szCs w:val="24"/>
          <w:lang w:val="en-US" w:eastAsia="zh-CN" w:bidi="ar"/>
        </w:rPr>
        <w:t>(Greenhaus &amp; Beutell,</w:t>
      </w:r>
      <w:r>
        <w:rPr>
          <w:rFonts w:hint="eastAsia" w:ascii="Times New Roman" w:hAnsi="Times New Roman" w:eastAsia="宋体" w:cs="Times New Roman"/>
          <w:b w:val="0"/>
          <w:bCs w:val="0"/>
          <w:color w:val="000000"/>
          <w:kern w:val="0"/>
          <w:sz w:val="24"/>
          <w:szCs w:val="24"/>
          <w:lang w:val="en-US" w:eastAsia="zh-CN" w:bidi="ar"/>
        </w:rPr>
        <w:t xml:space="preserve"> </w:t>
      </w:r>
      <w:r>
        <w:rPr>
          <w:rFonts w:hint="default" w:ascii="Times New Roman" w:hAnsi="Times New Roman" w:eastAsia="宋体" w:cs="Times New Roman"/>
          <w:b w:val="0"/>
          <w:bCs w:val="0"/>
          <w:color w:val="000000"/>
          <w:kern w:val="0"/>
          <w:sz w:val="24"/>
          <w:szCs w:val="24"/>
          <w:lang w:val="en-US" w:eastAsia="zh-CN" w:bidi="ar"/>
        </w:rPr>
        <w:t>1985)</w:t>
      </w:r>
      <w:r>
        <w:rPr>
          <w:rFonts w:hint="default" w:ascii="Times New Roman Regular" w:hAnsi="Times New Roman Regular" w:eastAsia="宋体" w:cs="Times New Roman Regular"/>
          <w:color w:val="000000"/>
          <w:kern w:val="0"/>
          <w:sz w:val="24"/>
          <w:szCs w:val="24"/>
          <w:lang w:val="en-US" w:eastAsia="zh-CN" w:bidi="ar"/>
        </w:rPr>
        <w:t>. Subsequently, 34 items were preliminarily selected based on literature and open-ended surveys, and further refined under the guidance of psychological experts. Thereafter, statistical analyses were conducted, includi</w:t>
      </w:r>
      <w:r>
        <w:rPr>
          <w:rFonts w:hint="default" w:ascii="Times New Roman Regular" w:hAnsi="Times New Roman Regular" w:eastAsia="宋体" w:cs="Times New Roman Regular"/>
          <w:color w:val="000000"/>
          <w:kern w:val="0"/>
          <w:sz w:val="24"/>
          <w:szCs w:val="24"/>
          <w:highlight w:val="none"/>
          <w:lang w:val="en-US" w:eastAsia="zh-CN" w:bidi="ar"/>
        </w:rPr>
        <w:t>ng: (1)A total of 34 items were initially selected based on literature analysis and open-ended surveys. Seven psychological experts were invited to evaluate the content validity of these items. Following the evaluation, both the Item-level Content Validity Index (I-CVI) and the Scale-level Content Validity Index (S-CVI) of the scale met the required standards. Specifically, out of the 34 items, 32 items achieved an I-CVI of 1.00, while 2 items achieved an I-CVI of 0.86 (an I-CVI ≥ 0.78 is considered acceptable). The S-CVI/Ave was 0.992 (a recommended threshold of ≥ 0.90), and the S-CVI/UA was 0.86 (the minimum acceptable standard is ≥ 0.80). Based on the experts' feedback, items that did not achieve an I-CVI of 1.00 were optimized. Upon re-evaluation, all optimized items attained an I-CVI of 1.00, thereby further enhancing the overall content validity of the scale .(2)</w:t>
      </w:r>
      <w:r>
        <w:rPr>
          <w:rFonts w:hint="default" w:ascii="Times New Roman Regular" w:hAnsi="Times New Roman Regular" w:eastAsia="宋体" w:cs="Times New Roman Regular"/>
          <w:color w:val="000000"/>
          <w:kern w:val="0"/>
          <w:sz w:val="24"/>
          <w:szCs w:val="24"/>
          <w:lang w:val="en-US" w:eastAsia="zh-CN" w:bidi="ar"/>
        </w:rPr>
        <w:t xml:space="preserve"> Item analysis.</w:t>
      </w:r>
      <w:r>
        <w:rPr>
          <w:rFonts w:hint="default" w:ascii="Times New Roman Regular" w:hAnsi="Times New Roman Regular" w:eastAsia="宋体" w:cs="Times New Roman Regular"/>
          <w:strike w:val="0"/>
          <w:dstrike w:val="0"/>
          <w:color w:val="000000"/>
          <w:kern w:val="0"/>
          <w:sz w:val="24"/>
          <w:szCs w:val="24"/>
          <w:highlight w:val="none"/>
          <w:lang w:val="en-US" w:eastAsia="zh-CN" w:bidi="ar"/>
        </w:rPr>
        <w:t xml:space="preserve"> The critical ratio method and correlation method were used for item analysis of the pilot test data. Th</w:t>
      </w:r>
      <w:r>
        <w:rPr>
          <w:rFonts w:hint="default" w:ascii="Times New Roman Regular" w:hAnsi="Times New Roman Regular" w:eastAsia="宋体" w:cs="Times New Roman Regular"/>
          <w:color w:val="000000"/>
          <w:kern w:val="0"/>
          <w:sz w:val="24"/>
          <w:szCs w:val="24"/>
          <w:lang w:val="en-US" w:eastAsia="zh-CN" w:bidi="ar"/>
        </w:rPr>
        <w:t>e t-test results showed that all 34 items demonstrated significant score differences and were thus retained for further examination; Pearson correlation analysis revealed that the correlation coefficients (r) between the scores of the 34 items and the total score were all &gt;0.4 (p&lt;0.01). (3) EFA. The KMO value of the scale reached 0.963, allowing for EFA. Principal component analysis was then employed to extract common factors, and varimax rotation was used to obtain the factor loading matrix. Through multiple EFAs, 14 items were removed, leaving 20 items. The characteristic values (or eigenvalues) of the four factors all exceeded 1, collectively explaining 61.765% of the total variance. (4) CFA. The CFA revealed the following statistics: χ²/df = 1.965, RMSEA = 0.049, RMR = 0.035, NFI = 0.926, IFI = 0.962, TLI = 0.956, and CFI = 0.962. (5) Construct validity analysis. Pearson's product-moment correlation analysis was used to assess the construct validity of the scale. The correlation coefficients between the total score and each dimension ranged from 0.753 to 0.900, while the correlation coefficients between different dimensions ranged from 0.525 to 0.691. (6) Convergent validity analysis. The Composite Reliability (CR) values of each dimension of the scale were all &gt;0.7, except for the "lack of resources" dimension, which had an Average Variance Extracted (AVE) &lt;0.5. However, when the AVE is between 0.36 and 0.5, considering the completeness of the scale, the convergent validity of the scale is deemed acceptable (Purnomo, 2017; Zhang &amp; Zheng, 2020; Zhu &amp; Ke, 2023). (7) Composite reliability analysis. The CR values of the scale ranged from 0.784 to 0.895. (8) Internal consistency reliability analysis. The Cronbach's α coefficient of the overall scale reached 0.938, while the Cronbach's α coefficients of each dimension ranged from 0.781 to 0.895.</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Times New Roman Bold" w:hAnsi="Times New Roman Bold" w:eastAsia="宋体" w:cs="Times New Roman Bold"/>
          <w:b/>
          <w:bCs/>
          <w:color w:val="000000"/>
          <w:kern w:val="0"/>
          <w:sz w:val="28"/>
          <w:szCs w:val="28"/>
          <w:lang w:val="en-US" w:eastAsia="zh-CN" w:bidi="ar"/>
        </w:rPr>
      </w:pPr>
      <w:r>
        <w:rPr>
          <w:rFonts w:hint="eastAsia" w:ascii="Times New Roman Bold" w:hAnsi="Times New Roman Bold" w:eastAsia="宋体" w:cs="Times New Roman Bold"/>
          <w:b/>
          <w:bCs/>
          <w:color w:val="000000"/>
          <w:kern w:val="0"/>
          <w:sz w:val="28"/>
          <w:szCs w:val="28"/>
          <w:lang w:val="en-US" w:eastAsia="zh-CN" w:bidi="ar"/>
        </w:rPr>
        <w:t>references</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val="0"/>
          <w:bCs w:val="0"/>
          <w:color w:val="000000"/>
          <w:kern w:val="0"/>
          <w:sz w:val="24"/>
          <w:szCs w:val="24"/>
          <w:lang w:val="en-US" w:eastAsia="zh-CN" w:bidi="ar"/>
        </w:rPr>
      </w:pPr>
      <w:bookmarkStart w:id="0" w:name="_GoBack"/>
      <w:r>
        <w:rPr>
          <w:rFonts w:hint="default" w:ascii="Times New Roman" w:hAnsi="Times New Roman" w:eastAsia="宋体" w:cs="Times New Roman"/>
          <w:b w:val="0"/>
          <w:bCs w:val="0"/>
          <w:color w:val="000000"/>
          <w:kern w:val="0"/>
          <w:sz w:val="24"/>
          <w:szCs w:val="24"/>
          <w:lang w:val="en-US" w:eastAsia="zh-CN" w:bidi="ar"/>
        </w:rPr>
        <w:t>Greenhaus, J. H., &amp; Beutell, N. J. (1985). Sources of conflict between work and family roles. Academy of management review, 10(1), 76-88.</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Leibenstein, H. (1957). Economic backwardness and economic growth: Studies in the theory of economic development.</w:t>
      </w:r>
      <w:r>
        <w:rPr>
          <w:rFonts w:hint="default" w:ascii="Times New Roman Italic" w:hAnsi="Times New Roman Italic" w:eastAsia="宋体" w:cs="Times New Roman Italic"/>
          <w:b w:val="0"/>
          <w:bCs w:val="0"/>
          <w:i/>
          <w:iCs/>
          <w:color w:val="000000"/>
          <w:kern w:val="0"/>
          <w:sz w:val="24"/>
          <w:szCs w:val="24"/>
          <w:lang w:val="en-US" w:eastAsia="zh-CN" w:bidi="ar"/>
        </w:rPr>
        <w:t xml:space="preserve"> (No Title).</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Purnomo, Y. W. (2017). A Scale for Measuring Teachers' Mathematics-Related Beliefs: A Validity and Reliability Study.</w:t>
      </w:r>
      <w:r>
        <w:rPr>
          <w:rFonts w:hint="default" w:ascii="Times New Roman Italic" w:hAnsi="Times New Roman Italic" w:eastAsia="宋体" w:cs="Times New Roman Italic"/>
          <w:b w:val="0"/>
          <w:bCs w:val="0"/>
          <w:i/>
          <w:iCs/>
          <w:color w:val="000000"/>
          <w:kern w:val="0"/>
          <w:sz w:val="24"/>
          <w:szCs w:val="24"/>
          <w:lang w:val="en-US" w:eastAsia="zh-CN" w:bidi="ar"/>
        </w:rPr>
        <w:t xml:space="preserve"> International Journal of Instruction, 10</w:t>
      </w:r>
      <w:r>
        <w:rPr>
          <w:rFonts w:hint="default" w:ascii="Times New Roman" w:hAnsi="Times New Roman" w:eastAsia="宋体" w:cs="Times New Roman"/>
          <w:b w:val="0"/>
          <w:bCs w:val="0"/>
          <w:color w:val="000000"/>
          <w:kern w:val="0"/>
          <w:sz w:val="24"/>
          <w:szCs w:val="24"/>
          <w:lang w:val="en-US" w:eastAsia="zh-CN" w:bidi="ar"/>
        </w:rPr>
        <w:t>(2), 23-38.</w:t>
      </w:r>
      <w:r>
        <w:rPr>
          <w:rFonts w:hint="eastAsia" w:ascii="Times New Roman" w:hAnsi="Times New Roman" w:eastAsia="宋体" w:cs="Times New Roman"/>
          <w:b w:val="0"/>
          <w:bCs w:val="0"/>
          <w:color w:val="000000"/>
          <w:kern w:val="0"/>
          <w:sz w:val="24"/>
          <w:szCs w:val="24"/>
          <w:lang w:val="en-US" w:eastAsia="zh-CN" w:bidi="ar"/>
        </w:rPr>
        <w:t xml:space="preserve"> doi</w:t>
      </w:r>
      <w:r>
        <w:rPr>
          <w:rFonts w:hint="default" w:ascii="Times New Roman" w:hAnsi="Times New Roman" w:eastAsia="宋体" w:cs="Times New Roman"/>
          <w:b w:val="0"/>
          <w:bCs w:val="0"/>
          <w:color w:val="000000"/>
          <w:kern w:val="0"/>
          <w:sz w:val="24"/>
          <w:szCs w:val="24"/>
          <w:lang w:val="en-US" w:eastAsia="zh-CN" w:bidi="ar"/>
        </w:rPr>
        <w:t>: 10.12973/iji.2017.1022a</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 xml:space="preserve">Zhang, Z., &amp; Zheng, L. (2021). Consumer community cognition, brand loyalty, and behaviour intentions within online publishing communities: An empirical study of Epubit in China. </w:t>
      </w:r>
      <w:r>
        <w:rPr>
          <w:rFonts w:hint="default" w:ascii="Times New Roman Italic" w:hAnsi="Times New Roman Italic" w:eastAsia="宋体" w:cs="Times New Roman Italic"/>
          <w:b w:val="0"/>
          <w:bCs w:val="0"/>
          <w:i/>
          <w:iCs/>
          <w:color w:val="000000"/>
          <w:kern w:val="0"/>
          <w:sz w:val="24"/>
          <w:szCs w:val="24"/>
          <w:lang w:val="en-US" w:eastAsia="zh-CN" w:bidi="ar"/>
        </w:rPr>
        <w:t>Learned publishing, 34</w:t>
      </w:r>
      <w:r>
        <w:rPr>
          <w:rFonts w:hint="default" w:ascii="Times New Roman" w:hAnsi="Times New Roman" w:eastAsia="宋体" w:cs="Times New Roman"/>
          <w:b w:val="0"/>
          <w:bCs w:val="0"/>
          <w:color w:val="000000"/>
          <w:kern w:val="0"/>
          <w:sz w:val="24"/>
          <w:szCs w:val="24"/>
          <w:lang w:val="en-US" w:eastAsia="zh-CN" w:bidi="ar"/>
        </w:rPr>
        <w:t xml:space="preserve">(2), 116-127. </w:t>
      </w:r>
      <w:r>
        <w:rPr>
          <w:rFonts w:hint="eastAsia" w:ascii="Times New Roman" w:hAnsi="Times New Roman" w:eastAsia="宋体" w:cs="Times New Roman"/>
          <w:b w:val="0"/>
          <w:bCs w:val="0"/>
          <w:color w:val="000000"/>
          <w:kern w:val="0"/>
          <w:sz w:val="24"/>
          <w:szCs w:val="24"/>
          <w:lang w:val="en-US" w:eastAsia="zh-CN" w:bidi="ar"/>
        </w:rPr>
        <w:t>doi</w:t>
      </w:r>
      <w:r>
        <w:rPr>
          <w:rFonts w:hint="default" w:ascii="Times New Roman" w:hAnsi="Times New Roman" w:eastAsia="宋体" w:cs="Times New Roman"/>
          <w:b w:val="0"/>
          <w:bCs w:val="0"/>
          <w:color w:val="000000"/>
          <w:kern w:val="0"/>
          <w:sz w:val="24"/>
          <w:szCs w:val="24"/>
          <w:lang w:val="en-US" w:eastAsia="zh-CN" w:bidi="ar"/>
        </w:rPr>
        <w:t>: 10.1002/leap.1327</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 xml:space="preserve">Zhu, H., &amp; Ke, Q. (2021). The Development of a Stratified Scale for Readers in the Perspective of Leisure and its Implications for Reading Promotion Practice. </w:t>
      </w:r>
      <w:r>
        <w:rPr>
          <w:rFonts w:hint="default" w:ascii="Times New Roman Italic" w:hAnsi="Times New Roman Italic" w:eastAsia="宋体" w:cs="Times New Roman Italic"/>
          <w:b w:val="0"/>
          <w:bCs w:val="0"/>
          <w:i/>
          <w:iCs/>
          <w:color w:val="000000"/>
          <w:kern w:val="0"/>
          <w:sz w:val="24"/>
          <w:szCs w:val="24"/>
          <w:lang w:val="en-US" w:eastAsia="zh-CN" w:bidi="ar"/>
        </w:rPr>
        <w:t xml:space="preserve">Library and Information Service, 67 </w:t>
      </w:r>
      <w:r>
        <w:rPr>
          <w:rFonts w:hint="default" w:ascii="Times New Roman" w:hAnsi="Times New Roman" w:eastAsia="宋体" w:cs="Times New Roman"/>
          <w:b w:val="0"/>
          <w:bCs w:val="0"/>
          <w:i w:val="0"/>
          <w:iCs w:val="0"/>
          <w:color w:val="000000"/>
          <w:kern w:val="0"/>
          <w:sz w:val="24"/>
          <w:szCs w:val="24"/>
          <w:lang w:val="en-US" w:eastAsia="zh-CN" w:bidi="ar"/>
        </w:rPr>
        <w:t>(03), 27-38. doi:10.13266/j.issn.0252-3116.2023.03.003.</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Regular">
    <w:panose1 w:val="02020603050405020304"/>
    <w:charset w:val="00"/>
    <w:family w:val="auto"/>
    <w:pitch w:val="default"/>
    <w:sig w:usb0="E0002AEF" w:usb1="C0007841" w:usb2="00000009" w:usb3="00000000" w:csb0="400001FF" w:csb1="FFFF0000"/>
  </w:font>
  <w:font w:name="Times New Roman Bold">
    <w:panose1 w:val="02020603050405020304"/>
    <w:charset w:val="00"/>
    <w:family w:val="auto"/>
    <w:pitch w:val="default"/>
    <w:sig w:usb0="E0002AEF" w:usb1="C0007841" w:usb2="00000009" w:usb3="00000000" w:csb0="400001FF" w:csb1="FFFF0000"/>
  </w:font>
  <w:font w:name="Times New Roman Italic">
    <w:panose1 w:val="02020603050405020304"/>
    <w:charset w:val="00"/>
    <w:family w:val="auto"/>
    <w:pitch w:val="default"/>
    <w:sig w:usb0="E0002AEF" w:usb1="C0007841" w:usb2="00000009" w:usb3="00000000" w:csb0="400001FF" w:csb1="FFFF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9D9FE193"/>
    <w:rsid w:val="23C7F87A"/>
    <w:rsid w:val="389FD2A8"/>
    <w:rsid w:val="3AF74BB4"/>
    <w:rsid w:val="3BF8D56A"/>
    <w:rsid w:val="3F3EDF48"/>
    <w:rsid w:val="4BBFA7E2"/>
    <w:rsid w:val="66DBFCAA"/>
    <w:rsid w:val="6FEFBB6A"/>
    <w:rsid w:val="73DF2A0A"/>
    <w:rsid w:val="79F3E20B"/>
    <w:rsid w:val="7AF97FE7"/>
    <w:rsid w:val="7BC7306D"/>
    <w:rsid w:val="7DF9B582"/>
    <w:rsid w:val="8FFA7096"/>
    <w:rsid w:val="9D9FE193"/>
    <w:rsid w:val="AAFA2FD6"/>
    <w:rsid w:val="ABDF55BF"/>
    <w:rsid w:val="ABE161FE"/>
    <w:rsid w:val="C59CF288"/>
    <w:rsid w:val="C5BFCBD0"/>
    <w:rsid w:val="DFEF62C5"/>
    <w:rsid w:val="DFFAB63A"/>
    <w:rsid w:val="E72F0A8C"/>
    <w:rsid w:val="EEDF543A"/>
    <w:rsid w:val="F7E635D4"/>
    <w:rsid w:val="FB6ED062"/>
    <w:rsid w:val="FB7F3912"/>
    <w:rsid w:val="FDEF5E89"/>
    <w:rsid w:val="FE6E556D"/>
    <w:rsid w:val="FE85BA28"/>
    <w:rsid w:val="FEFA85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uiPriority w:val="39"/>
    <w:rPr>
      <w:rFonts w:asciiTheme="minorHAnsi" w:hAnsiTheme="minorHAnsi" w:eastAsiaTheme="minorEastAsia" w:cstheme="minorBidi"/>
      <w:kern w:val="2"/>
      <w:sz w:val="21"/>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Office_6.1.0.8274_F1E327BC-269C-435d-A152-05C5408002CA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2025-01-02T20:32:00Z</dcterms:created>
  <dc:creator>WPS_1596261226</dc:creator>
  <cp:lastModifiedBy>zhangbinyang</cp:lastModifiedBy>
  <dcterms:modified xsi:type="dcterms:W3CDTF">2025-08-08T20:19:30Z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2052-6.1.0.8274</vt:lpwstr>
  </property>
  <property fmtid="{D5CDD505-2E9C-101B-9397-08002B2CF9AE}" pid="3" name="ICV">
    <vt:lpwstr>A126EE5DAF8B1E1CE4737367E53782FD_41</vt:lpwstr>
  </property>
</Properties>
</file>