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62434">
      <w:pPr>
        <w:rPr>
          <w:b/>
          <w:bCs/>
        </w:rPr>
      </w:pPr>
      <w:r>
        <w:rPr>
          <w:rFonts w:hint="eastAsia"/>
          <w:b/>
          <w:bCs/>
        </w:rPr>
        <w:t>Supplementary Table S1. Results of Exploratory Factor Analysis with Varimax Rotation on the First Random Split-half Sample (n=141).</w:t>
      </w:r>
    </w:p>
    <w:p w14:paraId="7C89051C">
      <w:pPr>
        <w:rPr>
          <w:b/>
          <w:bCs/>
        </w:rPr>
      </w:pPr>
      <w:r>
        <w:rPr>
          <w:rFonts w:hint="eastAsia"/>
          <w:b/>
          <w:bCs/>
        </w:rPr>
        <w:t>Table S1a. KMO and Bartlett’s Test</w:t>
      </w:r>
    </w:p>
    <w:tbl>
      <w:tblPr>
        <w:tblStyle w:val="23"/>
        <w:tblW w:w="851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0"/>
        <w:gridCol w:w="1379"/>
      </w:tblGrid>
      <w:tr w14:paraId="0116E5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140" w:type="dxa"/>
            <w:tcBorders>
              <w:bottom w:val="single" w:color="auto" w:sz="6" w:space="0"/>
              <w:insideH w:val="single" w:sz="6" w:space="0"/>
            </w:tcBorders>
            <w:vAlign w:val="center"/>
          </w:tcPr>
          <w:p w14:paraId="3B257DB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</w:rPr>
              <w:t>Test</w:t>
            </w:r>
          </w:p>
        </w:tc>
        <w:tc>
          <w:tcPr>
            <w:tcW w:w="1379" w:type="dxa"/>
            <w:tcBorders>
              <w:bottom w:val="single" w:color="auto" w:sz="6" w:space="0"/>
              <w:insideH w:val="single" w:sz="6" w:space="0"/>
            </w:tcBorders>
            <w:vAlign w:val="center"/>
          </w:tcPr>
          <w:p w14:paraId="2855DD48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</w:rPr>
              <w:t>Value</w:t>
            </w:r>
          </w:p>
        </w:tc>
      </w:tr>
      <w:tr w14:paraId="3B3FDB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0" w:type="dxa"/>
            <w:vAlign w:val="center"/>
          </w:tcPr>
          <w:p w14:paraId="6666B1A1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</w:rPr>
              <w:t>Kaiser-Meyer-Olkin Measure of Sampling Adequacy</w:t>
            </w:r>
          </w:p>
        </w:tc>
        <w:tc>
          <w:tcPr>
            <w:tcW w:w="1379" w:type="dxa"/>
            <w:vAlign w:val="center"/>
          </w:tcPr>
          <w:p w14:paraId="0CB9495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</w:rPr>
              <w:t>0.830</w:t>
            </w:r>
          </w:p>
        </w:tc>
      </w:tr>
      <w:tr w14:paraId="2F5CFC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0" w:type="dxa"/>
            <w:vAlign w:val="center"/>
          </w:tcPr>
          <w:p w14:paraId="1BC78917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</w:rPr>
              <w:t>Bartlett‘s Test of Sphericity (Approx. Chi-Square)</w:t>
            </w:r>
          </w:p>
        </w:tc>
        <w:tc>
          <w:tcPr>
            <w:tcW w:w="1379" w:type="dxa"/>
            <w:vAlign w:val="center"/>
          </w:tcPr>
          <w:p w14:paraId="50E2FEFC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</w:rPr>
              <w:t>927.582</w:t>
            </w:r>
          </w:p>
        </w:tc>
      </w:tr>
      <w:tr w14:paraId="2A3407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0" w:type="dxa"/>
            <w:vAlign w:val="center"/>
          </w:tcPr>
          <w:p w14:paraId="1D4673B4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</w:rPr>
              <w:t>Degrees of Freedom (df)</w:t>
            </w:r>
          </w:p>
        </w:tc>
        <w:tc>
          <w:tcPr>
            <w:tcW w:w="1379" w:type="dxa"/>
            <w:vAlign w:val="center"/>
          </w:tcPr>
          <w:p w14:paraId="32D1804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</w:rPr>
              <w:t>78</w:t>
            </w:r>
          </w:p>
        </w:tc>
      </w:tr>
      <w:tr w14:paraId="69FDE0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0" w:type="dxa"/>
            <w:vAlign w:val="center"/>
          </w:tcPr>
          <w:p w14:paraId="291E1608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</w:rPr>
              <w:t>Significance (p)</w:t>
            </w:r>
          </w:p>
        </w:tc>
        <w:tc>
          <w:tcPr>
            <w:tcW w:w="1379" w:type="dxa"/>
            <w:vAlign w:val="center"/>
          </w:tcPr>
          <w:p w14:paraId="023FF09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</w:rPr>
              <w:t>&lt; 0.001</w:t>
            </w:r>
          </w:p>
        </w:tc>
      </w:tr>
    </w:tbl>
    <w:p w14:paraId="1F343075">
      <w:r>
        <w:tab/>
      </w:r>
    </w:p>
    <w:p w14:paraId="39DDB26E">
      <w:pPr>
        <w:rPr>
          <w:b/>
          <w:bCs/>
        </w:rPr>
      </w:pPr>
      <w:r>
        <w:rPr>
          <w:rFonts w:hint="eastAsia"/>
          <w:b/>
          <w:bCs/>
        </w:rPr>
        <w:t>Table S1b. Total Variance Explained</w:t>
      </w:r>
    </w:p>
    <w:tbl>
      <w:tblPr>
        <w:tblStyle w:val="23"/>
        <w:tblW w:w="9991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831"/>
        <w:gridCol w:w="941"/>
        <w:gridCol w:w="1158"/>
        <w:gridCol w:w="831"/>
        <w:gridCol w:w="1070"/>
        <w:gridCol w:w="1158"/>
        <w:gridCol w:w="831"/>
        <w:gridCol w:w="1069"/>
        <w:gridCol w:w="1158"/>
      </w:tblGrid>
      <w:tr w14:paraId="42FA52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944" w:type="dxa"/>
            <w:tcBorders>
              <w:bottom w:val="single" w:color="auto" w:sz="6" w:space="0"/>
              <w:insideH w:val="single" w:sz="6" w:space="0"/>
            </w:tcBorders>
            <w:vAlign w:val="center"/>
          </w:tcPr>
          <w:p w14:paraId="5DB03CB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Component</w:t>
            </w:r>
          </w:p>
        </w:tc>
        <w:tc>
          <w:tcPr>
            <w:tcW w:w="1158" w:type="dxa"/>
            <w:gridSpan w:val="3"/>
            <w:tcBorders>
              <w:bottom w:val="single" w:color="auto" w:sz="6" w:space="0"/>
              <w:insideH w:val="single" w:sz="6" w:space="0"/>
            </w:tcBorders>
            <w:vAlign w:val="center"/>
          </w:tcPr>
          <w:p w14:paraId="31BC24B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Initial Eigenvalues</w:t>
            </w:r>
          </w:p>
        </w:tc>
        <w:tc>
          <w:tcPr>
            <w:tcW w:w="1158" w:type="dxa"/>
            <w:gridSpan w:val="3"/>
            <w:tcBorders>
              <w:bottom w:val="single" w:color="auto" w:sz="6" w:space="0"/>
              <w:insideH w:val="single" w:sz="6" w:space="0"/>
            </w:tcBorders>
            <w:vAlign w:val="center"/>
          </w:tcPr>
          <w:p w14:paraId="4F7454A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2"/>
                <w:szCs w:val="22"/>
              </w:rPr>
              <w:t>Extraction Sums of Squared Loadings</w:t>
            </w:r>
          </w:p>
        </w:tc>
        <w:tc>
          <w:tcPr>
            <w:tcW w:w="1158" w:type="dxa"/>
            <w:gridSpan w:val="3"/>
            <w:tcBorders>
              <w:bottom w:val="single" w:color="auto" w:sz="6" w:space="0"/>
              <w:insideH w:val="single" w:sz="6" w:space="0"/>
            </w:tcBorders>
            <w:vAlign w:val="center"/>
          </w:tcPr>
          <w:p w14:paraId="39C12D7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2"/>
                <w:szCs w:val="22"/>
              </w:rPr>
              <w:t>Rotation Sums of Squared Loadings</w:t>
            </w:r>
          </w:p>
        </w:tc>
      </w:tr>
      <w:tr w14:paraId="3E7C91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944" w:type="dxa"/>
            <w:vAlign w:val="center"/>
          </w:tcPr>
          <w:p w14:paraId="18350C0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</w:p>
        </w:tc>
        <w:tc>
          <w:tcPr>
            <w:tcW w:w="831" w:type="dxa"/>
            <w:vAlign w:val="center"/>
          </w:tcPr>
          <w:p w14:paraId="461C16A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41" w:type="dxa"/>
            <w:vAlign w:val="center"/>
          </w:tcPr>
          <w:p w14:paraId="3E9DECE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2"/>
                <w:szCs w:val="22"/>
              </w:rPr>
              <w:t>%of Variance</w:t>
            </w:r>
          </w:p>
        </w:tc>
        <w:tc>
          <w:tcPr>
            <w:tcW w:w="1158" w:type="dxa"/>
            <w:vAlign w:val="center"/>
          </w:tcPr>
          <w:p w14:paraId="4B95DA1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Cumulative %</w:t>
            </w:r>
          </w:p>
        </w:tc>
        <w:tc>
          <w:tcPr>
            <w:tcW w:w="831" w:type="dxa"/>
            <w:vAlign w:val="center"/>
          </w:tcPr>
          <w:p w14:paraId="4EDBA5F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070" w:type="dxa"/>
            <w:vAlign w:val="center"/>
          </w:tcPr>
          <w:p w14:paraId="5B7A4B1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% of Variance</w:t>
            </w:r>
          </w:p>
        </w:tc>
        <w:tc>
          <w:tcPr>
            <w:tcW w:w="1158" w:type="dxa"/>
            <w:vAlign w:val="center"/>
          </w:tcPr>
          <w:p w14:paraId="7D9ECBA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Cumulative %</w:t>
            </w:r>
          </w:p>
        </w:tc>
        <w:tc>
          <w:tcPr>
            <w:tcW w:w="831" w:type="dxa"/>
            <w:vAlign w:val="center"/>
          </w:tcPr>
          <w:p w14:paraId="4FF8996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069" w:type="dxa"/>
            <w:vAlign w:val="center"/>
          </w:tcPr>
          <w:p w14:paraId="0F2180C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% of Variance</w:t>
            </w:r>
          </w:p>
        </w:tc>
        <w:tc>
          <w:tcPr>
            <w:tcW w:w="1158" w:type="dxa"/>
            <w:vAlign w:val="center"/>
          </w:tcPr>
          <w:p w14:paraId="1354FD0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2"/>
                <w:szCs w:val="22"/>
              </w:rPr>
              <w:t>Cumulative %</w:t>
            </w:r>
          </w:p>
        </w:tc>
      </w:tr>
      <w:tr w14:paraId="4F1FE0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4" w:type="dxa"/>
            <w:vAlign w:val="center"/>
          </w:tcPr>
          <w:p w14:paraId="4BD925D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1" w:type="dxa"/>
            <w:vAlign w:val="center"/>
          </w:tcPr>
          <w:p w14:paraId="648D641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5.124</w:t>
            </w:r>
          </w:p>
        </w:tc>
        <w:tc>
          <w:tcPr>
            <w:tcW w:w="941" w:type="dxa"/>
            <w:vAlign w:val="center"/>
          </w:tcPr>
          <w:p w14:paraId="1F4504D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39.414</w:t>
            </w:r>
          </w:p>
        </w:tc>
        <w:tc>
          <w:tcPr>
            <w:tcW w:w="1158" w:type="dxa"/>
            <w:vAlign w:val="center"/>
          </w:tcPr>
          <w:p w14:paraId="35D89BE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39.414</w:t>
            </w:r>
          </w:p>
        </w:tc>
        <w:tc>
          <w:tcPr>
            <w:tcW w:w="831" w:type="dxa"/>
            <w:vAlign w:val="center"/>
          </w:tcPr>
          <w:p w14:paraId="51E2C6C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5.124</w:t>
            </w:r>
          </w:p>
        </w:tc>
        <w:tc>
          <w:tcPr>
            <w:tcW w:w="1070" w:type="dxa"/>
            <w:vAlign w:val="center"/>
          </w:tcPr>
          <w:p w14:paraId="03F0F83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39.414</w:t>
            </w:r>
          </w:p>
        </w:tc>
        <w:tc>
          <w:tcPr>
            <w:tcW w:w="1158" w:type="dxa"/>
            <w:vAlign w:val="center"/>
          </w:tcPr>
          <w:p w14:paraId="4E70399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39.414</w:t>
            </w:r>
          </w:p>
        </w:tc>
        <w:tc>
          <w:tcPr>
            <w:tcW w:w="831" w:type="dxa"/>
            <w:vAlign w:val="center"/>
          </w:tcPr>
          <w:p w14:paraId="425E323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3.603</w:t>
            </w:r>
          </w:p>
        </w:tc>
        <w:tc>
          <w:tcPr>
            <w:tcW w:w="1069" w:type="dxa"/>
            <w:vAlign w:val="center"/>
          </w:tcPr>
          <w:p w14:paraId="32BA4CF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27.713</w:t>
            </w:r>
          </w:p>
        </w:tc>
        <w:tc>
          <w:tcPr>
            <w:tcW w:w="1158" w:type="dxa"/>
            <w:vAlign w:val="center"/>
          </w:tcPr>
          <w:p w14:paraId="302679E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27.713</w:t>
            </w:r>
          </w:p>
        </w:tc>
      </w:tr>
      <w:tr w14:paraId="4F176A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4" w:type="dxa"/>
            <w:vAlign w:val="center"/>
          </w:tcPr>
          <w:p w14:paraId="1506779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1" w:type="dxa"/>
            <w:vAlign w:val="center"/>
          </w:tcPr>
          <w:p w14:paraId="3425B79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2.111</w:t>
            </w:r>
          </w:p>
        </w:tc>
        <w:tc>
          <w:tcPr>
            <w:tcW w:w="941" w:type="dxa"/>
            <w:vAlign w:val="center"/>
          </w:tcPr>
          <w:p w14:paraId="2601D5E2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16.236</w:t>
            </w:r>
          </w:p>
        </w:tc>
        <w:tc>
          <w:tcPr>
            <w:tcW w:w="1158" w:type="dxa"/>
            <w:vAlign w:val="center"/>
          </w:tcPr>
          <w:p w14:paraId="2F76FC6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55.65</w:t>
            </w:r>
          </w:p>
        </w:tc>
        <w:tc>
          <w:tcPr>
            <w:tcW w:w="831" w:type="dxa"/>
            <w:vAlign w:val="center"/>
          </w:tcPr>
          <w:p w14:paraId="02BD788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2.111</w:t>
            </w:r>
          </w:p>
        </w:tc>
        <w:tc>
          <w:tcPr>
            <w:tcW w:w="1070" w:type="dxa"/>
            <w:vAlign w:val="center"/>
          </w:tcPr>
          <w:p w14:paraId="39C476C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16.236</w:t>
            </w:r>
          </w:p>
        </w:tc>
        <w:tc>
          <w:tcPr>
            <w:tcW w:w="1158" w:type="dxa"/>
            <w:vAlign w:val="center"/>
          </w:tcPr>
          <w:p w14:paraId="410CA30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55.65</w:t>
            </w:r>
          </w:p>
        </w:tc>
        <w:tc>
          <w:tcPr>
            <w:tcW w:w="831" w:type="dxa"/>
            <w:vAlign w:val="center"/>
          </w:tcPr>
          <w:p w14:paraId="1CD831D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2.728</w:t>
            </w:r>
          </w:p>
        </w:tc>
        <w:tc>
          <w:tcPr>
            <w:tcW w:w="1069" w:type="dxa"/>
            <w:vAlign w:val="center"/>
          </w:tcPr>
          <w:p w14:paraId="2CFDED1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20.986</w:t>
            </w:r>
          </w:p>
        </w:tc>
        <w:tc>
          <w:tcPr>
            <w:tcW w:w="1158" w:type="dxa"/>
            <w:vAlign w:val="center"/>
          </w:tcPr>
          <w:p w14:paraId="247C495E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48.699</w:t>
            </w:r>
          </w:p>
        </w:tc>
      </w:tr>
      <w:tr w14:paraId="71B78B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4" w:type="dxa"/>
            <w:vAlign w:val="center"/>
          </w:tcPr>
          <w:p w14:paraId="5066114D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1" w:type="dxa"/>
            <w:vAlign w:val="center"/>
          </w:tcPr>
          <w:p w14:paraId="76B2857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941" w:type="dxa"/>
            <w:vAlign w:val="center"/>
          </w:tcPr>
          <w:p w14:paraId="39B840C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12.537</w:t>
            </w:r>
          </w:p>
        </w:tc>
        <w:tc>
          <w:tcPr>
            <w:tcW w:w="1158" w:type="dxa"/>
            <w:vAlign w:val="center"/>
          </w:tcPr>
          <w:p w14:paraId="6C995AC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68.186</w:t>
            </w:r>
          </w:p>
        </w:tc>
        <w:tc>
          <w:tcPr>
            <w:tcW w:w="831" w:type="dxa"/>
            <w:vAlign w:val="center"/>
          </w:tcPr>
          <w:p w14:paraId="523C20E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1.63</w:t>
            </w:r>
          </w:p>
        </w:tc>
        <w:tc>
          <w:tcPr>
            <w:tcW w:w="1070" w:type="dxa"/>
            <w:vAlign w:val="center"/>
          </w:tcPr>
          <w:p w14:paraId="67C799D5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12.537</w:t>
            </w:r>
          </w:p>
        </w:tc>
        <w:tc>
          <w:tcPr>
            <w:tcW w:w="1158" w:type="dxa"/>
            <w:vAlign w:val="center"/>
          </w:tcPr>
          <w:p w14:paraId="6F655EA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68.186</w:t>
            </w:r>
          </w:p>
        </w:tc>
        <w:tc>
          <w:tcPr>
            <w:tcW w:w="831" w:type="dxa"/>
            <w:vAlign w:val="center"/>
          </w:tcPr>
          <w:p w14:paraId="1EEC8063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2.533</w:t>
            </w:r>
          </w:p>
        </w:tc>
        <w:tc>
          <w:tcPr>
            <w:tcW w:w="1069" w:type="dxa"/>
            <w:vAlign w:val="center"/>
          </w:tcPr>
          <w:p w14:paraId="7206227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19.487</w:t>
            </w:r>
          </w:p>
        </w:tc>
        <w:tc>
          <w:tcPr>
            <w:tcW w:w="1158" w:type="dxa"/>
            <w:vAlign w:val="center"/>
          </w:tcPr>
          <w:p w14:paraId="70651A8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68.186</w:t>
            </w:r>
          </w:p>
        </w:tc>
      </w:tr>
    </w:tbl>
    <w:p w14:paraId="27C0ACB7">
      <w:r>
        <w:rPr>
          <w:i/>
          <w:iCs/>
        </w:rPr>
        <w:t>Extraction Method: Principal Component Analysis. Rotation Method: Varimax with Kaiser Normalization. Only components with eigenvalues greater than 1 are displayed.</w:t>
      </w:r>
      <w:r>
        <w:tab/>
      </w:r>
      <w:r>
        <w:tab/>
      </w:r>
    </w:p>
    <w:p w14:paraId="39D9E928">
      <w:pPr>
        <w:rPr>
          <w:b/>
          <w:bCs/>
        </w:rPr>
      </w:pPr>
    </w:p>
    <w:p w14:paraId="74D64A45">
      <w:pPr>
        <w:rPr>
          <w:b/>
          <w:bCs/>
        </w:rPr>
      </w:pPr>
      <w:r>
        <w:rPr>
          <w:rFonts w:hint="eastAsia"/>
          <w:b/>
          <w:bCs/>
        </w:rPr>
        <w:t>Table S1c. Rotated Component Matrixa</w:t>
      </w:r>
    </w:p>
    <w:tbl>
      <w:tblPr>
        <w:tblStyle w:val="23"/>
        <w:tblW w:w="0" w:type="auto"/>
        <w:tblInd w:w="-10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20EB4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bottom w:val="single" w:color="auto" w:sz="6" w:space="0"/>
              <w:insideH w:val="single" w:sz="6" w:space="0"/>
            </w:tcBorders>
          </w:tcPr>
          <w:p w14:paraId="5027DE6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0" w:type="dxa"/>
            <w:tcBorders>
              <w:bottom w:val="single" w:color="auto" w:sz="6" w:space="0"/>
              <w:insideH w:val="single" w:sz="6" w:space="0"/>
            </w:tcBorders>
          </w:tcPr>
          <w:p w14:paraId="248B30F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F1 (Othering)</w:t>
            </w:r>
          </w:p>
        </w:tc>
        <w:tc>
          <w:tcPr>
            <w:tcW w:w="2131" w:type="dxa"/>
            <w:tcBorders>
              <w:bottom w:val="single" w:color="auto" w:sz="6" w:space="0"/>
              <w:insideH w:val="single" w:sz="6" w:space="0"/>
            </w:tcBorders>
          </w:tcPr>
          <w:p w14:paraId="0AE1512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F2 (Uneasiness)</w:t>
            </w:r>
          </w:p>
        </w:tc>
        <w:tc>
          <w:tcPr>
            <w:tcW w:w="2131" w:type="dxa"/>
            <w:tcBorders>
              <w:bottom w:val="single" w:color="auto" w:sz="6" w:space="0"/>
              <w:insideH w:val="single" w:sz="6" w:space="0"/>
            </w:tcBorders>
          </w:tcPr>
          <w:p w14:paraId="00F27F6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F3 (Non-disclosure)</w:t>
            </w:r>
          </w:p>
        </w:tc>
      </w:tr>
      <w:tr w14:paraId="6D5A81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93D545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C1</w:t>
            </w:r>
          </w:p>
        </w:tc>
        <w:tc>
          <w:tcPr>
            <w:tcW w:w="2130" w:type="dxa"/>
          </w:tcPr>
          <w:p w14:paraId="00D9225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2508095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0.762</w:t>
            </w:r>
          </w:p>
        </w:tc>
        <w:tc>
          <w:tcPr>
            <w:tcW w:w="2131" w:type="dxa"/>
          </w:tcPr>
          <w:p w14:paraId="405A903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5221D3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42232A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C2</w:t>
            </w:r>
          </w:p>
        </w:tc>
        <w:tc>
          <w:tcPr>
            <w:tcW w:w="2130" w:type="dxa"/>
          </w:tcPr>
          <w:p w14:paraId="6EFE881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35B7962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0.796</w:t>
            </w:r>
          </w:p>
        </w:tc>
        <w:tc>
          <w:tcPr>
            <w:tcW w:w="2131" w:type="dxa"/>
          </w:tcPr>
          <w:p w14:paraId="5F0807D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703905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6C4030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C4</w:t>
            </w:r>
          </w:p>
        </w:tc>
        <w:tc>
          <w:tcPr>
            <w:tcW w:w="2130" w:type="dxa"/>
          </w:tcPr>
          <w:p w14:paraId="58B5CEF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51D1608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0.773</w:t>
            </w:r>
          </w:p>
        </w:tc>
        <w:tc>
          <w:tcPr>
            <w:tcW w:w="2131" w:type="dxa"/>
          </w:tcPr>
          <w:p w14:paraId="6871C90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11B587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69AACC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C9</w:t>
            </w:r>
          </w:p>
        </w:tc>
        <w:tc>
          <w:tcPr>
            <w:tcW w:w="2130" w:type="dxa"/>
          </w:tcPr>
          <w:p w14:paraId="06E3820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6100D6D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0.732</w:t>
            </w:r>
          </w:p>
        </w:tc>
        <w:tc>
          <w:tcPr>
            <w:tcW w:w="2131" w:type="dxa"/>
          </w:tcPr>
          <w:p w14:paraId="783E865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0E97B2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C1F4B3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C3</w:t>
            </w:r>
          </w:p>
        </w:tc>
        <w:tc>
          <w:tcPr>
            <w:tcW w:w="2130" w:type="dxa"/>
          </w:tcPr>
          <w:p w14:paraId="5796B43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0.755</w:t>
            </w:r>
          </w:p>
        </w:tc>
        <w:tc>
          <w:tcPr>
            <w:tcW w:w="2131" w:type="dxa"/>
          </w:tcPr>
          <w:p w14:paraId="4B8C4D1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607549A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69BD0D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CBA382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C5</w:t>
            </w:r>
          </w:p>
        </w:tc>
        <w:tc>
          <w:tcPr>
            <w:tcW w:w="2130" w:type="dxa"/>
          </w:tcPr>
          <w:p w14:paraId="3F09ECE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0.736</w:t>
            </w:r>
          </w:p>
        </w:tc>
        <w:tc>
          <w:tcPr>
            <w:tcW w:w="2131" w:type="dxa"/>
          </w:tcPr>
          <w:p w14:paraId="7AD1B8D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5AAE3F3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728806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4C1C19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C6</w:t>
            </w:r>
          </w:p>
        </w:tc>
        <w:tc>
          <w:tcPr>
            <w:tcW w:w="2130" w:type="dxa"/>
          </w:tcPr>
          <w:p w14:paraId="682CBCB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0.75</w:t>
            </w:r>
          </w:p>
        </w:tc>
        <w:tc>
          <w:tcPr>
            <w:tcW w:w="2131" w:type="dxa"/>
          </w:tcPr>
          <w:p w14:paraId="1750597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008467A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5F6E5A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7645D4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C7</w:t>
            </w:r>
          </w:p>
        </w:tc>
        <w:tc>
          <w:tcPr>
            <w:tcW w:w="2130" w:type="dxa"/>
          </w:tcPr>
          <w:p w14:paraId="105C443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0.791</w:t>
            </w:r>
          </w:p>
        </w:tc>
        <w:tc>
          <w:tcPr>
            <w:tcW w:w="2131" w:type="dxa"/>
          </w:tcPr>
          <w:p w14:paraId="3EB0D0E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204A5A1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735A84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7A30FA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C8</w:t>
            </w:r>
          </w:p>
        </w:tc>
        <w:tc>
          <w:tcPr>
            <w:tcW w:w="2130" w:type="dxa"/>
          </w:tcPr>
          <w:p w14:paraId="359BBC6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0.687</w:t>
            </w:r>
          </w:p>
        </w:tc>
        <w:tc>
          <w:tcPr>
            <w:tcW w:w="2131" w:type="dxa"/>
          </w:tcPr>
          <w:p w14:paraId="329698C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566ECA7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52F375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28CEA9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C10</w:t>
            </w:r>
          </w:p>
        </w:tc>
        <w:tc>
          <w:tcPr>
            <w:tcW w:w="2130" w:type="dxa"/>
          </w:tcPr>
          <w:p w14:paraId="230F963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0.778</w:t>
            </w:r>
          </w:p>
        </w:tc>
        <w:tc>
          <w:tcPr>
            <w:tcW w:w="2131" w:type="dxa"/>
          </w:tcPr>
          <w:p w14:paraId="2802983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069666D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</w:tr>
      <w:tr w14:paraId="5B5DA2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0E63F3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C11</w:t>
            </w:r>
          </w:p>
        </w:tc>
        <w:tc>
          <w:tcPr>
            <w:tcW w:w="2130" w:type="dxa"/>
          </w:tcPr>
          <w:p w14:paraId="7C1308F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014B3D6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3E804ED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0.923</w:t>
            </w:r>
          </w:p>
        </w:tc>
      </w:tr>
      <w:tr w14:paraId="2C274E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23FC64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C12</w:t>
            </w:r>
          </w:p>
        </w:tc>
        <w:tc>
          <w:tcPr>
            <w:tcW w:w="2130" w:type="dxa"/>
          </w:tcPr>
          <w:p w14:paraId="53A6280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285B2C2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4CBA8FB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0.87</w:t>
            </w:r>
          </w:p>
        </w:tc>
      </w:tr>
      <w:tr w14:paraId="268577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B09851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C13</w:t>
            </w:r>
          </w:p>
        </w:tc>
        <w:tc>
          <w:tcPr>
            <w:tcW w:w="2130" w:type="dxa"/>
          </w:tcPr>
          <w:p w14:paraId="3744D45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66941FB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</w:p>
        </w:tc>
        <w:tc>
          <w:tcPr>
            <w:tcW w:w="2131" w:type="dxa"/>
          </w:tcPr>
          <w:p w14:paraId="5B92B70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0.844</w:t>
            </w:r>
          </w:p>
        </w:tc>
      </w:tr>
    </w:tbl>
    <w:p w14:paraId="35117F09">
      <w:r>
        <w:t>Extraction Method: Principal Component Analysis. Rotation Method: Varimax with Kaiser Normalization.a Rotation converged in 5 iterations.</w:t>
      </w:r>
    </w:p>
    <w:p w14:paraId="264EC28E"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r>
        <w:t>All items loaded predominantly (&gt;0.40) on their intended factor, with no significant cross-loadings (all secondary loadings &lt; 0.40).</w:t>
      </w:r>
      <w: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F6C3936">
      <w:pPr>
        <w:rPr>
          <w:b/>
          <w:bCs/>
        </w:rPr>
      </w:pPr>
    </w:p>
    <w:p w14:paraId="5DFB47FE">
      <w:pPr>
        <w:rPr>
          <w:b/>
          <w:bCs/>
        </w:rPr>
      </w:pPr>
    </w:p>
    <w:p w14:paraId="779D307B">
      <w:pPr>
        <w:rPr>
          <w:b/>
          <w:bCs/>
        </w:rPr>
      </w:pPr>
      <w:r>
        <w:rPr>
          <w:b/>
          <w:bCs/>
        </w:rPr>
        <w:t>Supplementary Table S2. Results of Confirmatory Factor Analysis on the Second Random Split-half Sample (n=141).</w:t>
      </w:r>
    </w:p>
    <w:p w14:paraId="6459D73E">
      <w:pPr>
        <w:rPr>
          <w:b/>
          <w:bCs/>
        </w:rPr>
      </w:pPr>
      <w:r>
        <w:rPr>
          <w:b/>
          <w:bCs/>
        </w:rPr>
        <w:t>Table S2a. Goodness-of-fit Indices for the Three-factor Model</w:t>
      </w:r>
    </w:p>
    <w:tbl>
      <w:tblPr>
        <w:tblStyle w:val="2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98620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bottom w:val="single" w:color="auto" w:sz="6" w:space="0"/>
              <w:insideH w:val="single" w:sz="6" w:space="0"/>
            </w:tcBorders>
          </w:tcPr>
          <w:p w14:paraId="2C8E15F9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</w:rPr>
              <w:t>Fit Index</w:t>
            </w:r>
          </w:p>
        </w:tc>
        <w:tc>
          <w:tcPr>
            <w:tcW w:w="4261" w:type="dxa"/>
            <w:tcBorders>
              <w:bottom w:val="single" w:color="auto" w:sz="6" w:space="0"/>
              <w:insideH w:val="single" w:sz="6" w:space="0"/>
            </w:tcBorders>
          </w:tcPr>
          <w:p w14:paraId="61EDC40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Value</w:t>
            </w:r>
          </w:p>
        </w:tc>
      </w:tr>
      <w:tr w14:paraId="6CD140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9A6282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χ² / df</w:t>
            </w:r>
          </w:p>
        </w:tc>
        <w:tc>
          <w:tcPr>
            <w:tcW w:w="4261" w:type="dxa"/>
          </w:tcPr>
          <w:p w14:paraId="665F306A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2.167</w:t>
            </w:r>
          </w:p>
        </w:tc>
      </w:tr>
      <w:tr w14:paraId="2540A8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2B5A07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CFI</w:t>
            </w:r>
          </w:p>
        </w:tc>
        <w:tc>
          <w:tcPr>
            <w:tcW w:w="4261" w:type="dxa"/>
          </w:tcPr>
          <w:p w14:paraId="7CD8D3C2">
            <w:pPr>
              <w:ind w:firstLine="1897" w:firstLineChars="900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0.910</w:t>
            </w:r>
          </w:p>
        </w:tc>
      </w:tr>
      <w:tr w14:paraId="7470EE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C9F16B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TLI</w:t>
            </w:r>
          </w:p>
        </w:tc>
        <w:tc>
          <w:tcPr>
            <w:tcW w:w="4261" w:type="dxa"/>
          </w:tcPr>
          <w:p w14:paraId="3E378EE0">
            <w:pPr>
              <w:tabs>
                <w:tab w:val="left" w:pos="1200"/>
              </w:tabs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0.887</w:t>
            </w:r>
          </w:p>
        </w:tc>
      </w:tr>
      <w:tr w14:paraId="4E5527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B854C78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RMSEA</w:t>
            </w:r>
          </w:p>
        </w:tc>
        <w:tc>
          <w:tcPr>
            <w:tcW w:w="4261" w:type="dxa"/>
          </w:tcPr>
          <w:p w14:paraId="33D35AF5">
            <w:pPr>
              <w:tabs>
                <w:tab w:val="left" w:pos="1520"/>
              </w:tabs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0.091</w:t>
            </w:r>
          </w:p>
        </w:tc>
      </w:tr>
      <w:tr w14:paraId="0B7B30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3E478D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GFI</w:t>
            </w:r>
          </w:p>
        </w:tc>
        <w:tc>
          <w:tcPr>
            <w:tcW w:w="4261" w:type="dxa"/>
          </w:tcPr>
          <w:p w14:paraId="5EFC2DF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0.874</w:t>
            </w:r>
          </w:p>
        </w:tc>
      </w:tr>
    </w:tbl>
    <w:p w14:paraId="55EA3E33">
      <w:pPr>
        <w:rPr>
          <w:b/>
          <w:bCs/>
        </w:rPr>
      </w:pPr>
    </w:p>
    <w:p w14:paraId="716324CC">
      <w:pPr>
        <w:rPr>
          <w:b/>
          <w:bCs/>
        </w:rPr>
      </w:pPr>
      <w:r>
        <w:rPr>
          <w:b/>
          <w:bCs/>
        </w:rPr>
        <w:t>Table S2b. Standardized Factor Loadings, Composite Reliability, and Average Variance Extracted</w:t>
      </w:r>
    </w:p>
    <w:tbl>
      <w:tblPr>
        <w:tblStyle w:val="2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1716"/>
        <w:gridCol w:w="1597"/>
        <w:gridCol w:w="1597"/>
        <w:gridCol w:w="1611"/>
      </w:tblGrid>
      <w:tr w14:paraId="5E0E12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  <w:tcBorders>
              <w:bottom w:val="single" w:color="auto" w:sz="6" w:space="0"/>
              <w:insideH w:val="single" w:sz="6" w:space="0"/>
            </w:tcBorders>
          </w:tcPr>
          <w:p w14:paraId="072A35DA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</w:rPr>
              <w:t>Factor</w:t>
            </w:r>
          </w:p>
        </w:tc>
        <w:tc>
          <w:tcPr>
            <w:tcW w:w="2080" w:type="dxa"/>
            <w:tcBorders>
              <w:bottom w:val="single" w:color="auto" w:sz="6" w:space="0"/>
              <w:insideH w:val="single" w:sz="6" w:space="0"/>
            </w:tcBorders>
          </w:tcPr>
          <w:p w14:paraId="7960A27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2080" w:type="dxa"/>
            <w:tcBorders>
              <w:bottom w:val="single" w:color="auto" w:sz="6" w:space="0"/>
              <w:insideH w:val="single" w:sz="6" w:space="0"/>
            </w:tcBorders>
          </w:tcPr>
          <w:p w14:paraId="0B44B66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CR</w:t>
            </w:r>
          </w:p>
        </w:tc>
        <w:tc>
          <w:tcPr>
            <w:tcW w:w="2080" w:type="dxa"/>
            <w:tcBorders>
              <w:bottom w:val="single" w:color="auto" w:sz="6" w:space="0"/>
              <w:insideH w:val="single" w:sz="6" w:space="0"/>
            </w:tcBorders>
          </w:tcPr>
          <w:p w14:paraId="661534F3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AVE</w:t>
            </w:r>
          </w:p>
        </w:tc>
        <w:tc>
          <w:tcPr>
            <w:tcW w:w="2081" w:type="dxa"/>
            <w:tcBorders>
              <w:bottom w:val="single" w:color="auto" w:sz="6" w:space="0"/>
              <w:insideH w:val="single" w:sz="6" w:space="0"/>
            </w:tcBorders>
          </w:tcPr>
          <w:p w14:paraId="569D3155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√AVE</w:t>
            </w:r>
          </w:p>
        </w:tc>
      </w:tr>
      <w:tr w14:paraId="0111F9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5CFAFD2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F1: Othering</w:t>
            </w:r>
          </w:p>
        </w:tc>
        <w:tc>
          <w:tcPr>
            <w:tcW w:w="2080" w:type="dxa"/>
          </w:tcPr>
          <w:p w14:paraId="23CD9B9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21D6464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0.823</w:t>
            </w:r>
          </w:p>
        </w:tc>
        <w:tc>
          <w:tcPr>
            <w:tcW w:w="2080" w:type="dxa"/>
          </w:tcPr>
          <w:p w14:paraId="3452A62D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0.538</w:t>
            </w:r>
          </w:p>
        </w:tc>
        <w:tc>
          <w:tcPr>
            <w:tcW w:w="2081" w:type="dxa"/>
          </w:tcPr>
          <w:p w14:paraId="61BDCF68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0.733</w:t>
            </w:r>
          </w:p>
        </w:tc>
      </w:tr>
      <w:tr w14:paraId="035C64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29A8FCE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C1</w:t>
            </w:r>
          </w:p>
        </w:tc>
        <w:tc>
          <w:tcPr>
            <w:tcW w:w="2080" w:type="dxa"/>
          </w:tcPr>
          <w:p w14:paraId="52FACBB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2080" w:type="dxa"/>
          </w:tcPr>
          <w:p w14:paraId="7A65E76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326A901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3D26950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01EF9B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0A8D451D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C2</w:t>
            </w:r>
          </w:p>
        </w:tc>
        <w:tc>
          <w:tcPr>
            <w:tcW w:w="2080" w:type="dxa"/>
          </w:tcPr>
          <w:p w14:paraId="68A12E18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0.769</w:t>
            </w:r>
          </w:p>
        </w:tc>
        <w:tc>
          <w:tcPr>
            <w:tcW w:w="2080" w:type="dxa"/>
          </w:tcPr>
          <w:p w14:paraId="0A72304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59B2DA4D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3D6D92E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5C82BB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602B70C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C4</w:t>
            </w:r>
          </w:p>
        </w:tc>
        <w:tc>
          <w:tcPr>
            <w:tcW w:w="2080" w:type="dxa"/>
          </w:tcPr>
          <w:p w14:paraId="7D917E1E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0.703</w:t>
            </w:r>
          </w:p>
        </w:tc>
        <w:tc>
          <w:tcPr>
            <w:tcW w:w="2080" w:type="dxa"/>
          </w:tcPr>
          <w:p w14:paraId="51A04C38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0D98DBFC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3C3C0BA5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5927BD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80" w:type="dxa"/>
          </w:tcPr>
          <w:p w14:paraId="1E5B88ED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C9</w:t>
            </w:r>
          </w:p>
        </w:tc>
        <w:tc>
          <w:tcPr>
            <w:tcW w:w="2080" w:type="dxa"/>
          </w:tcPr>
          <w:p w14:paraId="38A0BC4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0.731</w:t>
            </w:r>
          </w:p>
        </w:tc>
        <w:tc>
          <w:tcPr>
            <w:tcW w:w="2080" w:type="dxa"/>
          </w:tcPr>
          <w:p w14:paraId="09638A8C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4AC6CA6A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47502F2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5427E8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080" w:type="dxa"/>
          </w:tcPr>
          <w:p w14:paraId="649488C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F2: Uneasiness</w:t>
            </w:r>
          </w:p>
        </w:tc>
        <w:tc>
          <w:tcPr>
            <w:tcW w:w="2080" w:type="dxa"/>
          </w:tcPr>
          <w:p w14:paraId="314F570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4BC9F47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0.876</w:t>
            </w:r>
          </w:p>
        </w:tc>
        <w:tc>
          <w:tcPr>
            <w:tcW w:w="2080" w:type="dxa"/>
          </w:tcPr>
          <w:p w14:paraId="1DB3718A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0.542</w:t>
            </w:r>
          </w:p>
        </w:tc>
        <w:tc>
          <w:tcPr>
            <w:tcW w:w="2081" w:type="dxa"/>
          </w:tcPr>
          <w:p w14:paraId="0817707C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0.736</w:t>
            </w:r>
          </w:p>
        </w:tc>
      </w:tr>
      <w:tr w14:paraId="59F3C2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1A1419B8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C3</w:t>
            </w:r>
          </w:p>
        </w:tc>
        <w:tc>
          <w:tcPr>
            <w:tcW w:w="2080" w:type="dxa"/>
          </w:tcPr>
          <w:p w14:paraId="102B684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0.803</w:t>
            </w:r>
          </w:p>
        </w:tc>
        <w:tc>
          <w:tcPr>
            <w:tcW w:w="2080" w:type="dxa"/>
          </w:tcPr>
          <w:p w14:paraId="6C4C741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4C0E595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5D86476E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38EA2A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777A0E6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C5</w:t>
            </w:r>
          </w:p>
        </w:tc>
        <w:tc>
          <w:tcPr>
            <w:tcW w:w="2080" w:type="dxa"/>
          </w:tcPr>
          <w:p w14:paraId="2086839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0.677</w:t>
            </w:r>
          </w:p>
        </w:tc>
        <w:tc>
          <w:tcPr>
            <w:tcW w:w="2080" w:type="dxa"/>
          </w:tcPr>
          <w:p w14:paraId="637233E8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2F3E2A2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7EE37F4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2B49FD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80" w:type="dxa"/>
          </w:tcPr>
          <w:p w14:paraId="0A7873CF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C6</w:t>
            </w:r>
          </w:p>
        </w:tc>
        <w:tc>
          <w:tcPr>
            <w:tcW w:w="2080" w:type="dxa"/>
          </w:tcPr>
          <w:p w14:paraId="49FF794E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0.617</w:t>
            </w:r>
          </w:p>
        </w:tc>
        <w:tc>
          <w:tcPr>
            <w:tcW w:w="2080" w:type="dxa"/>
          </w:tcPr>
          <w:p w14:paraId="68DD8C83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16645C0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232A40BF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2D54C6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50804303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C7</w:t>
            </w:r>
          </w:p>
        </w:tc>
        <w:tc>
          <w:tcPr>
            <w:tcW w:w="2080" w:type="dxa"/>
          </w:tcPr>
          <w:p w14:paraId="63979F2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0.748</w:t>
            </w:r>
          </w:p>
        </w:tc>
        <w:tc>
          <w:tcPr>
            <w:tcW w:w="2080" w:type="dxa"/>
          </w:tcPr>
          <w:p w14:paraId="4AC0BB6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5EE27FBD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324B524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2D5CB3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2849609B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C8</w:t>
            </w:r>
          </w:p>
        </w:tc>
        <w:tc>
          <w:tcPr>
            <w:tcW w:w="2080" w:type="dxa"/>
          </w:tcPr>
          <w:p w14:paraId="220BD6DA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0.764</w:t>
            </w:r>
          </w:p>
        </w:tc>
        <w:tc>
          <w:tcPr>
            <w:tcW w:w="2080" w:type="dxa"/>
          </w:tcPr>
          <w:p w14:paraId="3B3E3A0B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5D45917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50EA310F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74A980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5869439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C10</w:t>
            </w:r>
          </w:p>
        </w:tc>
        <w:tc>
          <w:tcPr>
            <w:tcW w:w="2080" w:type="dxa"/>
          </w:tcPr>
          <w:p w14:paraId="5951D19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2080" w:type="dxa"/>
          </w:tcPr>
          <w:p w14:paraId="32E2655F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3257CD5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6D6D8F05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1369FA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80" w:type="dxa"/>
          </w:tcPr>
          <w:p w14:paraId="25B9729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F3:Non-disclosure</w:t>
            </w:r>
          </w:p>
        </w:tc>
        <w:tc>
          <w:tcPr>
            <w:tcW w:w="2080" w:type="dxa"/>
          </w:tcPr>
          <w:p w14:paraId="566CEDBB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2BE8FC98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0.803</w:t>
            </w:r>
          </w:p>
        </w:tc>
        <w:tc>
          <w:tcPr>
            <w:tcW w:w="2080" w:type="dxa"/>
          </w:tcPr>
          <w:p w14:paraId="242F2F0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0.578</w:t>
            </w:r>
          </w:p>
        </w:tc>
        <w:tc>
          <w:tcPr>
            <w:tcW w:w="2081" w:type="dxa"/>
          </w:tcPr>
          <w:p w14:paraId="412B26C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0.76</w:t>
            </w:r>
          </w:p>
        </w:tc>
      </w:tr>
      <w:tr w14:paraId="70E3ED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63AF008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C11</w:t>
            </w:r>
          </w:p>
        </w:tc>
        <w:tc>
          <w:tcPr>
            <w:tcW w:w="2080" w:type="dxa"/>
          </w:tcPr>
          <w:p w14:paraId="4BB47B75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0.831</w:t>
            </w:r>
          </w:p>
        </w:tc>
        <w:tc>
          <w:tcPr>
            <w:tcW w:w="2080" w:type="dxa"/>
          </w:tcPr>
          <w:p w14:paraId="65F122B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6ECE10A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7261199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1D1C4C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730B8F8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C12</w:t>
            </w:r>
          </w:p>
        </w:tc>
        <w:tc>
          <w:tcPr>
            <w:tcW w:w="2080" w:type="dxa"/>
          </w:tcPr>
          <w:p w14:paraId="1D8E17C5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2080" w:type="dxa"/>
          </w:tcPr>
          <w:p w14:paraId="6F329F6E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041B2804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20DAC80B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  <w:tr w14:paraId="5B5145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080" w:type="dxa"/>
          </w:tcPr>
          <w:p w14:paraId="61B1715F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C13</w:t>
            </w:r>
          </w:p>
        </w:tc>
        <w:tc>
          <w:tcPr>
            <w:tcW w:w="2080" w:type="dxa"/>
          </w:tcPr>
          <w:p w14:paraId="6F573388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0.648</w:t>
            </w:r>
          </w:p>
        </w:tc>
        <w:tc>
          <w:tcPr>
            <w:tcW w:w="2080" w:type="dxa"/>
          </w:tcPr>
          <w:p w14:paraId="7F60E96E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0" w:type="dxa"/>
          </w:tcPr>
          <w:p w14:paraId="43E81912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2081" w:type="dxa"/>
          </w:tcPr>
          <w:p w14:paraId="3A16A7F9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</w:p>
        </w:tc>
      </w:tr>
    </w:tbl>
    <w:p w14:paraId="3A7AB97C">
      <w:pPr>
        <w:rPr>
          <w:b/>
          <w:bCs/>
        </w:rPr>
      </w:pPr>
    </w:p>
    <w:p w14:paraId="285B6851">
      <w:pPr>
        <w:rPr>
          <w:b/>
          <w:bCs/>
        </w:rPr>
      </w:pPr>
    </w:p>
    <w:p w14:paraId="24ED9DFC">
      <w:pPr>
        <w:rPr>
          <w:b/>
          <w:bCs/>
        </w:rPr>
      </w:pPr>
      <w:r>
        <w:rPr>
          <w:rFonts w:hint="eastAsia"/>
          <w:b/>
          <w:bCs/>
        </w:rPr>
        <w:t>Table S2c. Correlations between Latent Factors</w:t>
      </w:r>
    </w:p>
    <w:tbl>
      <w:tblPr>
        <w:tblStyle w:val="2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467AD3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bottom w:val="single" w:color="auto" w:sz="6" w:space="0"/>
              <w:insideH w:val="single" w:sz="6" w:space="0"/>
            </w:tcBorders>
          </w:tcPr>
          <w:p w14:paraId="4D4A60A5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</w:rPr>
              <w:t>Factor Correlation</w:t>
            </w:r>
          </w:p>
        </w:tc>
        <w:tc>
          <w:tcPr>
            <w:tcW w:w="4261" w:type="dxa"/>
            <w:tcBorders>
              <w:bottom w:val="single" w:color="auto" w:sz="6" w:space="0"/>
              <w:insideH w:val="single" w:sz="6" w:space="0"/>
            </w:tcBorders>
          </w:tcPr>
          <w:p w14:paraId="396A84F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Estimate</w:t>
            </w:r>
          </w:p>
        </w:tc>
      </w:tr>
      <w:tr w14:paraId="5FB2F4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118D5DD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</w:rPr>
              <w:t>F1 &lt;--&gt; F2</w:t>
            </w:r>
          </w:p>
        </w:tc>
        <w:tc>
          <w:tcPr>
            <w:tcW w:w="4261" w:type="dxa"/>
          </w:tcPr>
          <w:p w14:paraId="60D17CF0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0.458</w:t>
            </w:r>
          </w:p>
        </w:tc>
      </w:tr>
      <w:tr w14:paraId="7DB864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F5CBE9B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</w:rPr>
              <w:t>F1 &lt;--&gt; F3</w:t>
            </w:r>
          </w:p>
        </w:tc>
        <w:tc>
          <w:tcPr>
            <w:tcW w:w="4261" w:type="dxa"/>
          </w:tcPr>
          <w:p w14:paraId="5409240A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0.26</w:t>
            </w:r>
          </w:p>
        </w:tc>
      </w:tr>
      <w:tr w14:paraId="3B490E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5F39C26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</w:rPr>
              <w:t>F2 &lt;--&gt; F3</w:t>
            </w:r>
          </w:p>
        </w:tc>
        <w:tc>
          <w:tcPr>
            <w:tcW w:w="4261" w:type="dxa"/>
          </w:tcPr>
          <w:p w14:paraId="0DBA3327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  <w:t>0.484</w:t>
            </w:r>
          </w:p>
        </w:tc>
      </w:tr>
    </w:tbl>
    <w:p w14:paraId="67EA5C8E">
      <w:pPr>
        <w:rPr>
          <w:b/>
          <w:bCs/>
        </w:rPr>
      </w:pPr>
    </w:p>
    <w:p w14:paraId="102AD3DC">
      <w:pPr>
        <w:rPr>
          <w:b/>
          <w:bCs/>
        </w:rPr>
      </w:pPr>
    </w:p>
    <w:p w14:paraId="01BBF69F">
      <w:pPr>
        <w:rPr>
          <w:b/>
          <w:bCs/>
        </w:rPr>
      </w:pPr>
    </w:p>
    <w:p w14:paraId="44FB8BB5">
      <w:pPr>
        <w:rPr>
          <w:b/>
          <w:bCs/>
        </w:rPr>
      </w:pPr>
    </w:p>
    <w:p w14:paraId="3FDFF761">
      <w:pPr>
        <w:rPr>
          <w:b/>
          <w:bCs/>
        </w:rPr>
      </w:pPr>
      <w:bookmarkStart w:id="0" w:name="_GoBack"/>
      <w:bookmarkEnd w:id="0"/>
    </w:p>
    <w:p w14:paraId="27E5B106">
      <w:pPr>
        <w:pStyle w:val="4"/>
        <w:keepNext w:val="0"/>
        <w:keepLines w:val="0"/>
        <w:widowControl/>
        <w:shd w:val="clear" w:color="auto" w:fill="FFFFFF"/>
        <w:spacing w:before="384" w:after="192"/>
        <w:rPr>
          <w:rFonts w:asciiTheme="minorHAnsi" w:hAnsiTheme="minorHAnsi" w:eastAsiaTheme="minorEastAsia" w:cstheme="minorBidi"/>
          <w:b/>
          <w:bCs/>
          <w:color w:val="auto"/>
          <w:sz w:val="21"/>
          <w:szCs w:val="24"/>
        </w:rPr>
      </w:pPr>
      <w:r>
        <w:rPr>
          <w:rFonts w:asciiTheme="minorHAnsi" w:hAnsiTheme="minorHAnsi" w:eastAsiaTheme="minorEastAsia" w:cstheme="minorBidi"/>
          <w:b/>
          <w:bCs/>
          <w:color w:val="auto"/>
          <w:sz w:val="21"/>
          <w:szCs w:val="24"/>
        </w:rPr>
        <w:t>Supplementary Table S3. Modification Indices and Parameter Change Estimates for the Three-factor Model</w:t>
      </w:r>
    </w:p>
    <w:tbl>
      <w:tblPr>
        <w:tblStyle w:val="2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12C4D8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bottom w:val="single" w:color="auto" w:sz="6" w:space="0"/>
              <w:insideH w:val="single" w:sz="6" w:space="0"/>
            </w:tcBorders>
          </w:tcPr>
          <w:p w14:paraId="178B7837">
            <w:pPr>
              <w:widowControl/>
              <w:jc w:val="center"/>
              <w:rPr>
                <w:rFonts w:hint="eastAsia" w:ascii="Segoe UI" w:hAnsi="Segoe UI" w:eastAsia="宋体" w:cs="Segoe UI"/>
                <w:b/>
                <w:bCs/>
                <w:color w:val="0F1115"/>
                <w:kern w:val="0"/>
                <w:sz w:val="24"/>
              </w:rPr>
            </w:pPr>
            <w:r>
              <w:rPr>
                <w:rStyle w:val="18"/>
                <w:rFonts w:ascii="Segoe UI" w:hAnsi="Segoe UI" w:cs="Segoe UI"/>
                <w:color w:val="0F1115"/>
              </w:rPr>
              <w:t>Relationship</w:t>
            </w:r>
          </w:p>
        </w:tc>
        <w:tc>
          <w:tcPr>
            <w:tcW w:w="2841" w:type="dxa"/>
            <w:tcBorders>
              <w:bottom w:val="single" w:color="auto" w:sz="6" w:space="0"/>
              <w:insideH w:val="single" w:sz="6" w:space="0"/>
            </w:tcBorders>
          </w:tcPr>
          <w:p w14:paraId="5C8F9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M.I.</w:t>
            </w:r>
          </w:p>
        </w:tc>
        <w:tc>
          <w:tcPr>
            <w:tcW w:w="2841" w:type="dxa"/>
            <w:tcBorders>
              <w:bottom w:val="single" w:color="auto" w:sz="6" w:space="0"/>
              <w:insideH w:val="single" w:sz="6" w:space="0"/>
            </w:tcBorders>
          </w:tcPr>
          <w:p w14:paraId="0CB83B3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Par Change</w:t>
            </w:r>
          </w:p>
        </w:tc>
      </w:tr>
      <w:tr w14:paraId="23D82F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4AC6B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e10 ↔ F1</w:t>
            </w:r>
          </w:p>
        </w:tc>
        <w:tc>
          <w:tcPr>
            <w:tcW w:w="2841" w:type="dxa"/>
          </w:tcPr>
          <w:p w14:paraId="059B7AC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5.642</w:t>
            </w:r>
          </w:p>
        </w:tc>
        <w:tc>
          <w:tcPr>
            <w:tcW w:w="2841" w:type="dxa"/>
          </w:tcPr>
          <w:p w14:paraId="38C2CA5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0.117</w:t>
            </w:r>
          </w:p>
        </w:tc>
      </w:tr>
      <w:tr w14:paraId="653762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7A757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e9 ↔ F1</w:t>
            </w:r>
          </w:p>
        </w:tc>
        <w:tc>
          <w:tcPr>
            <w:tcW w:w="2841" w:type="dxa"/>
          </w:tcPr>
          <w:p w14:paraId="29D97AC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18.891</w:t>
            </w:r>
          </w:p>
        </w:tc>
        <w:tc>
          <w:tcPr>
            <w:tcW w:w="2841" w:type="dxa"/>
          </w:tcPr>
          <w:p w14:paraId="1748F6F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-0.18</w:t>
            </w:r>
          </w:p>
        </w:tc>
      </w:tr>
      <w:tr w14:paraId="5D5926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8CBDE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e9 ↔ e13</w:t>
            </w:r>
          </w:p>
        </w:tc>
        <w:tc>
          <w:tcPr>
            <w:tcW w:w="2841" w:type="dxa"/>
          </w:tcPr>
          <w:p w14:paraId="602233A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6.396</w:t>
            </w:r>
          </w:p>
        </w:tc>
        <w:tc>
          <w:tcPr>
            <w:tcW w:w="2841" w:type="dxa"/>
          </w:tcPr>
          <w:p w14:paraId="1B245EE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-0.122</w:t>
            </w:r>
          </w:p>
        </w:tc>
      </w:tr>
      <w:tr w14:paraId="107F32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0313A85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e9 ↔ e11</w:t>
            </w:r>
          </w:p>
        </w:tc>
        <w:tc>
          <w:tcPr>
            <w:tcW w:w="2841" w:type="dxa"/>
          </w:tcPr>
          <w:p w14:paraId="3B9EC9D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5.133</w:t>
            </w:r>
          </w:p>
        </w:tc>
        <w:tc>
          <w:tcPr>
            <w:tcW w:w="2841" w:type="dxa"/>
          </w:tcPr>
          <w:p w14:paraId="55B15E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0.089</w:t>
            </w:r>
          </w:p>
        </w:tc>
      </w:tr>
      <w:tr w14:paraId="76B614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AB272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e8 ↔ e13</w:t>
            </w:r>
          </w:p>
        </w:tc>
        <w:tc>
          <w:tcPr>
            <w:tcW w:w="2841" w:type="dxa"/>
          </w:tcPr>
          <w:p w14:paraId="2AD31AEA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7.835</w:t>
            </w:r>
          </w:p>
        </w:tc>
        <w:tc>
          <w:tcPr>
            <w:tcW w:w="2841" w:type="dxa"/>
          </w:tcPr>
          <w:p w14:paraId="7FBC528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0.172</w:t>
            </w:r>
          </w:p>
        </w:tc>
      </w:tr>
      <w:tr w14:paraId="0E919E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23793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e6 ↔ e7</w:t>
            </w:r>
          </w:p>
        </w:tc>
        <w:tc>
          <w:tcPr>
            <w:tcW w:w="2841" w:type="dxa"/>
          </w:tcPr>
          <w:p w14:paraId="691C57E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19.102</w:t>
            </w:r>
          </w:p>
        </w:tc>
        <w:tc>
          <w:tcPr>
            <w:tcW w:w="2841" w:type="dxa"/>
          </w:tcPr>
          <w:p w14:paraId="7F6631C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0.254</w:t>
            </w:r>
          </w:p>
        </w:tc>
      </w:tr>
      <w:tr w14:paraId="7F3059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38224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e5 ↔ e6</w:t>
            </w:r>
          </w:p>
        </w:tc>
        <w:tc>
          <w:tcPr>
            <w:tcW w:w="2841" w:type="dxa"/>
          </w:tcPr>
          <w:p w14:paraId="32BB420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4.498</w:t>
            </w:r>
          </w:p>
        </w:tc>
        <w:tc>
          <w:tcPr>
            <w:tcW w:w="2841" w:type="dxa"/>
          </w:tcPr>
          <w:p w14:paraId="54E20D9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-0.103</w:t>
            </w:r>
          </w:p>
        </w:tc>
      </w:tr>
      <w:tr w14:paraId="4F0B95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CE1E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e4 ↔ e8</w:t>
            </w:r>
          </w:p>
        </w:tc>
        <w:tc>
          <w:tcPr>
            <w:tcW w:w="2841" w:type="dxa"/>
          </w:tcPr>
          <w:p w14:paraId="00FF9CB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4.64</w:t>
            </w:r>
          </w:p>
        </w:tc>
        <w:tc>
          <w:tcPr>
            <w:tcW w:w="2841" w:type="dxa"/>
          </w:tcPr>
          <w:p w14:paraId="692BC40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0.125</w:t>
            </w:r>
          </w:p>
        </w:tc>
      </w:tr>
      <w:tr w14:paraId="3879ED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A6EC4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e4 ↔ e7</w:t>
            </w:r>
          </w:p>
        </w:tc>
        <w:tc>
          <w:tcPr>
            <w:tcW w:w="2841" w:type="dxa"/>
          </w:tcPr>
          <w:p w14:paraId="566D36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4.287</w:t>
            </w:r>
          </w:p>
        </w:tc>
        <w:tc>
          <w:tcPr>
            <w:tcW w:w="2841" w:type="dxa"/>
          </w:tcPr>
          <w:p w14:paraId="36C180E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-0.124</w:t>
            </w:r>
          </w:p>
        </w:tc>
      </w:tr>
      <w:tr w14:paraId="553D12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8A32A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e3 ↔ e4</w:t>
            </w:r>
          </w:p>
        </w:tc>
        <w:tc>
          <w:tcPr>
            <w:tcW w:w="2841" w:type="dxa"/>
          </w:tcPr>
          <w:p w14:paraId="6698E65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4.086</w:t>
            </w:r>
          </w:p>
        </w:tc>
        <w:tc>
          <w:tcPr>
            <w:tcW w:w="2841" w:type="dxa"/>
          </w:tcPr>
          <w:p w14:paraId="12C9729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0.116</w:t>
            </w:r>
          </w:p>
        </w:tc>
      </w:tr>
      <w:tr w14:paraId="7CA39F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2EDFD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e1 ↔ e9</w:t>
            </w:r>
          </w:p>
        </w:tc>
        <w:tc>
          <w:tcPr>
            <w:tcW w:w="2841" w:type="dxa"/>
          </w:tcPr>
          <w:p w14:paraId="1F2C35D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9.979</w:t>
            </w:r>
          </w:p>
        </w:tc>
        <w:tc>
          <w:tcPr>
            <w:tcW w:w="2841" w:type="dxa"/>
          </w:tcPr>
          <w:p w14:paraId="7E1B694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-0.135</w:t>
            </w:r>
          </w:p>
        </w:tc>
      </w:tr>
      <w:tr w14:paraId="58B01E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C1CFE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e1 ↔ e3</w:t>
            </w:r>
          </w:p>
        </w:tc>
        <w:tc>
          <w:tcPr>
            <w:tcW w:w="2841" w:type="dxa"/>
          </w:tcPr>
          <w:p w14:paraId="6F66AB8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4.202</w:t>
            </w:r>
          </w:p>
        </w:tc>
        <w:tc>
          <w:tcPr>
            <w:tcW w:w="2841" w:type="dxa"/>
          </w:tcPr>
          <w:p w14:paraId="50D00DD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-0.11</w:t>
            </w:r>
          </w:p>
        </w:tc>
      </w:tr>
      <w:tr w14:paraId="2EEE1B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79167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e1 ↔ e2</w:t>
            </w:r>
          </w:p>
        </w:tc>
        <w:tc>
          <w:tcPr>
            <w:tcW w:w="2841" w:type="dxa"/>
          </w:tcPr>
          <w:p w14:paraId="20332CD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8.531</w:t>
            </w:r>
          </w:p>
        </w:tc>
        <w:tc>
          <w:tcPr>
            <w:tcW w:w="2841" w:type="dxa"/>
          </w:tcPr>
          <w:p w14:paraId="664CE4B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0.143</w:t>
            </w:r>
          </w:p>
        </w:tc>
      </w:tr>
    </w:tbl>
    <w:p w14:paraId="15B40BFA">
      <w:pPr>
        <w:rPr>
          <w:b/>
          <w:bCs/>
        </w:rPr>
      </w:pPr>
    </w:p>
    <w:p w14:paraId="63CD9E7C">
      <w:pPr>
        <w:rPr>
          <w:b/>
          <w:bCs/>
        </w:rPr>
      </w:pPr>
    </w:p>
    <w:p w14:paraId="36031599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10"/>
    <w:rsid w:val="000346E1"/>
    <w:rsid w:val="00092205"/>
    <w:rsid w:val="000D23CE"/>
    <w:rsid w:val="0014069D"/>
    <w:rsid w:val="00187A7A"/>
    <w:rsid w:val="002C5E8A"/>
    <w:rsid w:val="002F64B1"/>
    <w:rsid w:val="00301732"/>
    <w:rsid w:val="003F494C"/>
    <w:rsid w:val="004131BB"/>
    <w:rsid w:val="004239F5"/>
    <w:rsid w:val="00527291"/>
    <w:rsid w:val="00541C86"/>
    <w:rsid w:val="005956C8"/>
    <w:rsid w:val="005C6A52"/>
    <w:rsid w:val="005C6F48"/>
    <w:rsid w:val="005E4D18"/>
    <w:rsid w:val="00676010"/>
    <w:rsid w:val="006D1401"/>
    <w:rsid w:val="006E0473"/>
    <w:rsid w:val="007912D0"/>
    <w:rsid w:val="007F7B66"/>
    <w:rsid w:val="0080480F"/>
    <w:rsid w:val="008721F9"/>
    <w:rsid w:val="00872A2D"/>
    <w:rsid w:val="008E5F04"/>
    <w:rsid w:val="00976F97"/>
    <w:rsid w:val="009F08A3"/>
    <w:rsid w:val="00A73F11"/>
    <w:rsid w:val="00B22A56"/>
    <w:rsid w:val="00B81128"/>
    <w:rsid w:val="00BC3BCD"/>
    <w:rsid w:val="00C2341F"/>
    <w:rsid w:val="00E7420E"/>
    <w:rsid w:val="00EE37BB"/>
    <w:rsid w:val="00EE6659"/>
    <w:rsid w:val="00F96AB8"/>
    <w:rsid w:val="00FD3438"/>
    <w:rsid w:val="1C224AF5"/>
    <w:rsid w:val="302D4F60"/>
    <w:rsid w:val="565A3685"/>
    <w:rsid w:val="6620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3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table" w:customStyle="1" w:styleId="19">
    <w:name w:val="三线表"/>
    <w:basedOn w:val="15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pPr>
        <w:wordWrap/>
        <w:jc w:val="center"/>
      </w:p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">
    <w:name w:val="三线表1"/>
    <w:basedOn w:val="15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6" w:space="0"/>
        </w:tcBorders>
      </w:tcPr>
    </w:tblStylePr>
  </w:style>
  <w:style w:type="table" w:customStyle="1" w:styleId="21">
    <w:name w:val="三线表0"/>
    <w:basedOn w:val="15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6" w:space="0"/>
        </w:tcBorders>
      </w:tcPr>
    </w:tblStylePr>
  </w:style>
  <w:style w:type="table" w:customStyle="1" w:styleId="22">
    <w:name w:val="三线表3"/>
    <w:basedOn w:val="15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6" w:space="0"/>
        </w:tcBorders>
      </w:tcPr>
    </w:tblStylePr>
  </w:style>
  <w:style w:type="table" w:customStyle="1" w:styleId="23">
    <w:name w:val="样式1"/>
    <w:basedOn w:val="15"/>
    <w:qFormat/>
    <w:uiPriority w:val="0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6" w:space="0"/>
        </w:tcBorders>
      </w:tcPr>
    </w:tblStylePr>
  </w:style>
  <w:style w:type="table" w:customStyle="1" w:styleId="24">
    <w:name w:val="样式3"/>
    <w:basedOn w:val="15"/>
    <w:qFormat/>
    <w:uiPriority w:val="0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6" w:space="0"/>
        </w:tcBorders>
      </w:tcPr>
    </w:tblStylePr>
  </w:style>
  <w:style w:type="table" w:customStyle="1" w:styleId="25">
    <w:name w:val="样式4"/>
    <w:basedOn w:val="15"/>
    <w:qFormat/>
    <w:uiPriority w:val="0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6" w:space="0"/>
        </w:tcBorders>
      </w:tcPr>
    </w:tblStylePr>
  </w:style>
  <w:style w:type="character" w:customStyle="1" w:styleId="26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27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8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9">
    <w:name w:val="标题 4 字符"/>
    <w:basedOn w:val="17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30">
    <w:name w:val="标题 5 字符"/>
    <w:basedOn w:val="17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31">
    <w:name w:val="标题 6 字符"/>
    <w:basedOn w:val="17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32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Quote"/>
    <w:basedOn w:val="1"/>
    <w:next w:val="1"/>
    <w:link w:val="3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引用 字符"/>
    <w:basedOn w:val="17"/>
    <w:link w:val="3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List Paragraph"/>
    <w:basedOn w:val="1"/>
    <w:qFormat/>
    <w:uiPriority w:val="34"/>
    <w:pPr>
      <w:ind w:left="720"/>
      <w:contextualSpacing/>
    </w:pPr>
  </w:style>
  <w:style w:type="character" w:customStyle="1" w:styleId="40">
    <w:name w:val="明显强调1"/>
    <w:basedOn w:val="17"/>
    <w:qFormat/>
    <w:uiPriority w:val="21"/>
    <w:rPr>
      <w:i/>
      <w:iCs/>
      <w:color w:val="376092" w:themeColor="accent1" w:themeShade="BF"/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42">
    <w:name w:val="明显引用 字符"/>
    <w:basedOn w:val="17"/>
    <w:link w:val="41"/>
    <w:qFormat/>
    <w:uiPriority w:val="30"/>
    <w:rPr>
      <w:i/>
      <w:iCs/>
      <w:color w:val="376092" w:themeColor="accent1" w:themeShade="BF"/>
    </w:rPr>
  </w:style>
  <w:style w:type="character" w:customStyle="1" w:styleId="43">
    <w:name w:val="明显参考1"/>
    <w:basedOn w:val="17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44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45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403</Words>
  <Characters>2111</Characters>
  <DocSecurity>0</DocSecurity>
  <Lines>18</Lines>
  <Paragraphs>5</Paragraphs>
  <ScaleCrop>false</ScaleCrop>
  <LinksUpToDate>false</LinksUpToDate>
  <CharactersWithSpaces>2320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2026-01-12T01:30:00Z</dcterms:created>
  <dcterms:modified xsi:type="dcterms:W3CDTF">2026-01-12T08:32:16Z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eyJoZGlkIjoiNDBmYTYxOWU0ZjlkOWUxZDliMmNiNGMxOTQzNTJlZjMiLCJ1c2VySWQiOiI3MjUxNzI3MDIifQ==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9884E590D7EB42148811545BFBD743BA_12</vt:lpwstr>
  </property>
</Properties>
</file>