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hint="default" w:ascii="Times New Roman" w:hAnsi="Times New Roman" w:cs="Times New Roman"/>
          <w:b w:val="0"/>
          <w:bCs/>
          <w:color w:val="000000" w:themeColor="text1"/>
          <w:szCs w:val="21"/>
          <w14:textFill>
            <w14:solidFill>
              <w14:schemeClr w14:val="tx1"/>
            </w14:solidFill>
          </w14:textFill>
        </w:rPr>
      </w:pPr>
      <w:r>
        <w:rPr>
          <w:rFonts w:hint="default" w:ascii="Times New Roman" w:hAnsi="Times New Roman" w:cs="Times New Roman"/>
          <w:b w:val="0"/>
          <w:bCs/>
          <w:szCs w:val="21"/>
        </w:rPr>
        <w:t xml:space="preserve">Supplementary Information for </w:t>
      </w:r>
      <w:bookmarkStart w:id="0" w:name="OLE_LINK2"/>
      <w:bookmarkStart w:id="4" w:name="_GoBack"/>
      <w:r>
        <w:rPr>
          <w:rFonts w:hint="default" w:ascii="Times New Roman" w:hAnsi="Times New Roman" w:cs="Times New Roman"/>
          <w:b w:val="0"/>
          <w:bCs/>
          <w:i/>
          <w:iCs/>
          <w:color w:val="000000" w:themeColor="text1"/>
          <w:szCs w:val="21"/>
          <w14:textFill>
            <w14:solidFill>
              <w14:schemeClr w14:val="tx1"/>
            </w14:solidFill>
          </w14:textFill>
        </w:rPr>
        <w:t>Longitudinal Trajectories of Perceived Stress During College Transition: The Protective Roles of Psychological Resilience and Social Support</w:t>
      </w:r>
      <w:bookmarkEnd w:id="4"/>
    </w:p>
    <w:bookmarkEnd w:id="0"/>
    <w:p>
      <w:pPr>
        <w:widowControl/>
        <w:ind w:firstLine="0" w:firstLineChars="0"/>
        <w:jc w:val="left"/>
        <w:rPr>
          <w:rFonts w:hint="default" w:ascii="Times New Roman" w:hAnsi="Times New Roman" w:cs="Times New Roman"/>
          <w:b w:val="0"/>
          <w:bCs/>
          <w:sz w:val="20"/>
          <w:szCs w:val="44"/>
        </w:rPr>
      </w:pPr>
    </w:p>
    <w:p>
      <w:pPr>
        <w:widowControl/>
        <w:ind w:firstLine="0" w:firstLineChars="0"/>
        <w:jc w:val="left"/>
        <w:rPr>
          <w:rFonts w:hint="default" w:ascii="Times New Roman" w:hAnsi="Times New Roman" w:cs="Times New Roman"/>
          <w:b w:val="0"/>
          <w:bCs/>
          <w:sz w:val="20"/>
          <w:szCs w:val="44"/>
        </w:rPr>
      </w:pPr>
      <w:r>
        <w:rPr>
          <w:rFonts w:hint="default" w:ascii="Times New Roman" w:hAnsi="Times New Roman" w:cs="Times New Roman"/>
          <w:b w:val="0"/>
          <w:bCs/>
          <w:sz w:val="20"/>
          <w:szCs w:val="44"/>
        </w:rPr>
        <w:t>Jing Han</w:t>
      </w:r>
      <w:r>
        <w:rPr>
          <w:rFonts w:hint="default" w:ascii="Times New Roman" w:hAnsi="Times New Roman" w:cs="Times New Roman"/>
          <w:b w:val="0"/>
          <w:bCs/>
          <w:sz w:val="20"/>
          <w:szCs w:val="44"/>
          <w:vertAlign w:val="superscript"/>
        </w:rPr>
        <w:t>1</w:t>
      </w:r>
      <w:r>
        <w:rPr>
          <w:rFonts w:hint="default" w:ascii="Times New Roman" w:hAnsi="Times New Roman" w:cs="Times New Roman"/>
          <w:b w:val="0"/>
          <w:bCs/>
          <w:sz w:val="20"/>
          <w:szCs w:val="44"/>
        </w:rPr>
        <w:t>, Meijing Chen</w:t>
      </w:r>
      <w:r>
        <w:rPr>
          <w:rFonts w:hint="default" w:ascii="Times New Roman" w:hAnsi="Times New Roman" w:cs="Times New Roman"/>
          <w:b w:val="0"/>
          <w:bCs/>
          <w:sz w:val="20"/>
          <w:szCs w:val="44"/>
          <w:vertAlign w:val="superscript"/>
        </w:rPr>
        <w:t>1</w:t>
      </w:r>
      <w:r>
        <w:rPr>
          <w:rFonts w:hint="default" w:ascii="Times New Roman" w:hAnsi="Times New Roman" w:cs="Times New Roman"/>
          <w:b w:val="0"/>
          <w:bCs/>
          <w:sz w:val="20"/>
          <w:szCs w:val="44"/>
        </w:rPr>
        <w:t>, Xiaoyi Wu</w:t>
      </w:r>
      <w:r>
        <w:rPr>
          <w:rFonts w:hint="default" w:ascii="Times New Roman" w:hAnsi="Times New Roman" w:cs="Times New Roman"/>
          <w:b w:val="0"/>
          <w:bCs/>
          <w:sz w:val="20"/>
          <w:szCs w:val="44"/>
          <w:vertAlign w:val="superscript"/>
        </w:rPr>
        <w:t>1</w:t>
      </w:r>
      <w:r>
        <w:rPr>
          <w:rFonts w:hint="default" w:ascii="Times New Roman" w:hAnsi="Times New Roman" w:cs="Times New Roman"/>
          <w:b w:val="0"/>
          <w:bCs/>
          <w:sz w:val="20"/>
          <w:szCs w:val="44"/>
        </w:rPr>
        <w:t>, Mingjun Xie</w:t>
      </w:r>
      <w:r>
        <w:rPr>
          <w:rFonts w:hint="default" w:ascii="Times New Roman" w:hAnsi="Times New Roman" w:cs="Times New Roman"/>
          <w:b w:val="0"/>
          <w:bCs/>
          <w:sz w:val="20"/>
          <w:szCs w:val="44"/>
          <w:vertAlign w:val="superscript"/>
        </w:rPr>
        <w:t>1</w:t>
      </w:r>
      <w:r>
        <w:rPr>
          <w:rFonts w:hint="default" w:ascii="Times New Roman" w:hAnsi="Times New Roman" w:cs="Times New Roman"/>
          <w:b w:val="0"/>
          <w:bCs/>
          <w:sz w:val="20"/>
          <w:szCs w:val="44"/>
        </w:rPr>
        <w:t>, Yu B</w:t>
      </w:r>
      <w:r>
        <w:rPr>
          <w:rFonts w:hint="default" w:ascii="Times New Roman" w:hAnsi="Times New Roman" w:cs="Times New Roman"/>
          <w:b w:val="0"/>
          <w:bCs/>
          <w:sz w:val="20"/>
          <w:szCs w:val="44"/>
          <w:lang w:val="en-US" w:eastAsia="zh-CN"/>
        </w:rPr>
        <w:t>u</w:t>
      </w:r>
      <w:r>
        <w:rPr>
          <w:rFonts w:hint="default" w:ascii="Times New Roman" w:hAnsi="Times New Roman" w:cs="Times New Roman"/>
          <w:b w:val="0"/>
          <w:bCs/>
          <w:sz w:val="20"/>
          <w:szCs w:val="44"/>
          <w:vertAlign w:val="superscript"/>
        </w:rPr>
        <w:t>1,</w:t>
      </w:r>
      <w:r>
        <w:rPr>
          <w:rFonts w:hint="default" w:ascii="Times New Roman" w:hAnsi="Times New Roman" w:cs="Times New Roman"/>
          <w:b w:val="0"/>
          <w:bCs/>
          <w:sz w:val="20"/>
          <w:szCs w:val="44"/>
        </w:rPr>
        <w:t xml:space="preserve"> Qinglin X</w:t>
      </w:r>
      <w:r>
        <w:rPr>
          <w:rFonts w:hint="default" w:ascii="Times New Roman" w:hAnsi="Times New Roman" w:cs="Times New Roman"/>
          <w:b w:val="0"/>
          <w:bCs/>
          <w:sz w:val="20"/>
          <w:szCs w:val="44"/>
          <w:lang w:val="en-US" w:eastAsia="zh-CN"/>
        </w:rPr>
        <w:t>u</w:t>
      </w:r>
      <w:r>
        <w:rPr>
          <w:rFonts w:hint="default" w:ascii="Times New Roman" w:hAnsi="Times New Roman" w:cs="Times New Roman"/>
          <w:b w:val="0"/>
          <w:bCs/>
          <w:sz w:val="20"/>
          <w:szCs w:val="44"/>
          <w:vertAlign w:val="superscript"/>
        </w:rPr>
        <w:t>1, 2</w:t>
      </w:r>
      <w:r>
        <w:rPr>
          <w:rFonts w:hint="default" w:ascii="Times New Roman" w:hAnsi="Times New Roman" w:cs="Times New Roman"/>
          <w:b w:val="0"/>
          <w:bCs/>
          <w:sz w:val="20"/>
          <w:szCs w:val="44"/>
        </w:rPr>
        <w:t>, Danhua Lin</w:t>
      </w:r>
      <w:r>
        <w:rPr>
          <w:rFonts w:hint="default" w:ascii="Times New Roman" w:hAnsi="Times New Roman" w:cs="Times New Roman"/>
          <w:b w:val="0"/>
          <w:bCs/>
          <w:sz w:val="20"/>
          <w:szCs w:val="44"/>
          <w:vertAlign w:val="superscript"/>
        </w:rPr>
        <w:t>1</w:t>
      </w:r>
    </w:p>
    <w:p>
      <w:pPr>
        <w:ind w:left="0" w:leftChars="0" w:firstLine="0" w:firstLineChars="0"/>
        <w:jc w:val="left"/>
        <w:rPr>
          <w:rFonts w:hint="default" w:ascii="Times New Roman" w:hAnsi="Times New Roman" w:eastAsia="宋体" w:cs="Times New Roman"/>
          <w:b w:val="0"/>
          <w:bCs/>
          <w:sz w:val="20"/>
          <w:szCs w:val="20"/>
          <w:lang w:val="en-US" w:eastAsia="zh-CN"/>
        </w:rPr>
      </w:pPr>
      <w:r>
        <w:rPr>
          <w:rFonts w:hint="default" w:ascii="Times New Roman" w:hAnsi="Times New Roman" w:cs="Times New Roman"/>
          <w:b w:val="0"/>
          <w:bCs/>
          <w:sz w:val="20"/>
          <w:szCs w:val="20"/>
        </w:rPr>
        <w:t>(1 Institute of Developmental Psychology, Beijing Normal University, Beijing , China</w:t>
      </w:r>
      <w:r>
        <w:rPr>
          <w:rFonts w:hint="default" w:ascii="Times New Roman" w:hAnsi="Times New Roman" w:cs="Times New Roman"/>
          <w:b w:val="0"/>
          <w:bCs/>
          <w:sz w:val="20"/>
          <w:szCs w:val="20"/>
          <w:lang w:val="en-US" w:eastAsia="zh-CN"/>
        </w:rPr>
        <w:t>;</w:t>
      </w:r>
    </w:p>
    <w:p>
      <w:pPr>
        <w:ind w:left="0" w:leftChars="0" w:firstLine="0" w:firstLineChars="0"/>
        <w:jc w:val="left"/>
        <w:rPr>
          <w:rFonts w:hint="default" w:ascii="Times New Roman" w:hAnsi="Times New Roman" w:cs="Times New Roman"/>
          <w:b w:val="0"/>
          <w:bCs/>
          <w:szCs w:val="21"/>
        </w:rPr>
      </w:pPr>
      <w:r>
        <w:rPr>
          <w:rFonts w:hint="default" w:ascii="Times New Roman" w:hAnsi="Times New Roman" w:cs="Times New Roman"/>
          <w:b w:val="0"/>
          <w:bCs/>
          <w:sz w:val="20"/>
          <w:szCs w:val="20"/>
        </w:rPr>
        <w:t>2 Mental Health Education and Counseling Center, Beijing Wuzi University, Beijing, China)</w:t>
      </w:r>
    </w:p>
    <w:p>
      <w:pPr>
        <w:spacing w:line="480" w:lineRule="auto"/>
        <w:rPr>
          <w:rFonts w:hint="default" w:ascii="Times New Roman" w:hAnsi="Times New Roman" w:cs="Times New Roman"/>
          <w:b w:val="0"/>
          <w:bCs/>
          <w:szCs w:val="21"/>
          <w:highlight w:val="none"/>
        </w:rPr>
      </w:pPr>
      <w:r>
        <w:rPr>
          <w:rFonts w:hint="default" w:ascii="Times New Roman" w:hAnsi="Times New Roman" w:cs="Times New Roman"/>
          <w:b w:val="0"/>
          <w:bCs/>
          <w:szCs w:val="21"/>
          <w:highlight w:val="none"/>
        </w:rPr>
        <w:t>Supplementary Figure</w:t>
      </w:r>
    </w:p>
    <w:p>
      <w:pPr>
        <w:spacing w:line="480" w:lineRule="auto"/>
        <w:rPr>
          <w:rFonts w:hint="default" w:ascii="Times New Roman" w:hAnsi="Times New Roman" w:cs="Times New Roman"/>
          <w:b w:val="0"/>
          <w:bCs/>
          <w:szCs w:val="21"/>
          <w:highlight w:val="yellow"/>
        </w:rPr>
      </w:pPr>
      <w:r>
        <w:rPr>
          <w:rFonts w:hint="default" w:ascii="Times New Roman" w:hAnsi="Times New Roman" w:cs="Times New Roman"/>
          <w:b w:val="0"/>
          <w:bCs/>
          <w:szCs w:val="21"/>
          <w:highlight w:val="none"/>
        </w:rPr>
        <w:t>Figure S1 The interaction effects of psychological resilience and social support on perceived stress trajectories across different groups.</w:t>
      </w:r>
    </w:p>
    <w:p>
      <w:pPr>
        <w:spacing w:line="480" w:lineRule="auto"/>
        <w:rPr>
          <w:rFonts w:hint="default" w:ascii="Times New Roman" w:hAnsi="Times New Roman" w:cs="Times New Roman"/>
          <w:b w:val="0"/>
          <w:bCs/>
          <w:szCs w:val="21"/>
        </w:rPr>
      </w:pPr>
      <w:r>
        <w:rPr>
          <w:rFonts w:hint="default" w:ascii="Times New Roman" w:hAnsi="Times New Roman" w:cs="Times New Roman"/>
          <w:b w:val="0"/>
          <w:bCs/>
          <w:szCs w:val="21"/>
        </w:rPr>
        <w:t>Supplementary Tables</w:t>
      </w:r>
    </w:p>
    <w:p>
      <w:pPr>
        <w:spacing w:line="480" w:lineRule="auto"/>
        <w:rPr>
          <w:rFonts w:hint="default" w:ascii="Times New Roman" w:hAnsi="Times New Roman" w:cs="Times New Roman"/>
          <w:b w:val="0"/>
          <w:bCs/>
          <w:szCs w:val="21"/>
        </w:rPr>
      </w:pPr>
      <w:r>
        <w:rPr>
          <w:rFonts w:hint="default" w:ascii="Times New Roman" w:hAnsi="Times New Roman" w:cs="Times New Roman"/>
          <w:b w:val="0"/>
          <w:bCs/>
          <w:szCs w:val="21"/>
        </w:rPr>
        <w:t>Table S1 Sample characteristics of first-generation and continuing-generation college students (N = 2326)</w:t>
      </w:r>
    </w:p>
    <w:p>
      <w:pPr>
        <w:spacing w:line="480" w:lineRule="auto"/>
        <w:rPr>
          <w:rFonts w:hint="default" w:ascii="Times New Roman" w:hAnsi="Times New Roman" w:cs="Times New Roman"/>
          <w:b w:val="0"/>
          <w:bCs/>
          <w:szCs w:val="21"/>
        </w:rPr>
      </w:pPr>
      <w:r>
        <w:rPr>
          <w:rFonts w:hint="default" w:ascii="Times New Roman" w:hAnsi="Times New Roman" w:cs="Times New Roman"/>
          <w:b w:val="0"/>
          <w:bCs/>
          <w:szCs w:val="21"/>
        </w:rPr>
        <w:t>Table S2 Model fit statistics for GMM1 results (</w:t>
      </w:r>
      <w:r>
        <w:rPr>
          <w:rFonts w:hint="default" w:ascii="Times New Roman" w:hAnsi="Times New Roman" w:cs="Times New Roman"/>
          <w:b w:val="0"/>
          <w:bCs/>
          <w:i/>
          <w:iCs/>
          <w:szCs w:val="21"/>
        </w:rPr>
        <w:t>N</w:t>
      </w:r>
      <w:r>
        <w:rPr>
          <w:rFonts w:hint="default" w:ascii="Times New Roman" w:hAnsi="Times New Roman" w:cs="Times New Roman"/>
          <w:b w:val="0"/>
          <w:bCs/>
          <w:szCs w:val="21"/>
        </w:rPr>
        <w:t xml:space="preserve"> = 2326)</w:t>
      </w:r>
    </w:p>
    <w:p>
      <w:pPr>
        <w:spacing w:line="480" w:lineRule="auto"/>
        <w:rPr>
          <w:rFonts w:hint="default" w:ascii="Times New Roman" w:hAnsi="Times New Roman" w:cs="Times New Roman"/>
          <w:b w:val="0"/>
          <w:bCs/>
          <w:szCs w:val="21"/>
        </w:rPr>
      </w:pPr>
      <w:r>
        <w:rPr>
          <w:rFonts w:hint="default" w:ascii="Times New Roman" w:hAnsi="Times New Roman" w:cs="Times New Roman"/>
          <w:b w:val="0"/>
          <w:bCs/>
          <w:szCs w:val="21"/>
        </w:rPr>
        <w:t>Table S3 Model fit statistics for GMM2 results (</w:t>
      </w:r>
      <w:r>
        <w:rPr>
          <w:rFonts w:hint="default" w:ascii="Times New Roman" w:hAnsi="Times New Roman" w:cs="Times New Roman"/>
          <w:b w:val="0"/>
          <w:bCs/>
          <w:i/>
          <w:iCs/>
          <w:szCs w:val="21"/>
        </w:rPr>
        <w:t>N</w:t>
      </w:r>
      <w:r>
        <w:rPr>
          <w:rFonts w:hint="default" w:ascii="Times New Roman" w:hAnsi="Times New Roman" w:cs="Times New Roman"/>
          <w:b w:val="0"/>
          <w:bCs/>
          <w:szCs w:val="21"/>
        </w:rPr>
        <w:t xml:space="preserve"> = 2326)</w:t>
      </w:r>
    </w:p>
    <w:p>
      <w:pPr>
        <w:spacing w:line="480" w:lineRule="auto"/>
        <w:rPr>
          <w:rFonts w:hint="default" w:ascii="Times New Roman" w:hAnsi="Times New Roman" w:cs="Times New Roman"/>
          <w:b w:val="0"/>
          <w:bCs/>
          <w:szCs w:val="21"/>
        </w:rPr>
      </w:pPr>
      <w:r>
        <w:rPr>
          <w:rFonts w:hint="default" w:ascii="Times New Roman" w:hAnsi="Times New Roman" w:cs="Times New Roman"/>
          <w:b w:val="0"/>
          <w:bCs/>
          <w:szCs w:val="21"/>
        </w:rPr>
        <w:t>Table S4 Descriptive results of the three latent patterns of perceived stress trajectories</w:t>
      </w:r>
    </w:p>
    <w:p>
      <w:pPr>
        <w:spacing w:line="480" w:lineRule="auto"/>
        <w:rPr>
          <w:rFonts w:hint="default" w:ascii="Times New Roman" w:hAnsi="Times New Roman" w:cs="Times New Roman"/>
          <w:b w:val="0"/>
          <w:bCs/>
          <w:szCs w:val="21"/>
        </w:rPr>
      </w:pPr>
      <w:r>
        <w:rPr>
          <w:rFonts w:hint="default" w:ascii="Times New Roman" w:hAnsi="Times New Roman" w:cs="Times New Roman"/>
          <w:b w:val="0"/>
          <w:bCs/>
          <w:szCs w:val="21"/>
        </w:rPr>
        <w:t>Table S5 Multinomial logistic regression of baseline psychological resilience and social support on trajectory patterns of perceived stress among FGCS and CGCS</w:t>
      </w:r>
    </w:p>
    <w:p>
      <w:pPr>
        <w:spacing w:line="360" w:lineRule="auto"/>
        <w:ind w:left="800" w:hanging="600" w:hangingChars="400"/>
        <w:jc w:val="center"/>
        <w:rPr>
          <w:rFonts w:ascii="Times New Roman" w:hAnsi="Times New Roman" w:eastAsia="宋体" w:cs="Times New Roman"/>
          <w:sz w:val="20"/>
          <w:szCs w:val="20"/>
          <w:shd w:val="clear" w:color="auto" w:fill="FFFFFF"/>
        </w:rPr>
      </w:pPr>
      <w:r>
        <w:rPr>
          <w:rFonts w:hint="eastAsia" w:eastAsia="等线 Light"/>
          <w:sz w:val="15"/>
          <w:szCs w:val="15"/>
        </w:rPr>
        <w:object>
          <v:shape id="_x0000_i1025" o:spt="75" type="#_x0000_t75" style="height:307.95pt;width:412.7pt;" o:ole="t" filled="f" o:preferrelative="t" stroked="f" coordsize="21600,21600">
            <v:path/>
            <v:fill on="f" focussize="0,0"/>
            <v:stroke on="f"/>
            <v:imagedata r:id="rId6" o:title=""/>
            <o:lock v:ext="edit" aspectratio="f"/>
            <w10:wrap type="none"/>
            <w10:anchorlock/>
          </v:shape>
          <o:OLEObject Type="Embed" ProgID="Visio.DrawingConvertable.15" ShapeID="_x0000_i1025" DrawAspect="Content" ObjectID="_1468075725" r:id="rId5">
            <o:LockedField>false</o:LockedField>
          </o:OLEObject>
        </w:object>
      </w:r>
    </w:p>
    <w:p>
      <w:pPr>
        <w:spacing w:line="360" w:lineRule="auto"/>
        <w:jc w:val="center"/>
        <w:rPr>
          <w:rFonts w:hint="default" w:ascii="Times New Roman" w:hAnsi="Times New Roman" w:cs="Times New Roman"/>
          <w:b w:val="0"/>
          <w:bCs/>
          <w:sz w:val="20"/>
          <w:szCs w:val="20"/>
        </w:rPr>
      </w:pPr>
      <w:r>
        <w:rPr>
          <w:rFonts w:hint="default" w:ascii="Times New Roman" w:hAnsi="Times New Roman" w:cs="Times New Roman"/>
          <w:b w:val="0"/>
          <w:bCs/>
          <w:sz w:val="20"/>
          <w:szCs w:val="20"/>
        </w:rPr>
        <w:t xml:space="preserve">Fig. S1 The </w:t>
      </w:r>
      <w:r>
        <w:rPr>
          <w:rFonts w:hint="eastAsia" w:ascii="Times New Roman" w:hAnsi="Times New Roman" w:cs="Times New Roman"/>
          <w:b w:val="0"/>
          <w:bCs/>
          <w:sz w:val="20"/>
          <w:szCs w:val="20"/>
          <w:lang w:val="en-US" w:eastAsia="zh-CN"/>
        </w:rPr>
        <w:t>i</w:t>
      </w:r>
      <w:r>
        <w:rPr>
          <w:rFonts w:hint="default" w:ascii="Times New Roman" w:hAnsi="Times New Roman" w:cs="Times New Roman"/>
          <w:b w:val="0"/>
          <w:bCs/>
          <w:sz w:val="20"/>
          <w:szCs w:val="20"/>
        </w:rPr>
        <w:t xml:space="preserve">nteraction </w:t>
      </w:r>
      <w:r>
        <w:rPr>
          <w:rFonts w:hint="eastAsia" w:ascii="Times New Roman" w:hAnsi="Times New Roman" w:cs="Times New Roman"/>
          <w:b w:val="0"/>
          <w:bCs/>
          <w:sz w:val="20"/>
          <w:szCs w:val="20"/>
          <w:lang w:val="en-US" w:eastAsia="zh-CN"/>
        </w:rPr>
        <w:t>e</w:t>
      </w:r>
      <w:r>
        <w:rPr>
          <w:rFonts w:hint="default" w:ascii="Times New Roman" w:hAnsi="Times New Roman" w:cs="Times New Roman"/>
          <w:b w:val="0"/>
          <w:bCs/>
          <w:sz w:val="20"/>
          <w:szCs w:val="20"/>
        </w:rPr>
        <w:t xml:space="preserve">ffects of </w:t>
      </w:r>
      <w:r>
        <w:rPr>
          <w:rFonts w:hint="eastAsia" w:ascii="Times New Roman" w:hAnsi="Times New Roman" w:cs="Times New Roman"/>
          <w:b w:val="0"/>
          <w:bCs/>
          <w:sz w:val="20"/>
          <w:szCs w:val="20"/>
          <w:lang w:val="en-US" w:eastAsia="zh-CN"/>
        </w:rPr>
        <w:t>p</w:t>
      </w:r>
      <w:r>
        <w:rPr>
          <w:rFonts w:hint="default" w:ascii="Times New Roman" w:hAnsi="Times New Roman" w:cs="Times New Roman"/>
          <w:b w:val="0"/>
          <w:bCs/>
          <w:sz w:val="20"/>
          <w:szCs w:val="20"/>
        </w:rPr>
        <w:t xml:space="preserve">sychological </w:t>
      </w:r>
      <w:r>
        <w:rPr>
          <w:rFonts w:hint="eastAsia" w:ascii="Times New Roman" w:hAnsi="Times New Roman" w:cs="Times New Roman"/>
          <w:b w:val="0"/>
          <w:bCs/>
          <w:sz w:val="20"/>
          <w:szCs w:val="20"/>
          <w:lang w:val="en-US" w:eastAsia="zh-CN"/>
        </w:rPr>
        <w:t>r</w:t>
      </w:r>
      <w:r>
        <w:rPr>
          <w:rFonts w:hint="default" w:ascii="Times New Roman" w:hAnsi="Times New Roman" w:cs="Times New Roman"/>
          <w:b w:val="0"/>
          <w:bCs/>
          <w:sz w:val="20"/>
          <w:szCs w:val="20"/>
        </w:rPr>
        <w:t xml:space="preserve">esilience and </w:t>
      </w:r>
      <w:r>
        <w:rPr>
          <w:rFonts w:hint="eastAsia" w:ascii="Times New Roman" w:hAnsi="Times New Roman" w:cs="Times New Roman"/>
          <w:b w:val="0"/>
          <w:bCs/>
          <w:sz w:val="20"/>
          <w:szCs w:val="20"/>
          <w:lang w:val="en-US" w:eastAsia="zh-CN"/>
        </w:rPr>
        <w:t>s</w:t>
      </w:r>
      <w:r>
        <w:rPr>
          <w:rFonts w:hint="default" w:ascii="Times New Roman" w:hAnsi="Times New Roman" w:cs="Times New Roman"/>
          <w:b w:val="0"/>
          <w:bCs/>
          <w:sz w:val="20"/>
          <w:szCs w:val="20"/>
        </w:rPr>
        <w:t xml:space="preserve">ocial </w:t>
      </w:r>
      <w:r>
        <w:rPr>
          <w:rFonts w:hint="eastAsia" w:ascii="Times New Roman" w:hAnsi="Times New Roman" w:cs="Times New Roman"/>
          <w:b w:val="0"/>
          <w:bCs/>
          <w:sz w:val="20"/>
          <w:szCs w:val="20"/>
          <w:lang w:val="en-US" w:eastAsia="zh-CN"/>
        </w:rPr>
        <w:t>s</w:t>
      </w:r>
      <w:r>
        <w:rPr>
          <w:rFonts w:hint="default" w:ascii="Times New Roman" w:hAnsi="Times New Roman" w:cs="Times New Roman"/>
          <w:b w:val="0"/>
          <w:bCs/>
          <w:sz w:val="20"/>
          <w:szCs w:val="20"/>
        </w:rPr>
        <w:t xml:space="preserve">upport on </w:t>
      </w:r>
      <w:r>
        <w:rPr>
          <w:rFonts w:hint="eastAsia" w:ascii="Times New Roman" w:hAnsi="Times New Roman" w:cs="Times New Roman"/>
          <w:b w:val="0"/>
          <w:bCs/>
          <w:sz w:val="20"/>
          <w:szCs w:val="20"/>
          <w:lang w:val="en-US" w:eastAsia="zh-CN"/>
        </w:rPr>
        <w:t>p</w:t>
      </w:r>
      <w:r>
        <w:rPr>
          <w:rFonts w:hint="default" w:ascii="Times New Roman" w:hAnsi="Times New Roman" w:cs="Times New Roman"/>
          <w:b w:val="0"/>
          <w:bCs/>
          <w:sz w:val="20"/>
          <w:szCs w:val="20"/>
        </w:rPr>
        <w:t xml:space="preserve">erceived </w:t>
      </w:r>
      <w:r>
        <w:rPr>
          <w:rFonts w:hint="eastAsia" w:ascii="Times New Roman" w:hAnsi="Times New Roman" w:cs="Times New Roman"/>
          <w:b w:val="0"/>
          <w:bCs/>
          <w:sz w:val="20"/>
          <w:szCs w:val="20"/>
          <w:lang w:val="en-US" w:eastAsia="zh-CN"/>
        </w:rPr>
        <w:t>s</w:t>
      </w:r>
      <w:r>
        <w:rPr>
          <w:rFonts w:hint="default" w:ascii="Times New Roman" w:hAnsi="Times New Roman" w:cs="Times New Roman"/>
          <w:b w:val="0"/>
          <w:bCs/>
          <w:sz w:val="20"/>
          <w:szCs w:val="20"/>
        </w:rPr>
        <w:t xml:space="preserve">tress </w:t>
      </w:r>
      <w:r>
        <w:rPr>
          <w:rFonts w:hint="eastAsia" w:ascii="Times New Roman" w:hAnsi="Times New Roman" w:cs="Times New Roman"/>
          <w:b w:val="0"/>
          <w:bCs/>
          <w:sz w:val="20"/>
          <w:szCs w:val="20"/>
          <w:lang w:val="en-US" w:eastAsia="zh-CN"/>
        </w:rPr>
        <w:t>t</w:t>
      </w:r>
      <w:r>
        <w:rPr>
          <w:rFonts w:hint="default" w:ascii="Times New Roman" w:hAnsi="Times New Roman" w:cs="Times New Roman"/>
          <w:b w:val="0"/>
          <w:bCs/>
          <w:sz w:val="20"/>
          <w:szCs w:val="20"/>
        </w:rPr>
        <w:t xml:space="preserve">rajectories </w:t>
      </w:r>
      <w:r>
        <w:rPr>
          <w:rFonts w:hint="eastAsia" w:ascii="Times New Roman" w:hAnsi="Times New Roman" w:cs="Times New Roman"/>
          <w:b w:val="0"/>
          <w:bCs/>
          <w:sz w:val="20"/>
          <w:szCs w:val="20"/>
          <w:lang w:val="en-US" w:eastAsia="zh-CN"/>
        </w:rPr>
        <w:t>a</w:t>
      </w:r>
      <w:r>
        <w:rPr>
          <w:rFonts w:hint="default" w:ascii="Times New Roman" w:hAnsi="Times New Roman" w:cs="Times New Roman"/>
          <w:b w:val="0"/>
          <w:bCs/>
          <w:sz w:val="20"/>
          <w:szCs w:val="20"/>
        </w:rPr>
        <w:t xml:space="preserve">cross </w:t>
      </w:r>
      <w:r>
        <w:rPr>
          <w:rFonts w:hint="eastAsia" w:ascii="Times New Roman" w:hAnsi="Times New Roman" w:cs="Times New Roman"/>
          <w:b w:val="0"/>
          <w:bCs/>
          <w:sz w:val="20"/>
          <w:szCs w:val="20"/>
          <w:lang w:val="en-US" w:eastAsia="zh-CN"/>
        </w:rPr>
        <w:t>d</w:t>
      </w:r>
      <w:r>
        <w:rPr>
          <w:rFonts w:hint="default" w:ascii="Times New Roman" w:hAnsi="Times New Roman" w:cs="Times New Roman"/>
          <w:b w:val="0"/>
          <w:bCs/>
          <w:sz w:val="20"/>
          <w:szCs w:val="20"/>
        </w:rPr>
        <w:t xml:space="preserve">ifferent </w:t>
      </w:r>
      <w:r>
        <w:rPr>
          <w:rFonts w:hint="eastAsia" w:ascii="Times New Roman" w:hAnsi="Times New Roman" w:cs="Times New Roman"/>
          <w:b w:val="0"/>
          <w:bCs/>
          <w:sz w:val="20"/>
          <w:szCs w:val="20"/>
          <w:lang w:val="en-US" w:eastAsia="zh-CN"/>
        </w:rPr>
        <w:t>g</w:t>
      </w:r>
      <w:r>
        <w:rPr>
          <w:rFonts w:hint="default" w:ascii="Times New Roman" w:hAnsi="Times New Roman" w:cs="Times New Roman"/>
          <w:b w:val="0"/>
          <w:bCs/>
          <w:sz w:val="20"/>
          <w:szCs w:val="20"/>
        </w:rPr>
        <w:t>roups.</w:t>
      </w:r>
    </w:p>
    <w:p>
      <w:pPr>
        <w:rPr>
          <w:rFonts w:hint="default" w:ascii="Times New Roman" w:hAnsi="Times New Roman" w:cs="Times New Roman"/>
          <w:b w:val="0"/>
          <w:bCs/>
        </w:rPr>
      </w:pPr>
      <w:r>
        <w:rPr>
          <w:rFonts w:hint="eastAsia" w:ascii="Times New Roman" w:hAnsi="Times New Roman" w:cs="Times New Roman"/>
          <w:b w:val="0"/>
          <w:bCs/>
          <w:sz w:val="20"/>
          <w:szCs w:val="20"/>
        </w:rPr>
        <w:t xml:space="preserve">Note. Simple slope plots for (A) FGCS in the comparison between the high-stable </w:t>
      </w:r>
      <w:r>
        <w:rPr>
          <w:rFonts w:hint="eastAsia" w:ascii="Times New Roman" w:hAnsi="Times New Roman" w:cs="Times New Roman"/>
          <w:b w:val="0"/>
          <w:bCs/>
          <w:sz w:val="20"/>
          <w:szCs w:val="20"/>
          <w:lang w:val="en-US" w:eastAsia="zh-CN"/>
        </w:rPr>
        <w:t xml:space="preserve">trajectory </w:t>
      </w:r>
      <w:r>
        <w:rPr>
          <w:rFonts w:hint="eastAsia" w:ascii="Times New Roman" w:hAnsi="Times New Roman" w:cs="Times New Roman"/>
          <w:b w:val="0"/>
          <w:bCs/>
          <w:sz w:val="20"/>
          <w:szCs w:val="20"/>
        </w:rPr>
        <w:t xml:space="preserve">and </w:t>
      </w:r>
      <w:r>
        <w:rPr>
          <w:rFonts w:hint="eastAsia" w:ascii="Times New Roman" w:hAnsi="Times New Roman" w:cs="Times New Roman"/>
          <w:b w:val="0"/>
          <w:bCs/>
          <w:sz w:val="20"/>
          <w:szCs w:val="20"/>
          <w:lang w:val="en-US" w:eastAsia="zh-CN"/>
        </w:rPr>
        <w:t>l</w:t>
      </w:r>
      <w:r>
        <w:rPr>
          <w:rFonts w:hint="default" w:ascii="Times New Roman" w:hAnsi="Times New Roman" w:cs="Times New Roman"/>
          <w:b w:val="0"/>
          <w:bCs/>
          <w:sz w:val="20"/>
          <w:szCs w:val="20"/>
        </w:rPr>
        <w:t>ow</w:t>
      </w:r>
      <w:r>
        <w:rPr>
          <w:rFonts w:hint="eastAsia" w:ascii="Times New Roman" w:hAnsi="Times New Roman" w:cs="Times New Roman"/>
          <w:b w:val="0"/>
          <w:bCs/>
          <w:sz w:val="20"/>
          <w:szCs w:val="20"/>
          <w:lang w:val="en-US" w:eastAsia="zh-CN"/>
        </w:rPr>
        <w:t>-</w:t>
      </w:r>
      <w:r>
        <w:rPr>
          <w:rFonts w:hint="default" w:ascii="Times New Roman" w:hAnsi="Times New Roman" w:cs="Times New Roman"/>
          <w:b w:val="0"/>
          <w:bCs/>
          <w:sz w:val="20"/>
          <w:szCs w:val="20"/>
        </w:rPr>
        <w:t>decreasing-increasing</w:t>
      </w:r>
      <w:r>
        <w:rPr>
          <w:rFonts w:hint="eastAsia" w:ascii="Times New Roman" w:hAnsi="Times New Roman" w:cs="Times New Roman"/>
          <w:b w:val="0"/>
          <w:bCs/>
          <w:sz w:val="20"/>
          <w:szCs w:val="20"/>
          <w:lang w:val="en-US" w:eastAsia="zh-CN"/>
        </w:rPr>
        <w:t xml:space="preserve"> trajectory</w:t>
      </w:r>
      <w:r>
        <w:rPr>
          <w:rFonts w:hint="eastAsia" w:ascii="Times New Roman" w:hAnsi="Times New Roman" w:cs="Times New Roman"/>
          <w:b w:val="0"/>
          <w:bCs/>
          <w:sz w:val="20"/>
          <w:szCs w:val="20"/>
        </w:rPr>
        <w:t xml:space="preserve">; (B) continuing-generation students in the comparison between the high-stable </w:t>
      </w:r>
      <w:r>
        <w:rPr>
          <w:rFonts w:hint="eastAsia" w:ascii="Times New Roman" w:hAnsi="Times New Roman" w:cs="Times New Roman"/>
          <w:b w:val="0"/>
          <w:bCs/>
          <w:sz w:val="20"/>
          <w:szCs w:val="20"/>
          <w:lang w:val="en-US" w:eastAsia="zh-CN"/>
        </w:rPr>
        <w:t>trajectory</w:t>
      </w:r>
      <w:r>
        <w:rPr>
          <w:rFonts w:hint="eastAsia" w:ascii="Times New Roman" w:hAnsi="Times New Roman" w:cs="Times New Roman"/>
          <w:b w:val="0"/>
          <w:bCs/>
          <w:sz w:val="20"/>
          <w:szCs w:val="20"/>
        </w:rPr>
        <w:t xml:space="preserve"> and </w:t>
      </w:r>
      <w:r>
        <w:rPr>
          <w:rFonts w:hint="eastAsia" w:ascii="Times New Roman" w:hAnsi="Times New Roman" w:cs="Times New Roman"/>
          <w:b w:val="0"/>
          <w:bCs/>
          <w:sz w:val="20"/>
          <w:szCs w:val="20"/>
          <w:lang w:val="en-US" w:eastAsia="zh-CN"/>
        </w:rPr>
        <w:t>l</w:t>
      </w:r>
      <w:r>
        <w:rPr>
          <w:rFonts w:hint="default" w:ascii="Times New Roman" w:hAnsi="Times New Roman" w:cs="Times New Roman"/>
          <w:b w:val="0"/>
          <w:bCs/>
          <w:sz w:val="20"/>
          <w:szCs w:val="20"/>
        </w:rPr>
        <w:t>ow-decreasing-increasing</w:t>
      </w:r>
      <w:r>
        <w:rPr>
          <w:rFonts w:hint="eastAsia" w:ascii="Times New Roman" w:hAnsi="Times New Roman" w:cs="Times New Roman"/>
          <w:b w:val="0"/>
          <w:bCs/>
          <w:sz w:val="20"/>
          <w:szCs w:val="20"/>
          <w:lang w:val="en-US" w:eastAsia="zh-CN"/>
        </w:rPr>
        <w:t xml:space="preserve"> trajectory</w:t>
      </w:r>
      <w:r>
        <w:rPr>
          <w:rFonts w:hint="eastAsia" w:ascii="Times New Roman" w:hAnsi="Times New Roman" w:cs="Times New Roman"/>
          <w:b w:val="0"/>
          <w:bCs/>
          <w:sz w:val="20"/>
          <w:szCs w:val="20"/>
        </w:rPr>
        <w:t xml:space="preserve">; (C) FGCS in the comparison between the </w:t>
      </w:r>
      <w:r>
        <w:rPr>
          <w:rFonts w:hint="eastAsia" w:ascii="Times New Roman" w:hAnsi="Times New Roman" w:cs="Times New Roman"/>
          <w:b w:val="0"/>
          <w:bCs/>
          <w:sz w:val="20"/>
          <w:szCs w:val="20"/>
          <w:lang w:val="en-US" w:eastAsia="zh-CN"/>
        </w:rPr>
        <w:t>m</w:t>
      </w:r>
      <w:r>
        <w:rPr>
          <w:rFonts w:hint="eastAsia" w:ascii="Times New Roman" w:hAnsi="Times New Roman" w:cs="Times New Roman"/>
          <w:b w:val="0"/>
          <w:bCs/>
          <w:sz w:val="20"/>
          <w:szCs w:val="20"/>
          <w:lang w:eastAsia="zh-CN"/>
        </w:rPr>
        <w:t>iddle-</w:t>
      </w:r>
      <w:r>
        <w:rPr>
          <w:rFonts w:hint="default" w:ascii="Times New Roman" w:hAnsi="Times New Roman" w:cs="Times New Roman"/>
          <w:b w:val="0"/>
          <w:bCs/>
          <w:sz w:val="20"/>
          <w:szCs w:val="20"/>
        </w:rPr>
        <w:t>decreasing-increasing</w:t>
      </w:r>
      <w:r>
        <w:rPr>
          <w:rFonts w:hint="eastAsia" w:ascii="Times New Roman" w:hAnsi="Times New Roman" w:cs="Times New Roman"/>
          <w:b w:val="0"/>
          <w:bCs/>
          <w:sz w:val="20"/>
          <w:szCs w:val="20"/>
        </w:rPr>
        <w:t xml:space="preserve"> </w:t>
      </w:r>
      <w:r>
        <w:rPr>
          <w:rFonts w:hint="eastAsia" w:ascii="Times New Roman" w:hAnsi="Times New Roman" w:cs="Times New Roman"/>
          <w:b w:val="0"/>
          <w:bCs/>
          <w:sz w:val="20"/>
          <w:szCs w:val="20"/>
          <w:lang w:val="en-US" w:eastAsia="zh-CN"/>
        </w:rPr>
        <w:t xml:space="preserve">trajectory </w:t>
      </w:r>
      <w:r>
        <w:rPr>
          <w:rFonts w:hint="eastAsia" w:ascii="Times New Roman" w:hAnsi="Times New Roman" w:cs="Times New Roman"/>
          <w:b w:val="0"/>
          <w:bCs/>
          <w:sz w:val="20"/>
          <w:szCs w:val="20"/>
        </w:rPr>
        <w:t xml:space="preserve">and </w:t>
      </w:r>
      <w:r>
        <w:rPr>
          <w:rFonts w:hint="eastAsia" w:ascii="Times New Roman" w:hAnsi="Times New Roman" w:cs="Times New Roman"/>
          <w:b w:val="0"/>
          <w:bCs/>
          <w:sz w:val="20"/>
          <w:szCs w:val="20"/>
          <w:lang w:val="en-US" w:eastAsia="zh-CN"/>
        </w:rPr>
        <w:t>l</w:t>
      </w:r>
      <w:r>
        <w:rPr>
          <w:rFonts w:hint="default" w:ascii="Times New Roman" w:hAnsi="Times New Roman" w:cs="Times New Roman"/>
          <w:b w:val="0"/>
          <w:bCs/>
          <w:sz w:val="20"/>
          <w:szCs w:val="20"/>
        </w:rPr>
        <w:t>ow-decreasing-increasing</w:t>
      </w:r>
      <w:r>
        <w:rPr>
          <w:rFonts w:hint="eastAsia" w:ascii="Times New Roman" w:hAnsi="Times New Roman" w:cs="Times New Roman"/>
          <w:b w:val="0"/>
          <w:bCs/>
          <w:sz w:val="20"/>
          <w:szCs w:val="20"/>
          <w:lang w:val="en-US" w:eastAsia="zh-CN"/>
        </w:rPr>
        <w:t xml:space="preserve"> trajectory</w:t>
      </w:r>
      <w:r>
        <w:rPr>
          <w:rFonts w:hint="eastAsia" w:ascii="Times New Roman" w:hAnsi="Times New Roman" w:cs="Times New Roman"/>
          <w:b w:val="0"/>
          <w:bCs/>
          <w:sz w:val="20"/>
          <w:szCs w:val="20"/>
        </w:rPr>
        <w:t xml:space="preserve">; (D) </w:t>
      </w:r>
      <w:r>
        <w:rPr>
          <w:rFonts w:hint="eastAsia" w:ascii="Times New Roman" w:hAnsi="Times New Roman" w:cs="Times New Roman"/>
          <w:b w:val="0"/>
          <w:bCs/>
          <w:sz w:val="20"/>
          <w:szCs w:val="20"/>
          <w:lang w:val="en-US" w:eastAsia="zh-CN"/>
        </w:rPr>
        <w:t>C</w:t>
      </w:r>
      <w:r>
        <w:rPr>
          <w:rFonts w:hint="eastAsia" w:ascii="Times New Roman" w:hAnsi="Times New Roman" w:cs="Times New Roman"/>
          <w:b w:val="0"/>
          <w:bCs/>
          <w:sz w:val="20"/>
          <w:szCs w:val="20"/>
        </w:rPr>
        <w:t xml:space="preserve">GCS in the comparison between the </w:t>
      </w:r>
      <w:r>
        <w:rPr>
          <w:rFonts w:hint="eastAsia" w:ascii="Times New Roman" w:hAnsi="Times New Roman" w:cs="Times New Roman"/>
          <w:b w:val="0"/>
          <w:bCs/>
          <w:sz w:val="20"/>
          <w:szCs w:val="20"/>
          <w:lang w:val="en-US" w:eastAsia="zh-CN"/>
        </w:rPr>
        <w:t>m</w:t>
      </w:r>
      <w:r>
        <w:rPr>
          <w:rFonts w:hint="eastAsia" w:ascii="Times New Roman" w:hAnsi="Times New Roman" w:cs="Times New Roman"/>
          <w:b w:val="0"/>
          <w:bCs/>
          <w:sz w:val="20"/>
          <w:szCs w:val="20"/>
          <w:lang w:eastAsia="zh-CN"/>
        </w:rPr>
        <w:t>iddle-</w:t>
      </w:r>
      <w:r>
        <w:rPr>
          <w:rFonts w:hint="default" w:ascii="Times New Roman" w:hAnsi="Times New Roman" w:cs="Times New Roman"/>
          <w:b w:val="0"/>
          <w:bCs/>
          <w:sz w:val="20"/>
          <w:szCs w:val="20"/>
        </w:rPr>
        <w:t>decreasing-increasing</w:t>
      </w:r>
      <w:r>
        <w:rPr>
          <w:rFonts w:hint="eastAsia" w:ascii="Times New Roman" w:hAnsi="Times New Roman" w:cs="Times New Roman"/>
          <w:b w:val="0"/>
          <w:bCs/>
          <w:sz w:val="20"/>
          <w:szCs w:val="20"/>
        </w:rPr>
        <w:t xml:space="preserve"> </w:t>
      </w:r>
      <w:r>
        <w:rPr>
          <w:rFonts w:hint="eastAsia" w:ascii="Times New Roman" w:hAnsi="Times New Roman" w:cs="Times New Roman"/>
          <w:b w:val="0"/>
          <w:bCs/>
          <w:sz w:val="20"/>
          <w:szCs w:val="20"/>
          <w:lang w:val="en-US" w:eastAsia="zh-CN"/>
        </w:rPr>
        <w:t xml:space="preserve">trajectory </w:t>
      </w:r>
      <w:r>
        <w:rPr>
          <w:rFonts w:hint="eastAsia" w:ascii="Times New Roman" w:hAnsi="Times New Roman" w:cs="Times New Roman"/>
          <w:b w:val="0"/>
          <w:bCs/>
          <w:sz w:val="20"/>
          <w:szCs w:val="20"/>
        </w:rPr>
        <w:t xml:space="preserve">and </w:t>
      </w:r>
      <w:r>
        <w:rPr>
          <w:rFonts w:hint="eastAsia" w:ascii="Times New Roman" w:hAnsi="Times New Roman" w:cs="Times New Roman"/>
          <w:b w:val="0"/>
          <w:bCs/>
          <w:sz w:val="20"/>
          <w:szCs w:val="20"/>
          <w:lang w:val="en-US" w:eastAsia="zh-CN"/>
        </w:rPr>
        <w:t>l</w:t>
      </w:r>
      <w:r>
        <w:rPr>
          <w:rFonts w:hint="default" w:ascii="Times New Roman" w:hAnsi="Times New Roman" w:cs="Times New Roman"/>
          <w:b w:val="0"/>
          <w:bCs/>
          <w:sz w:val="20"/>
          <w:szCs w:val="20"/>
        </w:rPr>
        <w:t>ow-decreasing-increasing</w:t>
      </w:r>
      <w:r>
        <w:rPr>
          <w:rFonts w:hint="eastAsia" w:ascii="Times New Roman" w:hAnsi="Times New Roman" w:cs="Times New Roman"/>
          <w:b w:val="0"/>
          <w:bCs/>
          <w:sz w:val="20"/>
          <w:szCs w:val="20"/>
          <w:lang w:val="en-US" w:eastAsia="zh-CN"/>
        </w:rPr>
        <w:t xml:space="preserve"> trajectory</w:t>
      </w:r>
      <w:r>
        <w:rPr>
          <w:rFonts w:hint="eastAsia" w:ascii="Times New Roman" w:hAnsi="Times New Roman" w:cs="Times New Roman"/>
          <w:b w:val="0"/>
          <w:bCs/>
          <w:sz w:val="20"/>
          <w:szCs w:val="20"/>
        </w:rPr>
        <w:t>.</w:t>
      </w:r>
      <w:r>
        <w:rPr>
          <w:rFonts w:hint="default" w:ascii="Times New Roman" w:hAnsi="Times New Roman" w:cs="Times New Roman"/>
          <w:b w:val="0"/>
          <w:bCs/>
        </w:rPr>
        <w:br w:type="page"/>
      </w:r>
    </w:p>
    <w:p>
      <w:pPr>
        <w:spacing w:line="360" w:lineRule="auto"/>
        <w:jc w:val="center"/>
        <w:rPr>
          <w:rFonts w:hint="default" w:ascii="Times New Roman" w:hAnsi="Times New Roman" w:cs="Times New Roman"/>
          <w:b w:val="0"/>
          <w:bCs/>
          <w:sz w:val="20"/>
          <w:szCs w:val="20"/>
        </w:rPr>
      </w:pPr>
      <w:bookmarkStart w:id="1" w:name="_Hlk192344866"/>
      <w:r>
        <w:rPr>
          <w:rFonts w:hint="default" w:ascii="Times New Roman" w:hAnsi="Times New Roman" w:cs="Times New Roman"/>
          <w:b w:val="0"/>
          <w:bCs/>
          <w:sz w:val="20"/>
          <w:szCs w:val="20"/>
        </w:rPr>
        <w:t xml:space="preserve">Table S1 Sample </w:t>
      </w:r>
      <w:r>
        <w:rPr>
          <w:rFonts w:hint="default" w:ascii="Times New Roman" w:hAnsi="Times New Roman" w:cs="Times New Roman"/>
          <w:b w:val="0"/>
          <w:bCs/>
          <w:sz w:val="20"/>
          <w:szCs w:val="20"/>
          <w:lang w:val="en-US" w:eastAsia="zh-CN"/>
        </w:rPr>
        <w:t>c</w:t>
      </w:r>
      <w:r>
        <w:rPr>
          <w:rFonts w:hint="default" w:ascii="Times New Roman" w:hAnsi="Times New Roman" w:cs="Times New Roman"/>
          <w:b w:val="0"/>
          <w:bCs/>
          <w:sz w:val="20"/>
          <w:szCs w:val="20"/>
        </w:rPr>
        <w:t xml:space="preserve">haracteristics of </w:t>
      </w:r>
      <w:r>
        <w:rPr>
          <w:rFonts w:hint="default" w:ascii="Times New Roman" w:hAnsi="Times New Roman" w:cs="Times New Roman"/>
          <w:b w:val="0"/>
          <w:bCs/>
          <w:sz w:val="20"/>
          <w:szCs w:val="20"/>
          <w:lang w:val="en-US" w:eastAsia="zh-CN"/>
        </w:rPr>
        <w:t>f</w:t>
      </w:r>
      <w:r>
        <w:rPr>
          <w:rFonts w:hint="default" w:ascii="Times New Roman" w:hAnsi="Times New Roman" w:cs="Times New Roman"/>
          <w:b w:val="0"/>
          <w:bCs/>
          <w:sz w:val="20"/>
          <w:szCs w:val="20"/>
        </w:rPr>
        <w:t xml:space="preserve">irst-generation and </w:t>
      </w:r>
      <w:r>
        <w:rPr>
          <w:rFonts w:hint="default" w:ascii="Times New Roman" w:hAnsi="Times New Roman" w:cs="Times New Roman"/>
          <w:b w:val="0"/>
          <w:bCs/>
          <w:sz w:val="20"/>
          <w:szCs w:val="20"/>
          <w:lang w:val="en-US" w:eastAsia="zh-CN"/>
        </w:rPr>
        <w:t>c</w:t>
      </w:r>
      <w:r>
        <w:rPr>
          <w:rFonts w:hint="default" w:ascii="Times New Roman" w:hAnsi="Times New Roman" w:cs="Times New Roman"/>
          <w:b w:val="0"/>
          <w:bCs/>
          <w:sz w:val="20"/>
          <w:szCs w:val="20"/>
        </w:rPr>
        <w:t>ontinuing-generation college students</w:t>
      </w:r>
      <w:r>
        <w:rPr>
          <w:rFonts w:hint="default" w:ascii="Times New Roman" w:hAnsi="Times New Roman" w:cs="Times New Roman"/>
          <w:b w:val="0"/>
          <w:bCs/>
          <w:sz w:val="20"/>
          <w:szCs w:val="20"/>
          <w:lang w:val="en-US" w:eastAsia="zh-CN"/>
        </w:rPr>
        <w:t xml:space="preserve"> </w:t>
      </w:r>
      <w:r>
        <w:rPr>
          <w:rFonts w:hint="default" w:ascii="Times New Roman" w:hAnsi="Times New Roman" w:cs="Times New Roman"/>
          <w:b w:val="0"/>
          <w:bCs/>
          <w:sz w:val="20"/>
          <w:szCs w:val="20"/>
        </w:rPr>
        <w:t>(</w:t>
      </w:r>
      <w:r>
        <w:rPr>
          <w:rFonts w:hint="default" w:ascii="Times New Roman" w:hAnsi="Times New Roman" w:cs="Times New Roman"/>
          <w:b w:val="0"/>
          <w:bCs/>
          <w:i/>
          <w:iCs/>
          <w:sz w:val="20"/>
          <w:szCs w:val="20"/>
        </w:rPr>
        <w:t>N</w:t>
      </w:r>
      <w:r>
        <w:rPr>
          <w:rFonts w:hint="default" w:ascii="Times New Roman" w:hAnsi="Times New Roman" w:cs="Times New Roman"/>
          <w:b w:val="0"/>
          <w:bCs/>
          <w:sz w:val="20"/>
          <w:szCs w:val="20"/>
        </w:rPr>
        <w:t xml:space="preserve"> = 2326)</w:t>
      </w:r>
    </w:p>
    <w:bookmarkEnd w:id="1"/>
    <w:tbl>
      <w:tblPr>
        <w:tblStyle w:val="17"/>
        <w:tblpPr w:leftFromText="180" w:rightFromText="180" w:vertAnchor="text" w:horzAnchor="page" w:tblpX="1824" w:tblpY="49"/>
        <w:tblW w:w="5089" w:type="pct"/>
        <w:tblInd w:w="0" w:type="dxa"/>
        <w:tblLayout w:type="autofit"/>
        <w:tblCellMar>
          <w:top w:w="0" w:type="dxa"/>
          <w:left w:w="108" w:type="dxa"/>
          <w:bottom w:w="0" w:type="dxa"/>
          <w:right w:w="108" w:type="dxa"/>
        </w:tblCellMar>
      </w:tblPr>
      <w:tblGrid>
        <w:gridCol w:w="1564"/>
        <w:gridCol w:w="1694"/>
        <w:gridCol w:w="2027"/>
        <w:gridCol w:w="1695"/>
        <w:gridCol w:w="1694"/>
      </w:tblGrid>
      <w:tr>
        <w:tblPrEx>
          <w:tblCellMar>
            <w:top w:w="0" w:type="dxa"/>
            <w:left w:w="108" w:type="dxa"/>
            <w:bottom w:w="0" w:type="dxa"/>
            <w:right w:w="108" w:type="dxa"/>
          </w:tblCellMar>
        </w:tblPrEx>
        <w:trPr>
          <w:trHeight w:val="342" w:hRule="atLeast"/>
        </w:trPr>
        <w:tc>
          <w:tcPr>
            <w:tcW w:w="901" w:type="pct"/>
            <w:tcBorders>
              <w:top w:val="single" w:color="auto" w:sz="4" w:space="0"/>
              <w:bottom w:val="single" w:color="auto" w:sz="4" w:space="0"/>
            </w:tcBorders>
            <w:shd w:val="clear" w:color="auto" w:fill="auto"/>
            <w:vAlign w:val="center"/>
          </w:tcPr>
          <w:p>
            <w:pPr>
              <w:spacing w:line="276" w:lineRule="auto"/>
              <w:jc w:val="center"/>
              <w:rPr>
                <w:rFonts w:hint="default" w:ascii="Times New Roman" w:hAnsi="Times New Roman" w:eastAsia="等线" w:cs="Times New Roman"/>
                <w:sz w:val="20"/>
                <w:szCs w:val="20"/>
              </w:rPr>
            </w:pPr>
            <w:r>
              <w:rPr>
                <w:rFonts w:hint="default" w:ascii="Times New Roman" w:hAnsi="Times New Roman" w:eastAsia="等线" w:cs="Times New Roman"/>
                <w:sz w:val="20"/>
                <w:szCs w:val="20"/>
              </w:rPr>
              <w:t>Variables</w:t>
            </w:r>
          </w:p>
        </w:tc>
        <w:tc>
          <w:tcPr>
            <w:tcW w:w="976" w:type="pct"/>
            <w:tcBorders>
              <w:top w:val="single" w:color="auto" w:sz="4" w:space="0"/>
              <w:bottom w:val="single" w:color="auto" w:sz="4" w:space="0"/>
            </w:tcBorders>
            <w:shd w:val="clear" w:color="auto" w:fill="auto"/>
            <w:vAlign w:val="center"/>
          </w:tcPr>
          <w:p>
            <w:pPr>
              <w:spacing w:line="276" w:lineRule="auto"/>
              <w:jc w:val="center"/>
              <w:rPr>
                <w:rFonts w:hint="default" w:ascii="Times New Roman" w:hAnsi="Times New Roman" w:eastAsia="等线" w:cs="Times New Roman"/>
                <w:sz w:val="20"/>
                <w:szCs w:val="20"/>
              </w:rPr>
            </w:pPr>
            <w:r>
              <w:rPr>
                <w:rFonts w:hint="default" w:ascii="Times New Roman" w:hAnsi="Times New Roman" w:eastAsia="等线" w:cs="Times New Roman"/>
                <w:sz w:val="20"/>
                <w:szCs w:val="20"/>
                <w:lang w:val="en-US" w:eastAsia="zh-CN"/>
              </w:rPr>
              <w:t>F</w:t>
            </w:r>
            <w:r>
              <w:rPr>
                <w:rFonts w:hint="default" w:ascii="Times New Roman" w:hAnsi="Times New Roman" w:eastAsia="等线" w:cs="Times New Roman"/>
                <w:sz w:val="20"/>
                <w:szCs w:val="20"/>
              </w:rPr>
              <w:t>irst-generation college student</w:t>
            </w:r>
          </w:p>
          <w:p>
            <w:pPr>
              <w:spacing w:line="276" w:lineRule="auto"/>
              <w:jc w:val="center"/>
              <w:rPr>
                <w:rFonts w:hint="default" w:ascii="Times New Roman" w:hAnsi="Times New Roman" w:eastAsia="等线" w:cs="Times New Roman"/>
                <w:sz w:val="20"/>
                <w:szCs w:val="20"/>
              </w:rPr>
            </w:pPr>
            <w:r>
              <w:rPr>
                <w:rFonts w:hint="default" w:ascii="Times New Roman" w:hAnsi="Times New Roman" w:eastAsia="等线" w:cs="Times New Roman"/>
                <w:sz w:val="20"/>
                <w:szCs w:val="20"/>
              </w:rPr>
              <w:t>(</w:t>
            </w:r>
            <w:r>
              <w:rPr>
                <w:rFonts w:hint="default" w:ascii="Times New Roman" w:hAnsi="Times New Roman" w:eastAsia="等线" w:cs="Times New Roman"/>
                <w:i/>
                <w:iCs/>
                <w:sz w:val="20"/>
                <w:szCs w:val="20"/>
              </w:rPr>
              <w:t>n</w:t>
            </w:r>
            <w:r>
              <w:rPr>
                <w:rFonts w:hint="default" w:ascii="Times New Roman" w:hAnsi="Times New Roman" w:eastAsia="等线" w:cs="Times New Roman"/>
                <w:sz w:val="20"/>
                <w:szCs w:val="20"/>
              </w:rPr>
              <w:t xml:space="preserve"> = 1548)</w:t>
            </w:r>
          </w:p>
        </w:tc>
        <w:tc>
          <w:tcPr>
            <w:tcW w:w="1168" w:type="pct"/>
            <w:tcBorders>
              <w:top w:val="single" w:color="auto" w:sz="4" w:space="0"/>
              <w:bottom w:val="single" w:color="auto" w:sz="4" w:space="0"/>
            </w:tcBorders>
            <w:shd w:val="clear" w:color="auto" w:fill="auto"/>
            <w:vAlign w:val="center"/>
          </w:tcPr>
          <w:p>
            <w:pPr>
              <w:spacing w:line="276" w:lineRule="auto"/>
              <w:jc w:val="center"/>
              <w:rPr>
                <w:rFonts w:hint="default" w:ascii="Times New Roman" w:hAnsi="Times New Roman" w:eastAsia="等线" w:cs="Times New Roman"/>
                <w:sz w:val="20"/>
                <w:szCs w:val="20"/>
              </w:rPr>
            </w:pPr>
            <w:r>
              <w:rPr>
                <w:rFonts w:hint="default" w:ascii="Times New Roman" w:hAnsi="Times New Roman" w:eastAsia="等线" w:cs="Times New Roman"/>
                <w:sz w:val="20"/>
                <w:szCs w:val="20"/>
              </w:rPr>
              <w:t>Continuing-generation college student</w:t>
            </w:r>
          </w:p>
          <w:p>
            <w:pPr>
              <w:spacing w:line="276" w:lineRule="auto"/>
              <w:jc w:val="center"/>
              <w:rPr>
                <w:rFonts w:hint="default" w:ascii="Times New Roman" w:hAnsi="Times New Roman" w:eastAsia="等线" w:cs="Times New Roman"/>
                <w:sz w:val="20"/>
                <w:szCs w:val="20"/>
              </w:rPr>
            </w:pPr>
            <w:r>
              <w:rPr>
                <w:rFonts w:hint="default" w:ascii="Times New Roman" w:hAnsi="Times New Roman" w:eastAsia="等线" w:cs="Times New Roman"/>
                <w:sz w:val="20"/>
                <w:szCs w:val="20"/>
              </w:rPr>
              <w:t>(</w:t>
            </w:r>
            <w:r>
              <w:rPr>
                <w:rFonts w:hint="default" w:ascii="Times New Roman" w:hAnsi="Times New Roman" w:eastAsia="等线" w:cs="Times New Roman"/>
                <w:i/>
                <w:iCs/>
                <w:sz w:val="20"/>
                <w:szCs w:val="20"/>
              </w:rPr>
              <w:t>n</w:t>
            </w:r>
            <w:r>
              <w:rPr>
                <w:rFonts w:hint="default" w:ascii="Times New Roman" w:hAnsi="Times New Roman" w:eastAsia="等线" w:cs="Times New Roman"/>
                <w:sz w:val="20"/>
                <w:szCs w:val="20"/>
              </w:rPr>
              <w:t xml:space="preserve"> =778)</w:t>
            </w:r>
          </w:p>
        </w:tc>
        <w:tc>
          <w:tcPr>
            <w:tcW w:w="977" w:type="pct"/>
            <w:tcBorders>
              <w:top w:val="single" w:color="auto" w:sz="4" w:space="0"/>
              <w:bottom w:val="single" w:color="auto" w:sz="4" w:space="0"/>
            </w:tcBorders>
            <w:vAlign w:val="center"/>
          </w:tcPr>
          <w:p>
            <w:pPr>
              <w:spacing w:line="276" w:lineRule="auto"/>
              <w:jc w:val="center"/>
              <w:rPr>
                <w:rFonts w:hint="default" w:ascii="Times New Roman" w:hAnsi="Times New Roman" w:eastAsia="等线" w:cs="Times New Roman"/>
                <w:i/>
                <w:iCs/>
                <w:sz w:val="20"/>
                <w:szCs w:val="20"/>
              </w:rPr>
            </w:pPr>
            <w:r>
              <w:rPr>
                <w:rFonts w:hint="default" w:ascii="Times New Roman" w:hAnsi="Times New Roman" w:eastAsia="等线" w:cs="Times New Roman"/>
                <w:i/>
                <w:iCs/>
                <w:sz w:val="20"/>
                <w:szCs w:val="20"/>
              </w:rPr>
              <w:t xml:space="preserve">F </w:t>
            </w:r>
            <w:r>
              <w:rPr>
                <w:rFonts w:hint="default" w:ascii="Times New Roman" w:hAnsi="Times New Roman" w:eastAsia="等线" w:cs="Times New Roman"/>
                <w:sz w:val="20"/>
                <w:szCs w:val="20"/>
              </w:rPr>
              <w:t xml:space="preserve">or </w:t>
            </w:r>
            <w:r>
              <w:rPr>
                <w:rFonts w:hint="default" w:ascii="Times New Roman" w:hAnsi="Times New Roman" w:cs="Times New Roman"/>
                <w:i/>
                <w:iCs/>
                <w:sz w:val="20"/>
                <w:szCs w:val="20"/>
              </w:rPr>
              <w:t>χ</w:t>
            </w:r>
            <w:r>
              <w:rPr>
                <w:rFonts w:hint="default" w:ascii="Times New Roman" w:hAnsi="Times New Roman" w:cs="Times New Roman"/>
                <w:i/>
                <w:iCs/>
                <w:sz w:val="20"/>
                <w:szCs w:val="20"/>
                <w:vertAlign w:val="superscript"/>
              </w:rPr>
              <w:t>2</w:t>
            </w:r>
          </w:p>
        </w:tc>
        <w:tc>
          <w:tcPr>
            <w:tcW w:w="976" w:type="pct"/>
            <w:tcBorders>
              <w:top w:val="single" w:color="auto" w:sz="4" w:space="0"/>
              <w:bottom w:val="single" w:color="auto" w:sz="4" w:space="0"/>
            </w:tcBorders>
            <w:vAlign w:val="center"/>
          </w:tcPr>
          <w:p>
            <w:pPr>
              <w:spacing w:line="276" w:lineRule="auto"/>
              <w:jc w:val="center"/>
              <w:rPr>
                <w:rFonts w:hint="default" w:ascii="Times New Roman" w:hAnsi="Times New Roman" w:eastAsia="等线" w:cs="Times New Roman"/>
                <w:i/>
                <w:iCs/>
                <w:sz w:val="20"/>
                <w:szCs w:val="20"/>
              </w:rPr>
            </w:pPr>
            <w:r>
              <w:rPr>
                <w:rFonts w:hint="default" w:ascii="Times New Roman" w:hAnsi="Times New Roman" w:eastAsia="等线" w:cs="Times New Roman"/>
                <w:i/>
                <w:iCs/>
                <w:sz w:val="20"/>
                <w:szCs w:val="20"/>
              </w:rPr>
              <w:t>p-</w:t>
            </w:r>
            <w:r>
              <w:rPr>
                <w:rFonts w:hint="default" w:ascii="Times New Roman" w:hAnsi="Times New Roman" w:eastAsia="等线" w:cs="Times New Roman"/>
                <w:sz w:val="20"/>
                <w:szCs w:val="20"/>
              </w:rPr>
              <w:t>value</w:t>
            </w:r>
          </w:p>
        </w:tc>
      </w:tr>
      <w:tr>
        <w:tblPrEx>
          <w:tblCellMar>
            <w:top w:w="0" w:type="dxa"/>
            <w:left w:w="108" w:type="dxa"/>
            <w:bottom w:w="0" w:type="dxa"/>
            <w:right w:w="108" w:type="dxa"/>
          </w:tblCellMar>
        </w:tblPrEx>
        <w:trPr>
          <w:trHeight w:val="130" w:hRule="atLeast"/>
        </w:trPr>
        <w:tc>
          <w:tcPr>
            <w:tcW w:w="901" w:type="pct"/>
            <w:tcBorders>
              <w:top w:val="single" w:color="auto" w:sz="4" w:space="0"/>
            </w:tcBorders>
            <w:shd w:val="clear" w:color="auto" w:fill="auto"/>
            <w:vAlign w:val="center"/>
          </w:tcPr>
          <w:p>
            <w:pPr>
              <w:spacing w:line="276" w:lineRule="auto"/>
              <w:rPr>
                <w:rFonts w:hint="default" w:ascii="Times New Roman" w:hAnsi="Times New Roman" w:eastAsia="等线" w:cs="Times New Roman"/>
                <w:sz w:val="20"/>
                <w:szCs w:val="20"/>
              </w:rPr>
            </w:pPr>
            <w:r>
              <w:rPr>
                <w:rFonts w:hint="default" w:ascii="Times New Roman" w:hAnsi="Times New Roman" w:eastAsia="等线" w:cs="Times New Roman"/>
                <w:sz w:val="20"/>
                <w:szCs w:val="20"/>
              </w:rPr>
              <w:t>Girls (%)</w:t>
            </w:r>
          </w:p>
        </w:tc>
        <w:tc>
          <w:tcPr>
            <w:tcW w:w="976" w:type="pct"/>
            <w:tcBorders>
              <w:top w:val="single" w:color="auto" w:sz="4" w:space="0"/>
            </w:tcBorders>
            <w:shd w:val="clear" w:color="auto" w:fill="auto"/>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lang w:val="en-US" w:eastAsia="zh-CN"/>
              </w:rPr>
              <w:t>45.2</w:t>
            </w:r>
            <w:r>
              <w:rPr>
                <w:rFonts w:hint="default" w:ascii="Times New Roman" w:hAnsi="Times New Roman" w:cs="Times New Roman"/>
                <w:color w:val="auto"/>
                <w:sz w:val="20"/>
                <w:szCs w:val="20"/>
              </w:rPr>
              <w:t>%</w:t>
            </w:r>
          </w:p>
        </w:tc>
        <w:tc>
          <w:tcPr>
            <w:tcW w:w="1168" w:type="pct"/>
            <w:tcBorders>
              <w:top w:val="single" w:color="auto" w:sz="4" w:space="0"/>
            </w:tcBorders>
            <w:shd w:val="clear" w:color="auto" w:fill="auto"/>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4</w:t>
            </w:r>
            <w:r>
              <w:rPr>
                <w:rFonts w:hint="default" w:ascii="Times New Roman" w:hAnsi="Times New Roman" w:cs="Times New Roman"/>
                <w:color w:val="auto"/>
                <w:sz w:val="20"/>
                <w:szCs w:val="20"/>
                <w:lang w:val="en-US" w:eastAsia="zh-CN"/>
              </w:rPr>
              <w:t>2</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8</w:t>
            </w:r>
            <w:r>
              <w:rPr>
                <w:rFonts w:hint="default" w:ascii="Times New Roman" w:hAnsi="Times New Roman" w:cs="Times New Roman"/>
                <w:color w:val="auto"/>
                <w:sz w:val="20"/>
                <w:szCs w:val="20"/>
              </w:rPr>
              <w:t>%</w:t>
            </w:r>
          </w:p>
        </w:tc>
        <w:tc>
          <w:tcPr>
            <w:tcW w:w="977" w:type="pct"/>
            <w:tcBorders>
              <w:top w:val="single" w:color="auto" w:sz="4" w:space="0"/>
            </w:tcBorders>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5.22</w:t>
            </w:r>
          </w:p>
        </w:tc>
        <w:tc>
          <w:tcPr>
            <w:tcW w:w="976" w:type="pct"/>
            <w:tcBorders>
              <w:top w:val="single" w:color="auto" w:sz="4" w:space="0"/>
            </w:tcBorders>
          </w:tcPr>
          <w:p>
            <w:pPr>
              <w:spacing w:line="276" w:lineRule="auto"/>
              <w:jc w:val="center"/>
              <w:rPr>
                <w:rFonts w:hint="default" w:ascii="Times New Roman" w:hAnsi="Times New Roman" w:cs="Times New Roman" w:eastAsiaTheme="minorEastAsia"/>
                <w:color w:val="auto"/>
                <w:sz w:val="20"/>
                <w:szCs w:val="20"/>
                <w:lang w:val="en-US" w:eastAsia="zh-CN"/>
              </w:rPr>
            </w:pPr>
            <w:r>
              <w:rPr>
                <w:rFonts w:hint="default" w:ascii="Times New Roman" w:hAnsi="Times New Roman" w:cs="Times New Roman"/>
                <w:color w:val="auto"/>
                <w:sz w:val="20"/>
                <w:szCs w:val="20"/>
              </w:rPr>
              <w:t>0.0</w:t>
            </w:r>
            <w:r>
              <w:rPr>
                <w:rFonts w:hint="default" w:ascii="Times New Roman" w:hAnsi="Times New Roman" w:cs="Times New Roman"/>
                <w:color w:val="auto"/>
                <w:sz w:val="20"/>
                <w:szCs w:val="20"/>
                <w:lang w:val="en-US" w:eastAsia="zh-CN"/>
              </w:rPr>
              <w:t>13</w:t>
            </w:r>
          </w:p>
        </w:tc>
      </w:tr>
      <w:tr>
        <w:tblPrEx>
          <w:tblCellMar>
            <w:top w:w="0" w:type="dxa"/>
            <w:left w:w="108" w:type="dxa"/>
            <w:bottom w:w="0" w:type="dxa"/>
            <w:right w:w="108" w:type="dxa"/>
          </w:tblCellMar>
        </w:tblPrEx>
        <w:trPr>
          <w:trHeight w:val="130" w:hRule="atLeast"/>
        </w:trPr>
        <w:tc>
          <w:tcPr>
            <w:tcW w:w="901" w:type="pct"/>
            <w:shd w:val="clear" w:color="auto" w:fill="auto"/>
            <w:vAlign w:val="center"/>
          </w:tcPr>
          <w:p>
            <w:pPr>
              <w:spacing w:line="276" w:lineRule="auto"/>
              <w:rPr>
                <w:rFonts w:hint="default" w:ascii="Times New Roman" w:hAnsi="Times New Roman" w:eastAsia="等线" w:cs="Times New Roman"/>
                <w:sz w:val="20"/>
                <w:szCs w:val="20"/>
              </w:rPr>
            </w:pPr>
            <w:r>
              <w:rPr>
                <w:rFonts w:hint="default" w:ascii="Times New Roman" w:hAnsi="Times New Roman" w:eastAsia="等线" w:cs="Times New Roman"/>
                <w:sz w:val="20"/>
                <w:szCs w:val="20"/>
              </w:rPr>
              <w:t>Province (</w:t>
            </w:r>
            <w:r>
              <w:rPr>
                <w:rFonts w:hint="default" w:ascii="Times New Roman" w:hAnsi="Times New Roman" w:eastAsia="等线" w:cs="Times New Roman"/>
                <w:i/>
                <w:iCs/>
                <w:sz w:val="20"/>
                <w:szCs w:val="20"/>
              </w:rPr>
              <w:t>n</w:t>
            </w:r>
            <w:r>
              <w:rPr>
                <w:rFonts w:hint="default" w:ascii="Times New Roman" w:hAnsi="Times New Roman" w:eastAsia="等线" w:cs="Times New Roman"/>
                <w:sz w:val="20"/>
                <w:szCs w:val="20"/>
              </w:rPr>
              <w:t xml:space="preserve"> (%))</w:t>
            </w:r>
          </w:p>
        </w:tc>
        <w:tc>
          <w:tcPr>
            <w:tcW w:w="976" w:type="pct"/>
            <w:shd w:val="clear" w:color="auto" w:fill="auto"/>
            <w:vAlign w:val="center"/>
          </w:tcPr>
          <w:p>
            <w:pPr>
              <w:spacing w:line="276" w:lineRule="auto"/>
              <w:jc w:val="center"/>
              <w:rPr>
                <w:rFonts w:hint="default" w:ascii="Times New Roman" w:hAnsi="Times New Roman" w:cs="Times New Roman"/>
                <w:color w:val="auto"/>
                <w:sz w:val="20"/>
                <w:szCs w:val="20"/>
              </w:rPr>
            </w:pPr>
          </w:p>
        </w:tc>
        <w:tc>
          <w:tcPr>
            <w:tcW w:w="1168" w:type="pct"/>
            <w:shd w:val="clear" w:color="auto" w:fill="auto"/>
            <w:vAlign w:val="center"/>
          </w:tcPr>
          <w:p>
            <w:pPr>
              <w:spacing w:line="276" w:lineRule="auto"/>
              <w:jc w:val="center"/>
              <w:rPr>
                <w:rFonts w:hint="default" w:ascii="Times New Roman" w:hAnsi="Times New Roman" w:cs="Times New Roman"/>
                <w:color w:val="auto"/>
                <w:sz w:val="20"/>
                <w:szCs w:val="20"/>
              </w:rPr>
            </w:pPr>
          </w:p>
        </w:tc>
        <w:tc>
          <w:tcPr>
            <w:tcW w:w="977" w:type="pct"/>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49.84</w:t>
            </w:r>
          </w:p>
        </w:tc>
        <w:tc>
          <w:tcPr>
            <w:tcW w:w="976" w:type="pct"/>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&lt;0.001</w:t>
            </w:r>
          </w:p>
        </w:tc>
      </w:tr>
      <w:tr>
        <w:tblPrEx>
          <w:tblCellMar>
            <w:top w:w="0" w:type="dxa"/>
            <w:left w:w="108" w:type="dxa"/>
            <w:bottom w:w="0" w:type="dxa"/>
            <w:right w:w="108" w:type="dxa"/>
          </w:tblCellMar>
        </w:tblPrEx>
        <w:trPr>
          <w:trHeight w:val="130" w:hRule="atLeast"/>
        </w:trPr>
        <w:tc>
          <w:tcPr>
            <w:tcW w:w="901" w:type="pct"/>
            <w:shd w:val="clear" w:color="auto" w:fill="auto"/>
            <w:vAlign w:val="center"/>
          </w:tcPr>
          <w:p>
            <w:pPr>
              <w:spacing w:line="276" w:lineRule="auto"/>
              <w:ind w:firstLine="200" w:firstLineChars="100"/>
              <w:rPr>
                <w:rFonts w:hint="default" w:ascii="Times New Roman" w:hAnsi="Times New Roman" w:eastAsia="等线" w:cs="Times New Roman"/>
                <w:sz w:val="20"/>
                <w:szCs w:val="20"/>
              </w:rPr>
            </w:pPr>
            <w:r>
              <w:rPr>
                <w:rFonts w:hint="default" w:ascii="Times New Roman" w:hAnsi="Times New Roman" w:eastAsia="等线" w:cs="Times New Roman"/>
                <w:sz w:val="20"/>
                <w:szCs w:val="20"/>
              </w:rPr>
              <w:t>Jiang</w:t>
            </w:r>
            <w:r>
              <w:rPr>
                <w:rFonts w:hint="default" w:ascii="Times New Roman" w:hAnsi="Times New Roman" w:eastAsia="等线" w:cs="Times New Roman"/>
                <w:sz w:val="20"/>
                <w:szCs w:val="20"/>
                <w:lang w:val="en-US" w:eastAsia="zh-CN"/>
              </w:rPr>
              <w:t>su</w:t>
            </w:r>
            <w:r>
              <w:rPr>
                <w:rFonts w:hint="default" w:ascii="Times New Roman" w:hAnsi="Times New Roman" w:eastAsia="等线" w:cs="Times New Roman"/>
                <w:sz w:val="20"/>
                <w:szCs w:val="20"/>
              </w:rPr>
              <w:t xml:space="preserve"> </w:t>
            </w:r>
          </w:p>
        </w:tc>
        <w:tc>
          <w:tcPr>
            <w:tcW w:w="976" w:type="pct"/>
            <w:shd w:val="clear" w:color="auto" w:fill="auto"/>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lang w:val="en-US" w:eastAsia="zh-CN"/>
              </w:rPr>
              <w:t>383</w:t>
            </w:r>
            <w:r>
              <w:rPr>
                <w:rFonts w:hint="default" w:ascii="Times New Roman" w:hAnsi="Times New Roman" w:cs="Times New Roman"/>
                <w:color w:val="auto"/>
                <w:sz w:val="20"/>
                <w:szCs w:val="20"/>
              </w:rPr>
              <w:t xml:space="preserve"> (43.0%) </w:t>
            </w:r>
            <w:r>
              <w:rPr>
                <w:rFonts w:hint="default" w:ascii="Times New Roman" w:hAnsi="Times New Roman" w:cs="Times New Roman"/>
                <w:color w:val="auto"/>
                <w:sz w:val="20"/>
                <w:szCs w:val="20"/>
                <w:vertAlign w:val="subscript"/>
              </w:rPr>
              <w:t>a</w:t>
            </w:r>
          </w:p>
        </w:tc>
        <w:tc>
          <w:tcPr>
            <w:tcW w:w="1168" w:type="pct"/>
            <w:shd w:val="clear" w:color="auto" w:fill="auto"/>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lang w:val="en-US" w:eastAsia="zh-CN"/>
              </w:rPr>
              <w:t>55</w:t>
            </w:r>
            <w:r>
              <w:rPr>
                <w:rFonts w:hint="default" w:ascii="Times New Roman" w:hAnsi="Times New Roman" w:cs="Times New Roman"/>
                <w:color w:val="auto"/>
                <w:sz w:val="20"/>
                <w:szCs w:val="20"/>
              </w:rPr>
              <w:t xml:space="preserve"> (33.2%) </w:t>
            </w:r>
            <w:r>
              <w:rPr>
                <w:rFonts w:hint="default" w:ascii="Times New Roman" w:hAnsi="Times New Roman" w:cs="Times New Roman"/>
                <w:color w:val="auto"/>
                <w:sz w:val="20"/>
                <w:szCs w:val="20"/>
                <w:vertAlign w:val="subscript"/>
              </w:rPr>
              <w:t>b</w:t>
            </w:r>
          </w:p>
        </w:tc>
        <w:tc>
          <w:tcPr>
            <w:tcW w:w="977" w:type="pct"/>
          </w:tcPr>
          <w:p>
            <w:pPr>
              <w:spacing w:line="276" w:lineRule="auto"/>
              <w:jc w:val="center"/>
              <w:rPr>
                <w:rFonts w:hint="default" w:ascii="Times New Roman" w:hAnsi="Times New Roman" w:cs="Times New Roman"/>
                <w:color w:val="auto"/>
                <w:sz w:val="20"/>
                <w:szCs w:val="20"/>
              </w:rPr>
            </w:pPr>
          </w:p>
        </w:tc>
        <w:tc>
          <w:tcPr>
            <w:tcW w:w="976" w:type="pct"/>
          </w:tcPr>
          <w:p>
            <w:pPr>
              <w:spacing w:line="276" w:lineRule="auto"/>
              <w:jc w:val="center"/>
              <w:rPr>
                <w:rFonts w:hint="default" w:ascii="Times New Roman" w:hAnsi="Times New Roman" w:cs="Times New Roman"/>
                <w:color w:val="auto"/>
                <w:sz w:val="20"/>
                <w:szCs w:val="20"/>
              </w:rPr>
            </w:pPr>
          </w:p>
        </w:tc>
      </w:tr>
      <w:tr>
        <w:tblPrEx>
          <w:tblCellMar>
            <w:top w:w="0" w:type="dxa"/>
            <w:left w:w="108" w:type="dxa"/>
            <w:bottom w:w="0" w:type="dxa"/>
            <w:right w:w="108" w:type="dxa"/>
          </w:tblCellMar>
        </w:tblPrEx>
        <w:trPr>
          <w:trHeight w:val="130" w:hRule="atLeast"/>
        </w:trPr>
        <w:tc>
          <w:tcPr>
            <w:tcW w:w="901" w:type="pct"/>
            <w:shd w:val="clear" w:color="auto" w:fill="auto"/>
            <w:vAlign w:val="center"/>
          </w:tcPr>
          <w:p>
            <w:pPr>
              <w:spacing w:line="276" w:lineRule="auto"/>
              <w:ind w:firstLine="200" w:firstLineChars="100"/>
              <w:rPr>
                <w:rFonts w:hint="default" w:ascii="Times New Roman" w:hAnsi="Times New Roman" w:eastAsia="等线" w:cs="Times New Roman"/>
                <w:sz w:val="20"/>
                <w:szCs w:val="20"/>
                <w:lang w:val="en-US" w:eastAsia="zh-CN"/>
              </w:rPr>
            </w:pPr>
            <w:r>
              <w:rPr>
                <w:rFonts w:hint="default" w:ascii="Times New Roman" w:hAnsi="Times New Roman" w:eastAsia="等线" w:cs="Times New Roman"/>
                <w:sz w:val="20"/>
                <w:szCs w:val="20"/>
                <w:lang w:val="en-US" w:eastAsia="zh-CN"/>
              </w:rPr>
              <w:t xml:space="preserve">Beijing </w:t>
            </w:r>
          </w:p>
        </w:tc>
        <w:tc>
          <w:tcPr>
            <w:tcW w:w="976" w:type="pct"/>
            <w:shd w:val="clear" w:color="auto" w:fill="auto"/>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lang w:val="en-US" w:eastAsia="zh-CN"/>
              </w:rPr>
              <w:t>1165</w:t>
            </w:r>
            <w:r>
              <w:rPr>
                <w:rFonts w:hint="default" w:ascii="Times New Roman" w:hAnsi="Times New Roman" w:cs="Times New Roman"/>
                <w:color w:val="auto"/>
                <w:sz w:val="20"/>
                <w:szCs w:val="20"/>
              </w:rPr>
              <w:t xml:space="preserve"> (28.9%) </w:t>
            </w:r>
            <w:r>
              <w:rPr>
                <w:rFonts w:hint="default" w:ascii="Times New Roman" w:hAnsi="Times New Roman" w:cs="Times New Roman"/>
                <w:color w:val="auto"/>
                <w:sz w:val="20"/>
                <w:szCs w:val="20"/>
                <w:vertAlign w:val="subscript"/>
              </w:rPr>
              <w:t>a</w:t>
            </w:r>
          </w:p>
        </w:tc>
        <w:tc>
          <w:tcPr>
            <w:tcW w:w="1168" w:type="pct"/>
            <w:shd w:val="clear" w:color="auto" w:fill="auto"/>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lang w:val="en-US" w:eastAsia="zh-CN"/>
              </w:rPr>
              <w:t>723</w:t>
            </w:r>
            <w:r>
              <w:rPr>
                <w:rFonts w:hint="default" w:ascii="Times New Roman" w:hAnsi="Times New Roman" w:cs="Times New Roman"/>
                <w:color w:val="auto"/>
                <w:sz w:val="20"/>
                <w:szCs w:val="20"/>
              </w:rPr>
              <w:t xml:space="preserve"> (18.3%) </w:t>
            </w:r>
            <w:r>
              <w:rPr>
                <w:rFonts w:hint="default" w:ascii="Times New Roman" w:hAnsi="Times New Roman" w:cs="Times New Roman"/>
                <w:color w:val="auto"/>
                <w:sz w:val="20"/>
                <w:szCs w:val="20"/>
                <w:vertAlign w:val="subscript"/>
              </w:rPr>
              <w:t>b</w:t>
            </w:r>
          </w:p>
        </w:tc>
        <w:tc>
          <w:tcPr>
            <w:tcW w:w="977" w:type="pct"/>
          </w:tcPr>
          <w:p>
            <w:pPr>
              <w:spacing w:line="276" w:lineRule="auto"/>
              <w:jc w:val="center"/>
              <w:rPr>
                <w:rFonts w:hint="default" w:ascii="Times New Roman" w:hAnsi="Times New Roman" w:cs="Times New Roman"/>
                <w:color w:val="auto"/>
                <w:sz w:val="20"/>
                <w:szCs w:val="20"/>
              </w:rPr>
            </w:pPr>
          </w:p>
        </w:tc>
        <w:tc>
          <w:tcPr>
            <w:tcW w:w="976" w:type="pct"/>
          </w:tcPr>
          <w:p>
            <w:pPr>
              <w:spacing w:line="276" w:lineRule="auto"/>
              <w:jc w:val="center"/>
              <w:rPr>
                <w:rFonts w:hint="default" w:ascii="Times New Roman" w:hAnsi="Times New Roman" w:cs="Times New Roman"/>
                <w:color w:val="auto"/>
                <w:sz w:val="20"/>
                <w:szCs w:val="20"/>
              </w:rPr>
            </w:pPr>
          </w:p>
        </w:tc>
      </w:tr>
      <w:tr>
        <w:tblPrEx>
          <w:tblCellMar>
            <w:top w:w="0" w:type="dxa"/>
            <w:left w:w="108" w:type="dxa"/>
            <w:bottom w:w="0" w:type="dxa"/>
            <w:right w:w="108" w:type="dxa"/>
          </w:tblCellMar>
        </w:tblPrEx>
        <w:trPr>
          <w:trHeight w:val="130" w:hRule="atLeast"/>
        </w:trPr>
        <w:tc>
          <w:tcPr>
            <w:tcW w:w="901" w:type="pct"/>
            <w:shd w:val="clear" w:color="auto" w:fill="auto"/>
            <w:vAlign w:val="center"/>
          </w:tcPr>
          <w:p>
            <w:pPr>
              <w:spacing w:line="276" w:lineRule="auto"/>
              <w:rPr>
                <w:rFonts w:hint="default" w:ascii="Times New Roman" w:hAnsi="Times New Roman" w:cs="Times New Roman"/>
                <w:sz w:val="20"/>
                <w:szCs w:val="20"/>
              </w:rPr>
            </w:pPr>
            <w:r>
              <w:rPr>
                <w:rFonts w:hint="default" w:ascii="Times New Roman" w:hAnsi="Times New Roman" w:eastAsia="等线" w:cs="Times New Roman"/>
                <w:sz w:val="20"/>
                <w:szCs w:val="20"/>
              </w:rPr>
              <w:t>Age (</w:t>
            </w:r>
            <w:r>
              <w:rPr>
                <w:rFonts w:hint="default" w:ascii="Times New Roman" w:hAnsi="Times New Roman" w:eastAsia="等线" w:cs="Times New Roman"/>
                <w:i/>
                <w:iCs/>
                <w:sz w:val="20"/>
                <w:szCs w:val="20"/>
              </w:rPr>
              <w:t xml:space="preserve">M </w:t>
            </w:r>
            <w:r>
              <w:rPr>
                <w:rFonts w:hint="default" w:ascii="Times New Roman" w:hAnsi="Times New Roman" w:eastAsia="等线" w:cs="Times New Roman"/>
                <w:sz w:val="20"/>
                <w:szCs w:val="20"/>
              </w:rPr>
              <w:t>(</w:t>
            </w:r>
            <w:r>
              <w:rPr>
                <w:rFonts w:hint="default" w:ascii="Times New Roman" w:hAnsi="Times New Roman" w:eastAsia="等线" w:cs="Times New Roman"/>
                <w:i w:val="0"/>
                <w:iCs w:val="0"/>
                <w:sz w:val="20"/>
                <w:szCs w:val="20"/>
              </w:rPr>
              <w:t>SD</w:t>
            </w:r>
            <w:r>
              <w:rPr>
                <w:rFonts w:hint="default" w:ascii="Times New Roman" w:hAnsi="Times New Roman" w:eastAsia="等线" w:cs="Times New Roman"/>
                <w:sz w:val="20"/>
                <w:szCs w:val="20"/>
              </w:rPr>
              <w:t>))</w:t>
            </w:r>
          </w:p>
        </w:tc>
        <w:tc>
          <w:tcPr>
            <w:tcW w:w="976" w:type="pct"/>
            <w:shd w:val="clear" w:color="auto" w:fill="auto"/>
            <w:vAlign w:val="center"/>
          </w:tcPr>
          <w:p>
            <w:pPr>
              <w:spacing w:line="276" w:lineRule="auto"/>
              <w:jc w:val="center"/>
              <w:rPr>
                <w:rFonts w:hint="default" w:ascii="Times New Roman" w:hAnsi="Times New Roman" w:eastAsia="Times New Roman" w:cs="Times New Roman"/>
                <w:color w:val="auto"/>
                <w:sz w:val="20"/>
                <w:szCs w:val="20"/>
              </w:rPr>
            </w:pPr>
            <w:r>
              <w:rPr>
                <w:rFonts w:hint="default" w:ascii="Times New Roman" w:hAnsi="Times New Roman" w:cs="Times New Roman"/>
                <w:color w:val="auto"/>
                <w:sz w:val="20"/>
                <w:szCs w:val="20"/>
              </w:rPr>
              <w:t>1</w:t>
            </w:r>
            <w:r>
              <w:rPr>
                <w:rFonts w:hint="default" w:ascii="Times New Roman" w:hAnsi="Times New Roman" w:cs="Times New Roman"/>
                <w:color w:val="auto"/>
                <w:sz w:val="20"/>
                <w:szCs w:val="20"/>
                <w:lang w:val="en-US" w:eastAsia="zh-CN"/>
              </w:rPr>
              <w:t>8</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13</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0</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78</w:t>
            </w:r>
            <w:r>
              <w:rPr>
                <w:rFonts w:hint="default" w:ascii="Times New Roman" w:hAnsi="Times New Roman" w:cs="Times New Roman"/>
                <w:color w:val="auto"/>
                <w:sz w:val="20"/>
                <w:szCs w:val="20"/>
              </w:rPr>
              <w:t>)</w:t>
            </w:r>
          </w:p>
        </w:tc>
        <w:tc>
          <w:tcPr>
            <w:tcW w:w="1168" w:type="pct"/>
            <w:shd w:val="clear" w:color="auto" w:fill="auto"/>
            <w:vAlign w:val="center"/>
          </w:tcPr>
          <w:p>
            <w:pPr>
              <w:spacing w:line="276" w:lineRule="auto"/>
              <w:jc w:val="center"/>
              <w:rPr>
                <w:rFonts w:hint="default" w:ascii="Times New Roman" w:hAnsi="Times New Roman" w:eastAsia="Times New Roman" w:cs="Times New Roman"/>
                <w:color w:val="auto"/>
                <w:sz w:val="20"/>
                <w:szCs w:val="20"/>
              </w:rPr>
            </w:pPr>
            <w:r>
              <w:rPr>
                <w:rFonts w:hint="default" w:ascii="Times New Roman" w:hAnsi="Times New Roman" w:cs="Times New Roman"/>
                <w:color w:val="auto"/>
                <w:sz w:val="20"/>
                <w:szCs w:val="20"/>
              </w:rPr>
              <w:t>1</w:t>
            </w:r>
            <w:r>
              <w:rPr>
                <w:rFonts w:hint="default" w:ascii="Times New Roman" w:hAnsi="Times New Roman" w:cs="Times New Roman"/>
                <w:color w:val="auto"/>
                <w:sz w:val="20"/>
                <w:szCs w:val="20"/>
                <w:lang w:val="en-US" w:eastAsia="zh-CN"/>
              </w:rPr>
              <w:t>8</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16</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1</w:t>
            </w:r>
            <w:r>
              <w:rPr>
                <w:rFonts w:hint="default" w:ascii="Times New Roman" w:hAnsi="Times New Roman" w:cs="Times New Roman"/>
                <w:color w:val="auto"/>
                <w:sz w:val="20"/>
                <w:szCs w:val="20"/>
              </w:rPr>
              <w:t>.2</w:t>
            </w:r>
            <w:r>
              <w:rPr>
                <w:rFonts w:hint="default" w:ascii="Times New Roman" w:hAnsi="Times New Roman" w:cs="Times New Roman"/>
                <w:color w:val="auto"/>
                <w:sz w:val="20"/>
                <w:szCs w:val="20"/>
                <w:lang w:val="en-US" w:eastAsia="zh-CN"/>
              </w:rPr>
              <w:t>8</w:t>
            </w:r>
            <w:r>
              <w:rPr>
                <w:rFonts w:hint="default" w:ascii="Times New Roman" w:hAnsi="Times New Roman" w:cs="Times New Roman"/>
                <w:color w:val="auto"/>
                <w:sz w:val="20"/>
                <w:szCs w:val="20"/>
              </w:rPr>
              <w:t>)</w:t>
            </w:r>
          </w:p>
        </w:tc>
        <w:tc>
          <w:tcPr>
            <w:tcW w:w="977" w:type="pct"/>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296.27</w:t>
            </w:r>
          </w:p>
        </w:tc>
        <w:tc>
          <w:tcPr>
            <w:tcW w:w="976" w:type="pct"/>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&lt;0.001</w:t>
            </w:r>
          </w:p>
        </w:tc>
      </w:tr>
      <w:tr>
        <w:tblPrEx>
          <w:tblCellMar>
            <w:top w:w="0" w:type="dxa"/>
            <w:left w:w="108" w:type="dxa"/>
            <w:bottom w:w="0" w:type="dxa"/>
            <w:right w:w="108" w:type="dxa"/>
          </w:tblCellMar>
        </w:tblPrEx>
        <w:trPr>
          <w:trHeight w:val="130" w:hRule="atLeast"/>
        </w:trPr>
        <w:tc>
          <w:tcPr>
            <w:tcW w:w="901" w:type="pct"/>
            <w:shd w:val="clear" w:color="auto" w:fill="auto"/>
            <w:vAlign w:val="center"/>
          </w:tcPr>
          <w:p>
            <w:pPr>
              <w:spacing w:line="276" w:lineRule="auto"/>
              <w:rPr>
                <w:rFonts w:hint="default" w:ascii="Times New Roman" w:hAnsi="Times New Roman" w:eastAsia="等线" w:cs="Times New Roman"/>
                <w:sz w:val="20"/>
                <w:szCs w:val="20"/>
              </w:rPr>
            </w:pPr>
            <w:r>
              <w:rPr>
                <w:rFonts w:hint="default" w:ascii="Times New Roman" w:hAnsi="Times New Roman" w:cs="Times New Roman"/>
                <w:sz w:val="20"/>
                <w:szCs w:val="20"/>
              </w:rPr>
              <w:t>SSS</w:t>
            </w:r>
            <w:r>
              <w:rPr>
                <w:rFonts w:hint="default" w:ascii="Times New Roman" w:hAnsi="Times New Roman" w:eastAsia="等线" w:cs="Times New Roman"/>
                <w:sz w:val="20"/>
                <w:szCs w:val="20"/>
              </w:rPr>
              <w:t xml:space="preserve"> (</w:t>
            </w:r>
            <w:r>
              <w:rPr>
                <w:rFonts w:hint="default" w:ascii="Times New Roman" w:hAnsi="Times New Roman" w:eastAsia="等线" w:cs="Times New Roman"/>
                <w:i/>
                <w:iCs/>
                <w:sz w:val="20"/>
                <w:szCs w:val="20"/>
              </w:rPr>
              <w:t xml:space="preserve">M </w:t>
            </w:r>
            <w:r>
              <w:rPr>
                <w:rFonts w:hint="default" w:ascii="Times New Roman" w:hAnsi="Times New Roman" w:eastAsia="等线" w:cs="Times New Roman"/>
                <w:sz w:val="20"/>
                <w:szCs w:val="20"/>
              </w:rPr>
              <w:t>(</w:t>
            </w:r>
            <w:r>
              <w:rPr>
                <w:rFonts w:hint="default" w:ascii="Times New Roman" w:hAnsi="Times New Roman" w:eastAsia="等线" w:cs="Times New Roman"/>
                <w:i w:val="0"/>
                <w:iCs w:val="0"/>
                <w:sz w:val="20"/>
                <w:szCs w:val="20"/>
              </w:rPr>
              <w:t>SD</w:t>
            </w:r>
            <w:r>
              <w:rPr>
                <w:rFonts w:hint="default" w:ascii="Times New Roman" w:hAnsi="Times New Roman" w:eastAsia="等线" w:cs="Times New Roman"/>
                <w:sz w:val="20"/>
                <w:szCs w:val="20"/>
              </w:rPr>
              <w:t>))</w:t>
            </w:r>
          </w:p>
        </w:tc>
        <w:tc>
          <w:tcPr>
            <w:tcW w:w="976" w:type="pct"/>
            <w:shd w:val="clear" w:color="auto" w:fill="auto"/>
            <w:vAlign w:val="center"/>
          </w:tcPr>
          <w:p>
            <w:pPr>
              <w:spacing w:line="276" w:lineRule="auto"/>
              <w:jc w:val="center"/>
              <w:rPr>
                <w:rFonts w:hint="default" w:ascii="Times New Roman" w:hAnsi="Times New Roman" w:eastAsia="Times New Roman" w:cs="Times New Roman"/>
                <w:color w:val="auto"/>
                <w:sz w:val="20"/>
                <w:szCs w:val="20"/>
              </w:rPr>
            </w:pPr>
            <w:r>
              <w:rPr>
                <w:rFonts w:hint="default" w:ascii="Times New Roman" w:hAnsi="Times New Roman" w:cs="Times New Roman"/>
                <w:color w:val="auto"/>
                <w:sz w:val="20"/>
                <w:szCs w:val="20"/>
                <w:lang w:val="en-US" w:eastAsia="zh-CN"/>
              </w:rPr>
              <w:t>9</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46</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2</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64</w:t>
            </w:r>
            <w:r>
              <w:rPr>
                <w:rFonts w:hint="default" w:ascii="Times New Roman" w:hAnsi="Times New Roman" w:cs="Times New Roman"/>
                <w:color w:val="auto"/>
                <w:sz w:val="20"/>
                <w:szCs w:val="20"/>
              </w:rPr>
              <w:t>)</w:t>
            </w:r>
          </w:p>
        </w:tc>
        <w:tc>
          <w:tcPr>
            <w:tcW w:w="1168" w:type="pct"/>
            <w:shd w:val="clear" w:color="auto" w:fill="auto"/>
            <w:vAlign w:val="center"/>
          </w:tcPr>
          <w:p>
            <w:pPr>
              <w:spacing w:line="276" w:lineRule="auto"/>
              <w:jc w:val="center"/>
              <w:rPr>
                <w:rFonts w:hint="default" w:ascii="Times New Roman" w:hAnsi="Times New Roman" w:eastAsia="Times New Roman" w:cs="Times New Roman"/>
                <w:color w:val="auto"/>
                <w:sz w:val="20"/>
                <w:szCs w:val="20"/>
              </w:rPr>
            </w:pPr>
            <w:r>
              <w:rPr>
                <w:rFonts w:hint="default" w:ascii="Times New Roman" w:hAnsi="Times New Roman" w:cs="Times New Roman"/>
                <w:color w:val="auto"/>
                <w:sz w:val="20"/>
                <w:szCs w:val="20"/>
                <w:lang w:val="en-US" w:eastAsia="zh-CN"/>
              </w:rPr>
              <w:t>11</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19</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2</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37</w:t>
            </w:r>
            <w:r>
              <w:rPr>
                <w:rFonts w:hint="default" w:ascii="Times New Roman" w:hAnsi="Times New Roman" w:cs="Times New Roman"/>
                <w:color w:val="auto"/>
                <w:sz w:val="20"/>
                <w:szCs w:val="20"/>
              </w:rPr>
              <w:t>)</w:t>
            </w:r>
          </w:p>
        </w:tc>
        <w:tc>
          <w:tcPr>
            <w:tcW w:w="977" w:type="pct"/>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179.84</w:t>
            </w:r>
          </w:p>
        </w:tc>
        <w:tc>
          <w:tcPr>
            <w:tcW w:w="976" w:type="pct"/>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&lt;0.001</w:t>
            </w:r>
          </w:p>
        </w:tc>
      </w:tr>
      <w:tr>
        <w:tblPrEx>
          <w:tblCellMar>
            <w:top w:w="0" w:type="dxa"/>
            <w:left w:w="108" w:type="dxa"/>
            <w:bottom w:w="0" w:type="dxa"/>
            <w:right w:w="108" w:type="dxa"/>
          </w:tblCellMar>
        </w:tblPrEx>
        <w:trPr>
          <w:trHeight w:val="130" w:hRule="atLeast"/>
        </w:trPr>
        <w:tc>
          <w:tcPr>
            <w:tcW w:w="901" w:type="pct"/>
            <w:shd w:val="clear" w:color="auto" w:fill="auto"/>
            <w:vAlign w:val="center"/>
          </w:tcPr>
          <w:p>
            <w:pPr>
              <w:spacing w:line="276" w:lineRule="auto"/>
              <w:rPr>
                <w:rFonts w:hint="default" w:ascii="Times New Roman" w:hAnsi="Times New Roman" w:cs="Times New Roman"/>
                <w:sz w:val="20"/>
                <w:szCs w:val="20"/>
              </w:rPr>
            </w:pPr>
            <w:r>
              <w:rPr>
                <w:rFonts w:hint="default" w:ascii="Times New Roman" w:hAnsi="Times New Roman" w:cs="Times New Roman"/>
                <w:sz w:val="20"/>
                <w:szCs w:val="20"/>
              </w:rPr>
              <w:t>PR</w:t>
            </w:r>
            <w:r>
              <w:rPr>
                <w:rFonts w:hint="default" w:ascii="Times New Roman" w:hAnsi="Times New Roman" w:eastAsia="等线" w:cs="Times New Roman"/>
                <w:sz w:val="20"/>
                <w:szCs w:val="20"/>
              </w:rPr>
              <w:t xml:space="preserve"> (</w:t>
            </w:r>
            <w:r>
              <w:rPr>
                <w:rFonts w:hint="default" w:ascii="Times New Roman" w:hAnsi="Times New Roman" w:eastAsia="等线" w:cs="Times New Roman"/>
                <w:i/>
                <w:iCs/>
                <w:sz w:val="20"/>
                <w:szCs w:val="20"/>
              </w:rPr>
              <w:t xml:space="preserve">M </w:t>
            </w:r>
            <w:r>
              <w:rPr>
                <w:rFonts w:hint="default" w:ascii="Times New Roman" w:hAnsi="Times New Roman" w:eastAsia="等线" w:cs="Times New Roman"/>
                <w:sz w:val="20"/>
                <w:szCs w:val="20"/>
              </w:rPr>
              <w:t>(</w:t>
            </w:r>
            <w:r>
              <w:rPr>
                <w:rFonts w:hint="default" w:ascii="Times New Roman" w:hAnsi="Times New Roman" w:eastAsia="等线" w:cs="Times New Roman"/>
                <w:i w:val="0"/>
                <w:iCs w:val="0"/>
                <w:sz w:val="20"/>
                <w:szCs w:val="20"/>
              </w:rPr>
              <w:t>SD</w:t>
            </w:r>
            <w:r>
              <w:rPr>
                <w:rFonts w:hint="default" w:ascii="Times New Roman" w:hAnsi="Times New Roman" w:eastAsia="等线" w:cs="Times New Roman"/>
                <w:sz w:val="20"/>
                <w:szCs w:val="20"/>
              </w:rPr>
              <w:t>))</w:t>
            </w:r>
          </w:p>
        </w:tc>
        <w:tc>
          <w:tcPr>
            <w:tcW w:w="976" w:type="pct"/>
            <w:shd w:val="clear" w:color="auto" w:fill="auto"/>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lang w:val="en-US" w:eastAsia="zh-CN"/>
              </w:rPr>
              <w:t>47</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10</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72</w:t>
            </w:r>
            <w:r>
              <w:rPr>
                <w:rFonts w:hint="default" w:ascii="Times New Roman" w:hAnsi="Times New Roman" w:cs="Times New Roman"/>
                <w:color w:val="auto"/>
                <w:sz w:val="20"/>
                <w:szCs w:val="20"/>
              </w:rPr>
              <w:t>)</w:t>
            </w:r>
          </w:p>
        </w:tc>
        <w:tc>
          <w:tcPr>
            <w:tcW w:w="1168" w:type="pct"/>
            <w:shd w:val="clear" w:color="auto" w:fill="auto"/>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lang w:val="en-US" w:eastAsia="zh-CN"/>
              </w:rPr>
              <w:t>48</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1</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10</w:t>
            </w:r>
            <w:r>
              <w:rPr>
                <w:rFonts w:hint="default" w:ascii="Times New Roman" w:hAnsi="Times New Roman" w:cs="Times New Roman"/>
                <w:color w:val="auto"/>
                <w:sz w:val="20"/>
                <w:szCs w:val="20"/>
              </w:rPr>
              <w:t>.9</w:t>
            </w:r>
            <w:r>
              <w:rPr>
                <w:rFonts w:hint="default" w:ascii="Times New Roman" w:hAnsi="Times New Roman" w:cs="Times New Roman"/>
                <w:color w:val="auto"/>
                <w:sz w:val="20"/>
                <w:szCs w:val="20"/>
                <w:lang w:val="en-US" w:eastAsia="zh-CN"/>
              </w:rPr>
              <w:t>4</w:t>
            </w:r>
            <w:r>
              <w:rPr>
                <w:rFonts w:hint="default" w:ascii="Times New Roman" w:hAnsi="Times New Roman" w:cs="Times New Roman"/>
                <w:color w:val="auto"/>
                <w:sz w:val="20"/>
                <w:szCs w:val="20"/>
              </w:rPr>
              <w:t>)</w:t>
            </w:r>
          </w:p>
        </w:tc>
        <w:tc>
          <w:tcPr>
            <w:tcW w:w="977" w:type="pct"/>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105.35</w:t>
            </w:r>
          </w:p>
        </w:tc>
        <w:tc>
          <w:tcPr>
            <w:tcW w:w="976" w:type="pct"/>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&lt;0.001</w:t>
            </w:r>
          </w:p>
        </w:tc>
      </w:tr>
      <w:tr>
        <w:tblPrEx>
          <w:tblCellMar>
            <w:top w:w="0" w:type="dxa"/>
            <w:left w:w="108" w:type="dxa"/>
            <w:bottom w:w="0" w:type="dxa"/>
            <w:right w:w="108" w:type="dxa"/>
          </w:tblCellMar>
        </w:tblPrEx>
        <w:trPr>
          <w:trHeight w:val="130" w:hRule="atLeast"/>
        </w:trPr>
        <w:tc>
          <w:tcPr>
            <w:tcW w:w="901" w:type="pct"/>
            <w:tcBorders>
              <w:bottom w:val="single" w:color="auto" w:sz="4" w:space="0"/>
            </w:tcBorders>
            <w:shd w:val="clear" w:color="auto" w:fill="auto"/>
            <w:vAlign w:val="center"/>
          </w:tcPr>
          <w:p>
            <w:pPr>
              <w:spacing w:line="276" w:lineRule="auto"/>
              <w:rPr>
                <w:rFonts w:hint="default" w:ascii="Times New Roman" w:hAnsi="Times New Roman" w:cs="Times New Roman"/>
                <w:sz w:val="20"/>
                <w:szCs w:val="20"/>
              </w:rPr>
            </w:pPr>
            <w:r>
              <w:rPr>
                <w:rFonts w:hint="default" w:ascii="Times New Roman" w:hAnsi="Times New Roman" w:cs="Times New Roman"/>
                <w:sz w:val="20"/>
                <w:szCs w:val="20"/>
              </w:rPr>
              <w:t>SS</w:t>
            </w:r>
            <w:r>
              <w:rPr>
                <w:rFonts w:hint="default" w:ascii="Times New Roman" w:hAnsi="Times New Roman" w:eastAsia="等线" w:cs="Times New Roman"/>
                <w:sz w:val="20"/>
                <w:szCs w:val="20"/>
              </w:rPr>
              <w:t xml:space="preserve"> (</w:t>
            </w:r>
            <w:r>
              <w:rPr>
                <w:rFonts w:hint="default" w:ascii="Times New Roman" w:hAnsi="Times New Roman" w:eastAsia="等线" w:cs="Times New Roman"/>
                <w:i/>
                <w:iCs/>
                <w:sz w:val="20"/>
                <w:szCs w:val="20"/>
              </w:rPr>
              <w:t xml:space="preserve">M </w:t>
            </w:r>
            <w:r>
              <w:rPr>
                <w:rFonts w:hint="default" w:ascii="Times New Roman" w:hAnsi="Times New Roman" w:eastAsia="等线" w:cs="Times New Roman"/>
                <w:sz w:val="20"/>
                <w:szCs w:val="20"/>
              </w:rPr>
              <w:t>(</w:t>
            </w:r>
            <w:r>
              <w:rPr>
                <w:rFonts w:hint="default" w:ascii="Times New Roman" w:hAnsi="Times New Roman" w:eastAsia="等线" w:cs="Times New Roman"/>
                <w:i w:val="0"/>
                <w:iCs w:val="0"/>
                <w:sz w:val="20"/>
                <w:szCs w:val="20"/>
              </w:rPr>
              <w:t>SD</w:t>
            </w:r>
            <w:r>
              <w:rPr>
                <w:rFonts w:hint="default" w:ascii="Times New Roman" w:hAnsi="Times New Roman" w:eastAsia="等线" w:cs="Times New Roman"/>
                <w:sz w:val="20"/>
                <w:szCs w:val="20"/>
              </w:rPr>
              <w:t>))</w:t>
            </w:r>
          </w:p>
        </w:tc>
        <w:tc>
          <w:tcPr>
            <w:tcW w:w="976" w:type="pct"/>
            <w:tcBorders>
              <w:bottom w:val="single" w:color="auto" w:sz="4" w:space="0"/>
            </w:tcBorders>
            <w:shd w:val="clear" w:color="auto" w:fill="auto"/>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lang w:val="en-US" w:eastAsia="zh-CN"/>
              </w:rPr>
              <w:t>19</w:t>
            </w:r>
            <w:r>
              <w:rPr>
                <w:rFonts w:hint="default" w:ascii="Times New Roman" w:hAnsi="Times New Roman" w:cs="Times New Roman"/>
                <w:color w:val="auto"/>
                <w:sz w:val="20"/>
                <w:szCs w:val="20"/>
              </w:rPr>
              <w:t>.1</w:t>
            </w:r>
            <w:r>
              <w:rPr>
                <w:rFonts w:hint="default" w:ascii="Times New Roman" w:hAnsi="Times New Roman" w:cs="Times New Roman"/>
                <w:color w:val="auto"/>
                <w:sz w:val="20"/>
                <w:szCs w:val="20"/>
                <w:lang w:val="en-US" w:eastAsia="zh-CN"/>
              </w:rPr>
              <w:t>9</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6</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09</w:t>
            </w:r>
            <w:r>
              <w:rPr>
                <w:rFonts w:hint="default" w:ascii="Times New Roman" w:hAnsi="Times New Roman" w:cs="Times New Roman"/>
                <w:color w:val="auto"/>
                <w:sz w:val="20"/>
                <w:szCs w:val="20"/>
              </w:rPr>
              <w:t>)</w:t>
            </w:r>
          </w:p>
        </w:tc>
        <w:tc>
          <w:tcPr>
            <w:tcW w:w="1168" w:type="pct"/>
            <w:tcBorders>
              <w:bottom w:val="single" w:color="auto" w:sz="4" w:space="0"/>
            </w:tcBorders>
            <w:shd w:val="clear" w:color="auto" w:fill="auto"/>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lang w:val="en-US" w:eastAsia="zh-CN"/>
              </w:rPr>
              <w:t>20</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57</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6</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eastAsia="zh-CN"/>
              </w:rPr>
              <w:t>1</w:t>
            </w:r>
            <w:r>
              <w:rPr>
                <w:rFonts w:hint="default" w:ascii="Times New Roman" w:hAnsi="Times New Roman" w:cs="Times New Roman"/>
                <w:color w:val="auto"/>
                <w:sz w:val="20"/>
                <w:szCs w:val="20"/>
              </w:rPr>
              <w:t>3)</w:t>
            </w:r>
          </w:p>
        </w:tc>
        <w:tc>
          <w:tcPr>
            <w:tcW w:w="977" w:type="pct"/>
            <w:tcBorders>
              <w:bottom w:val="single" w:color="auto" w:sz="4" w:space="0"/>
            </w:tcBorders>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25.89</w:t>
            </w:r>
          </w:p>
        </w:tc>
        <w:tc>
          <w:tcPr>
            <w:tcW w:w="976" w:type="pct"/>
            <w:tcBorders>
              <w:bottom w:val="single" w:color="auto" w:sz="4" w:space="0"/>
            </w:tcBorders>
            <w:vAlign w:val="center"/>
          </w:tcPr>
          <w:p>
            <w:pPr>
              <w:spacing w:line="276"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&lt;0.001</w:t>
            </w:r>
          </w:p>
        </w:tc>
      </w:tr>
    </w:tbl>
    <w:p>
      <w:pPr>
        <w:rPr>
          <w:rFonts w:hint="default" w:ascii="Times New Roman" w:hAnsi="Times New Roman" w:cs="Times New Roman"/>
          <w:b w:val="0"/>
          <w:bCs/>
          <w:sz w:val="20"/>
          <w:szCs w:val="20"/>
        </w:rPr>
      </w:pPr>
      <w:r>
        <w:rPr>
          <w:rFonts w:hint="default" w:ascii="Times New Roman" w:hAnsi="Times New Roman" w:cs="Times New Roman"/>
          <w:b w:val="0"/>
          <w:bCs/>
          <w:sz w:val="20"/>
          <w:szCs w:val="20"/>
        </w:rPr>
        <w:t>Note. SSS = subjective socioeconomic status, PR = Psychological resilience, SS = Social Support;</w:t>
      </w:r>
    </w:p>
    <w:p>
      <w:pPr>
        <w:rPr>
          <w:rFonts w:hint="default" w:ascii="Times New Roman" w:hAnsi="Times New Roman" w:cs="Times New Roman"/>
          <w:b w:val="0"/>
          <w:bCs/>
          <w:sz w:val="20"/>
          <w:szCs w:val="20"/>
        </w:rPr>
      </w:pPr>
      <w:r>
        <w:rPr>
          <w:rFonts w:hint="default" w:ascii="Times New Roman" w:hAnsi="Times New Roman" w:cs="Times New Roman"/>
          <w:b w:val="0"/>
          <w:bCs/>
          <w:sz w:val="20"/>
          <w:szCs w:val="20"/>
        </w:rPr>
        <w:t>Proportion with different subscripts were significantly different from each other within a raw (</w:t>
      </w:r>
      <w:r>
        <w:rPr>
          <w:rFonts w:hint="default" w:ascii="Times New Roman" w:hAnsi="Times New Roman" w:cs="Times New Roman"/>
          <w:b w:val="0"/>
          <w:bCs/>
          <w:i/>
          <w:iCs/>
          <w:sz w:val="20"/>
          <w:szCs w:val="20"/>
        </w:rPr>
        <w:t>p</w:t>
      </w:r>
      <w:r>
        <w:rPr>
          <w:rFonts w:hint="default" w:ascii="Times New Roman" w:hAnsi="Times New Roman" w:cs="Times New Roman"/>
          <w:b w:val="0"/>
          <w:bCs/>
          <w:sz w:val="20"/>
          <w:szCs w:val="20"/>
        </w:rPr>
        <w:t xml:space="preserve"> &lt; .05).</w:t>
      </w:r>
    </w:p>
    <w:p>
      <w:pPr>
        <w:rPr>
          <w:rFonts w:hint="default" w:ascii="Times New Roman" w:hAnsi="Times New Roman" w:cs="Times New Roman"/>
          <w:b w:val="0"/>
          <w:bCs/>
          <w:sz w:val="20"/>
          <w:szCs w:val="20"/>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sz w:val="20"/>
          <w:szCs w:val="20"/>
        </w:rPr>
      </w:pPr>
      <w:r>
        <w:rPr>
          <w:rFonts w:hint="default" w:ascii="Times New Roman" w:hAnsi="Times New Roman" w:cs="Times New Roman"/>
          <w:b w:val="0"/>
          <w:bCs/>
          <w:sz w:val="20"/>
          <w:szCs w:val="20"/>
        </w:rPr>
        <w:t>Table S1 suggest</w:t>
      </w:r>
      <w:r>
        <w:rPr>
          <w:rFonts w:hint="eastAsia" w:ascii="Times New Roman" w:hAnsi="Times New Roman" w:cs="Times New Roman"/>
          <w:b w:val="0"/>
          <w:bCs/>
          <w:sz w:val="20"/>
          <w:szCs w:val="20"/>
          <w:lang w:val="en-US" w:eastAsia="zh-CN"/>
        </w:rPr>
        <w:t>s</w:t>
      </w:r>
      <w:r>
        <w:rPr>
          <w:rFonts w:hint="default" w:ascii="Times New Roman" w:hAnsi="Times New Roman" w:cs="Times New Roman"/>
          <w:b w:val="0"/>
          <w:bCs/>
          <w:sz w:val="20"/>
          <w:szCs w:val="20"/>
        </w:rPr>
        <w:t xml:space="preserve"> that demographic differences exist between first-generation and continuing-generation college students, which aligns with the broader socioeconomic patterns in China. First, a higher proportion of girls w</w:t>
      </w:r>
      <w:r>
        <w:rPr>
          <w:rFonts w:hint="eastAsia" w:ascii="Times New Roman" w:hAnsi="Times New Roman" w:cs="Times New Roman"/>
          <w:b w:val="0"/>
          <w:bCs/>
          <w:sz w:val="20"/>
          <w:szCs w:val="20"/>
          <w:lang w:val="en-US" w:eastAsia="zh-CN"/>
        </w:rPr>
        <w:t>as</w:t>
      </w:r>
      <w:r>
        <w:rPr>
          <w:rFonts w:hint="default" w:ascii="Times New Roman" w:hAnsi="Times New Roman" w:cs="Times New Roman"/>
          <w:b w:val="0"/>
          <w:bCs/>
          <w:sz w:val="20"/>
          <w:szCs w:val="20"/>
        </w:rPr>
        <w:t xml:space="preserve"> observed among first-generation students (45.2%) compared to continuing-generation students (42.8%), </w:t>
      </w:r>
      <w:r>
        <w:rPr>
          <w:rFonts w:hint="default" w:ascii="Times New Roman" w:hAnsi="Times New Roman" w:cs="Times New Roman"/>
          <w:b w:val="0"/>
          <w:bCs/>
          <w:i/>
          <w:iCs/>
          <w:sz w:val="20"/>
          <w:szCs w:val="20"/>
        </w:rPr>
        <w:t>χ</w:t>
      </w:r>
      <w:r>
        <w:rPr>
          <w:rFonts w:hint="default" w:ascii="Times New Roman" w:hAnsi="Times New Roman" w:cs="Times New Roman"/>
          <w:b w:val="0"/>
          <w:bCs/>
          <w:sz w:val="20"/>
          <w:szCs w:val="20"/>
        </w:rPr>
        <w:t xml:space="preserve">² = 5.22, </w:t>
      </w:r>
      <w:r>
        <w:rPr>
          <w:rFonts w:hint="default" w:ascii="Times New Roman" w:hAnsi="Times New Roman" w:cs="Times New Roman"/>
          <w:b w:val="0"/>
          <w:bCs/>
          <w:i/>
          <w:iCs/>
          <w:sz w:val="20"/>
          <w:szCs w:val="20"/>
        </w:rPr>
        <w:t>p</w:t>
      </w:r>
      <w:r>
        <w:rPr>
          <w:rFonts w:hint="default" w:ascii="Times New Roman" w:hAnsi="Times New Roman" w:cs="Times New Roman"/>
          <w:b w:val="0"/>
          <w:bCs/>
          <w:sz w:val="20"/>
          <w:szCs w:val="20"/>
        </w:rPr>
        <w:t xml:space="preserve"> = 0.013. This pattern is consistent with national demographic trends, in which rural populations show a more balanced gender ratio (1.03) </w:t>
      </w:r>
      <w:r>
        <w:rPr>
          <w:rFonts w:hint="eastAsia" w:ascii="Times New Roman" w:hAnsi="Times New Roman" w:cs="Times New Roman"/>
          <w:b w:val="0"/>
          <w:bCs/>
          <w:sz w:val="20"/>
          <w:szCs w:val="20"/>
          <w:lang w:val="en-US" w:eastAsia="zh-CN"/>
        </w:rPr>
        <w:t>than</w:t>
      </w:r>
      <w:r>
        <w:rPr>
          <w:rFonts w:hint="default" w:ascii="Times New Roman" w:hAnsi="Times New Roman" w:cs="Times New Roman"/>
          <w:b w:val="0"/>
          <w:bCs/>
          <w:sz w:val="20"/>
          <w:szCs w:val="20"/>
        </w:rPr>
        <w:t xml:space="preserve"> urban populations (1.08) according to the China Statistical Yearbook (2021). Second, significant regional distribution differences were found, </w:t>
      </w:r>
      <w:r>
        <w:rPr>
          <w:rFonts w:hint="default" w:ascii="Times New Roman" w:hAnsi="Times New Roman" w:cs="Times New Roman"/>
          <w:b w:val="0"/>
          <w:bCs/>
          <w:i/>
          <w:iCs/>
          <w:sz w:val="20"/>
          <w:szCs w:val="20"/>
        </w:rPr>
        <w:t>χ</w:t>
      </w:r>
      <w:r>
        <w:rPr>
          <w:rFonts w:hint="default" w:ascii="Times New Roman" w:hAnsi="Times New Roman" w:cs="Times New Roman"/>
          <w:b w:val="0"/>
          <w:bCs/>
          <w:sz w:val="20"/>
          <w:szCs w:val="20"/>
        </w:rPr>
        <w:t xml:space="preserve">² = 49.84, </w:t>
      </w:r>
      <w:r>
        <w:rPr>
          <w:rFonts w:hint="default" w:ascii="Times New Roman" w:hAnsi="Times New Roman" w:cs="Times New Roman"/>
          <w:b w:val="0"/>
          <w:bCs/>
          <w:i/>
          <w:iCs/>
          <w:sz w:val="20"/>
          <w:szCs w:val="20"/>
        </w:rPr>
        <w:t>p</w:t>
      </w:r>
      <w:r>
        <w:rPr>
          <w:rFonts w:hint="default" w:ascii="Times New Roman" w:hAnsi="Times New Roman" w:cs="Times New Roman"/>
          <w:b w:val="0"/>
          <w:bCs/>
          <w:sz w:val="20"/>
          <w:szCs w:val="20"/>
        </w:rPr>
        <w:t xml:space="preserve"> &lt; 0.001. First-generation students were overrepresented in Jiangsu province (43.0% vs. 33.2%), while continuing-generation students were more concentrated in Beijing (18.3% vs. 28.9%). This geographical pattern reflects the urban-rural composition of these regions, with Jiangsu having a larger rural population base. Third, although the mean age difference was statistically significant (</w:t>
      </w:r>
      <w:r>
        <w:rPr>
          <w:rFonts w:hint="default" w:ascii="Times New Roman" w:hAnsi="Times New Roman" w:cs="Times New Roman"/>
          <w:b w:val="0"/>
          <w:bCs/>
          <w:i/>
          <w:iCs/>
          <w:sz w:val="20"/>
          <w:szCs w:val="20"/>
        </w:rPr>
        <w:t>F</w:t>
      </w:r>
      <w:r>
        <w:rPr>
          <w:rFonts w:hint="default" w:ascii="Times New Roman" w:hAnsi="Times New Roman" w:cs="Times New Roman"/>
          <w:b w:val="0"/>
          <w:bCs/>
          <w:sz w:val="20"/>
          <w:szCs w:val="20"/>
        </w:rPr>
        <w:t xml:space="preserve"> = 296.27, </w:t>
      </w:r>
      <w:r>
        <w:rPr>
          <w:rFonts w:hint="default" w:ascii="Times New Roman" w:hAnsi="Times New Roman" w:cs="Times New Roman"/>
          <w:b w:val="0"/>
          <w:bCs/>
          <w:i/>
          <w:iCs/>
          <w:sz w:val="20"/>
          <w:szCs w:val="20"/>
        </w:rPr>
        <w:t>p</w:t>
      </w:r>
      <w:r>
        <w:rPr>
          <w:rFonts w:hint="default" w:ascii="Times New Roman" w:hAnsi="Times New Roman" w:cs="Times New Roman"/>
          <w:b w:val="0"/>
          <w:bCs/>
          <w:sz w:val="20"/>
          <w:szCs w:val="20"/>
        </w:rPr>
        <w:t xml:space="preserve"> &lt; 0.001), the actual difference was minimal (first-generation: </w:t>
      </w:r>
      <w:r>
        <w:rPr>
          <w:rFonts w:hint="default" w:ascii="Times New Roman" w:hAnsi="Times New Roman" w:cs="Times New Roman"/>
          <w:b w:val="0"/>
          <w:bCs/>
          <w:i/>
          <w:iCs/>
          <w:sz w:val="20"/>
          <w:szCs w:val="20"/>
        </w:rPr>
        <w:t>M</w:t>
      </w:r>
      <w:r>
        <w:rPr>
          <w:rFonts w:hint="default" w:ascii="Times New Roman" w:hAnsi="Times New Roman" w:cs="Times New Roman"/>
          <w:b w:val="0"/>
          <w:bCs/>
          <w:sz w:val="20"/>
          <w:szCs w:val="20"/>
        </w:rPr>
        <w:t xml:space="preserve"> = 18.13, </w:t>
      </w:r>
      <w:r>
        <w:rPr>
          <w:rFonts w:hint="default" w:ascii="Times New Roman" w:hAnsi="Times New Roman" w:cs="Times New Roman"/>
          <w:b w:val="0"/>
          <w:bCs/>
          <w:i w:val="0"/>
          <w:iCs w:val="0"/>
          <w:sz w:val="20"/>
          <w:szCs w:val="20"/>
        </w:rPr>
        <w:t>SD</w:t>
      </w:r>
      <w:r>
        <w:rPr>
          <w:rFonts w:hint="default" w:ascii="Times New Roman" w:hAnsi="Times New Roman" w:cs="Times New Roman"/>
          <w:b w:val="0"/>
          <w:bCs/>
          <w:sz w:val="20"/>
          <w:szCs w:val="20"/>
        </w:rPr>
        <w:t xml:space="preserve"> = 0.78; continuing-generation: </w:t>
      </w:r>
      <w:r>
        <w:rPr>
          <w:rFonts w:hint="default" w:ascii="Times New Roman" w:hAnsi="Times New Roman" w:cs="Times New Roman"/>
          <w:b w:val="0"/>
          <w:bCs/>
          <w:i/>
          <w:iCs/>
          <w:sz w:val="20"/>
          <w:szCs w:val="20"/>
        </w:rPr>
        <w:t>M</w:t>
      </w:r>
      <w:r>
        <w:rPr>
          <w:rFonts w:hint="default" w:ascii="Times New Roman" w:hAnsi="Times New Roman" w:cs="Times New Roman"/>
          <w:b w:val="0"/>
          <w:bCs/>
          <w:sz w:val="20"/>
          <w:szCs w:val="20"/>
        </w:rPr>
        <w:t xml:space="preserve"> = 18.16, </w:t>
      </w:r>
      <w:r>
        <w:rPr>
          <w:rFonts w:hint="default" w:ascii="Times New Roman" w:hAnsi="Times New Roman" w:cs="Times New Roman"/>
          <w:b w:val="0"/>
          <w:bCs/>
          <w:i/>
          <w:iCs/>
          <w:sz w:val="20"/>
          <w:szCs w:val="20"/>
        </w:rPr>
        <w:t>SD</w:t>
      </w:r>
      <w:r>
        <w:rPr>
          <w:rFonts w:hint="default" w:ascii="Times New Roman" w:hAnsi="Times New Roman" w:cs="Times New Roman"/>
          <w:b w:val="0"/>
          <w:bCs/>
          <w:sz w:val="20"/>
          <w:szCs w:val="20"/>
        </w:rPr>
        <w:t xml:space="preserve"> = 1.28). This slight variation may be attributed to educational policy implementations in rural areas, where the Compulsory Education Law allows for delayed school entry and grade retention in regions with limited educational resources. Fourth, first-generation students reported significantly lower subjective socioeconomic status (SSS: </w:t>
      </w:r>
      <w:r>
        <w:rPr>
          <w:rFonts w:hint="default" w:ascii="Times New Roman" w:hAnsi="Times New Roman" w:cs="Times New Roman"/>
          <w:b w:val="0"/>
          <w:bCs/>
          <w:i/>
          <w:iCs/>
          <w:sz w:val="20"/>
          <w:szCs w:val="20"/>
        </w:rPr>
        <w:t>M</w:t>
      </w:r>
      <w:r>
        <w:rPr>
          <w:rFonts w:hint="default" w:ascii="Times New Roman" w:hAnsi="Times New Roman" w:cs="Times New Roman"/>
          <w:b w:val="0"/>
          <w:bCs/>
          <w:sz w:val="20"/>
          <w:szCs w:val="20"/>
        </w:rPr>
        <w:t xml:space="preserve"> = 9.46, SD = 2.64) compared to continuing-generation students (</w:t>
      </w:r>
      <w:r>
        <w:rPr>
          <w:rFonts w:hint="default" w:ascii="Times New Roman" w:hAnsi="Times New Roman" w:cs="Times New Roman"/>
          <w:b w:val="0"/>
          <w:bCs/>
          <w:i/>
          <w:iCs/>
          <w:sz w:val="20"/>
          <w:szCs w:val="20"/>
        </w:rPr>
        <w:t>M</w:t>
      </w:r>
      <w:r>
        <w:rPr>
          <w:rFonts w:hint="default" w:ascii="Times New Roman" w:hAnsi="Times New Roman" w:cs="Times New Roman"/>
          <w:b w:val="0"/>
          <w:bCs/>
          <w:sz w:val="20"/>
          <w:szCs w:val="20"/>
        </w:rPr>
        <w:t xml:space="preserve"> = 11.19, SD = 2.37), </w:t>
      </w:r>
      <w:r>
        <w:rPr>
          <w:rFonts w:hint="default" w:ascii="Times New Roman" w:hAnsi="Times New Roman" w:cs="Times New Roman"/>
          <w:b w:val="0"/>
          <w:bCs/>
          <w:i/>
          <w:iCs/>
          <w:sz w:val="20"/>
          <w:szCs w:val="20"/>
        </w:rPr>
        <w:t>F</w:t>
      </w:r>
      <w:r>
        <w:rPr>
          <w:rFonts w:hint="default" w:ascii="Times New Roman" w:hAnsi="Times New Roman" w:cs="Times New Roman"/>
          <w:b w:val="0"/>
          <w:bCs/>
          <w:sz w:val="20"/>
          <w:szCs w:val="20"/>
        </w:rPr>
        <w:t xml:space="preserve"> = 179.84, </w:t>
      </w:r>
      <w:r>
        <w:rPr>
          <w:rFonts w:hint="default" w:ascii="Times New Roman" w:hAnsi="Times New Roman" w:cs="Times New Roman"/>
          <w:b w:val="0"/>
          <w:bCs/>
          <w:i/>
          <w:iCs/>
          <w:sz w:val="20"/>
          <w:szCs w:val="20"/>
        </w:rPr>
        <w:t>p</w:t>
      </w:r>
      <w:r>
        <w:rPr>
          <w:rFonts w:hint="default" w:ascii="Times New Roman" w:hAnsi="Times New Roman" w:cs="Times New Roman"/>
          <w:b w:val="0"/>
          <w:bCs/>
          <w:sz w:val="20"/>
          <w:szCs w:val="20"/>
        </w:rPr>
        <w:t xml:space="preserve"> &lt; 0.001. This disparity mirrors the substantial urban-rural income gap documented in the China Statistical Yearbook (2021), which shows urban residents' disposable income was approximately 2.7 times that of rural residents from 2017</w:t>
      </w:r>
      <w:r>
        <w:rPr>
          <w:rFonts w:hint="eastAsia" w:ascii="Times New Roman" w:hAnsi="Times New Roman" w:cs="Times New Roman"/>
          <w:b w:val="0"/>
          <w:bCs/>
          <w:sz w:val="20"/>
          <w:szCs w:val="20"/>
          <w:lang w:val="en-US" w:eastAsia="zh-CN"/>
        </w:rPr>
        <w:t xml:space="preserve"> to </w:t>
      </w:r>
      <w:r>
        <w:rPr>
          <w:rFonts w:hint="default" w:ascii="Times New Roman" w:hAnsi="Times New Roman" w:cs="Times New Roman"/>
          <w:b w:val="0"/>
          <w:bCs/>
          <w:sz w:val="20"/>
          <w:szCs w:val="20"/>
        </w:rPr>
        <w:t xml:space="preserve">2020. Finally, first-generation students demonstrated lower levels of both psychological resilience (PR: </w:t>
      </w:r>
      <w:r>
        <w:rPr>
          <w:rFonts w:hint="default" w:ascii="Times New Roman" w:hAnsi="Times New Roman" w:cs="Times New Roman"/>
          <w:b w:val="0"/>
          <w:bCs/>
          <w:i/>
          <w:iCs/>
          <w:sz w:val="20"/>
          <w:szCs w:val="20"/>
        </w:rPr>
        <w:t>M</w:t>
      </w:r>
      <w:r>
        <w:rPr>
          <w:rFonts w:hint="default" w:ascii="Times New Roman" w:hAnsi="Times New Roman" w:cs="Times New Roman"/>
          <w:b w:val="0"/>
          <w:bCs/>
          <w:sz w:val="20"/>
          <w:szCs w:val="20"/>
        </w:rPr>
        <w:t xml:space="preserve"> = 47.0, SD = 10.72 vs. </w:t>
      </w:r>
      <w:r>
        <w:rPr>
          <w:rFonts w:hint="default" w:ascii="Times New Roman" w:hAnsi="Times New Roman" w:cs="Times New Roman"/>
          <w:b w:val="0"/>
          <w:bCs/>
          <w:i/>
          <w:iCs/>
          <w:sz w:val="20"/>
          <w:szCs w:val="20"/>
        </w:rPr>
        <w:t>M</w:t>
      </w:r>
      <w:r>
        <w:rPr>
          <w:rFonts w:hint="default" w:ascii="Times New Roman" w:hAnsi="Times New Roman" w:cs="Times New Roman"/>
          <w:b w:val="0"/>
          <w:bCs/>
          <w:sz w:val="20"/>
          <w:szCs w:val="20"/>
        </w:rPr>
        <w:t xml:space="preserve"> = 48.1, SD = 10.94; </w:t>
      </w:r>
      <w:r>
        <w:rPr>
          <w:rFonts w:hint="default" w:ascii="Times New Roman" w:hAnsi="Times New Roman" w:cs="Times New Roman"/>
          <w:b w:val="0"/>
          <w:bCs/>
          <w:i/>
          <w:iCs/>
          <w:sz w:val="20"/>
          <w:szCs w:val="20"/>
        </w:rPr>
        <w:t>F</w:t>
      </w:r>
      <w:r>
        <w:rPr>
          <w:rFonts w:hint="default" w:ascii="Times New Roman" w:hAnsi="Times New Roman" w:cs="Times New Roman"/>
          <w:b w:val="0"/>
          <w:bCs/>
          <w:sz w:val="20"/>
          <w:szCs w:val="20"/>
        </w:rPr>
        <w:t xml:space="preserve"> = 105.35, </w:t>
      </w:r>
      <w:r>
        <w:rPr>
          <w:rFonts w:hint="default" w:ascii="Times New Roman" w:hAnsi="Times New Roman" w:cs="Times New Roman"/>
          <w:b w:val="0"/>
          <w:bCs/>
          <w:i/>
          <w:iCs/>
          <w:sz w:val="20"/>
          <w:szCs w:val="20"/>
        </w:rPr>
        <w:t>p</w:t>
      </w:r>
      <w:r>
        <w:rPr>
          <w:rFonts w:hint="default" w:ascii="Times New Roman" w:hAnsi="Times New Roman" w:cs="Times New Roman"/>
          <w:b w:val="0"/>
          <w:bCs/>
          <w:sz w:val="20"/>
          <w:szCs w:val="20"/>
        </w:rPr>
        <w:t xml:space="preserve"> &lt; 0.001) and social support (SS: </w:t>
      </w:r>
      <w:r>
        <w:rPr>
          <w:rFonts w:hint="default" w:ascii="Times New Roman" w:hAnsi="Times New Roman" w:cs="Times New Roman"/>
          <w:b w:val="0"/>
          <w:bCs/>
          <w:i/>
          <w:iCs/>
          <w:sz w:val="20"/>
          <w:szCs w:val="20"/>
        </w:rPr>
        <w:t>M</w:t>
      </w:r>
      <w:r>
        <w:rPr>
          <w:rFonts w:hint="default" w:ascii="Times New Roman" w:hAnsi="Times New Roman" w:cs="Times New Roman"/>
          <w:b w:val="0"/>
          <w:bCs/>
          <w:sz w:val="20"/>
          <w:szCs w:val="20"/>
        </w:rPr>
        <w:t xml:space="preserve"> = 19.19, SD = 6.09 vs. </w:t>
      </w:r>
      <w:r>
        <w:rPr>
          <w:rFonts w:hint="default" w:ascii="Times New Roman" w:hAnsi="Times New Roman" w:cs="Times New Roman"/>
          <w:b w:val="0"/>
          <w:bCs/>
          <w:i/>
          <w:iCs/>
          <w:sz w:val="20"/>
          <w:szCs w:val="20"/>
        </w:rPr>
        <w:t>M</w:t>
      </w:r>
      <w:r>
        <w:rPr>
          <w:rFonts w:hint="default" w:ascii="Times New Roman" w:hAnsi="Times New Roman" w:cs="Times New Roman"/>
          <w:b w:val="0"/>
          <w:bCs/>
          <w:sz w:val="20"/>
          <w:szCs w:val="20"/>
        </w:rPr>
        <w:t xml:space="preserve"> = 20.57, SD = 6.13; </w:t>
      </w:r>
      <w:r>
        <w:rPr>
          <w:rFonts w:hint="default" w:ascii="Times New Roman" w:hAnsi="Times New Roman" w:cs="Times New Roman"/>
          <w:b w:val="0"/>
          <w:bCs/>
          <w:i/>
          <w:iCs/>
          <w:sz w:val="20"/>
          <w:szCs w:val="20"/>
        </w:rPr>
        <w:t>F</w:t>
      </w:r>
      <w:r>
        <w:rPr>
          <w:rFonts w:hint="default" w:ascii="Times New Roman" w:hAnsi="Times New Roman" w:cs="Times New Roman"/>
          <w:b w:val="0"/>
          <w:bCs/>
          <w:sz w:val="20"/>
          <w:szCs w:val="20"/>
        </w:rPr>
        <w:t xml:space="preserve"> = 25.89, </w:t>
      </w:r>
      <w:r>
        <w:rPr>
          <w:rFonts w:hint="default" w:ascii="Times New Roman" w:hAnsi="Times New Roman" w:cs="Times New Roman"/>
          <w:b w:val="0"/>
          <w:bCs/>
          <w:i/>
          <w:iCs/>
          <w:sz w:val="20"/>
          <w:szCs w:val="20"/>
        </w:rPr>
        <w:t>p</w:t>
      </w:r>
      <w:r>
        <w:rPr>
          <w:rFonts w:hint="default" w:ascii="Times New Roman" w:hAnsi="Times New Roman" w:cs="Times New Roman"/>
          <w:b w:val="0"/>
          <w:bCs/>
          <w:sz w:val="20"/>
          <w:szCs w:val="20"/>
        </w:rPr>
        <w:t xml:space="preserve"> &lt; 0.001), consistent with typically reduced parental academic involvement and future orientation resources available in rural environments.</w:t>
      </w:r>
    </w:p>
    <w:p>
      <w:pPr>
        <w:widowControl/>
        <w:jc w:val="left"/>
        <w:rPr>
          <w:rFonts w:hint="default" w:ascii="Times New Roman" w:hAnsi="Times New Roman" w:cs="Times New Roman"/>
          <w:b w:val="0"/>
          <w:bCs/>
          <w:szCs w:val="21"/>
        </w:rPr>
      </w:pPr>
      <w:r>
        <w:rPr>
          <w:rFonts w:hint="default" w:ascii="Times New Roman" w:hAnsi="Times New Roman" w:cs="Times New Roman"/>
          <w:b w:val="0"/>
          <w:bCs/>
          <w:szCs w:val="21"/>
        </w:rPr>
        <w:br w:type="page"/>
      </w:r>
    </w:p>
    <w:p>
      <w:pPr>
        <w:spacing w:line="360" w:lineRule="auto"/>
        <w:rPr>
          <w:rFonts w:hint="default" w:ascii="Times New Roman" w:hAnsi="Times New Roman" w:cs="Times New Roman"/>
          <w:b/>
          <w:bCs w:val="0"/>
          <w:szCs w:val="21"/>
        </w:rPr>
      </w:pPr>
      <w:r>
        <w:rPr>
          <w:rFonts w:hint="default" w:ascii="Times New Roman" w:hAnsi="Times New Roman" w:cs="Times New Roman"/>
          <w:b/>
          <w:bCs w:val="0"/>
          <w:szCs w:val="21"/>
        </w:rPr>
        <w:t>Alternate model analyses</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宋体" w:cs="Times New Roman"/>
          <w:sz w:val="20"/>
          <w:szCs w:val="20"/>
          <w:shd w:val="clear" w:color="auto" w:fill="FFFFFF"/>
        </w:rPr>
      </w:pPr>
      <w:bookmarkStart w:id="2" w:name="OLE_LINK1"/>
      <w:r>
        <w:rPr>
          <w:rFonts w:hint="default" w:ascii="Times New Roman" w:hAnsi="Times New Roman" w:cs="Times New Roman"/>
          <w:sz w:val="20"/>
          <w:szCs w:val="20"/>
          <w:lang w:val="en-US" w:eastAsia="zh-CN"/>
        </w:rPr>
        <w:t xml:space="preserve">Although both latent class growth analysis (LCGA) and growth mixture modeling (GMM) are widely used longitudinal mixture techniques (Herle et al., 2020), LCGA was selected for the current study based on comparative model evaluation. While GMM allows for within-class variation, its increased complexity can lead to convergence problems and overfitting, particularly with smaller class sizes (Pennoni &amp; Romeo, 2017; Van der Nest et al., 2020). To empirically justify this choice, we compared LCGA against GMM specifications, including a GMM with only slope variances fixed to zero (GMM1). As shown in Table S5, the GMM1 solutions demonstrated several limitations: the 4- and 5-class solutions contained very small classes (each comprising only 4.39%-4.47% of the sample), falling below the recommended 5% threshold for class stability (Jung &amp; Wickrama, 2008; Nylund et al., 2007). Additionally, entropy values for the 2- and 3-class solutions were suboptimal (0.52 and 0.54, respectively), indicating inadequate class separation. A fully unrestricted GMM (GMM2) also failed to converge for the 3- to 5-class solutions. Although the 4-class GMM1 solution showed improved entropy (0.67) and significant LMR-LRT </w:t>
      </w:r>
      <w:r>
        <w:rPr>
          <w:rFonts w:hint="default" w:ascii="Times New Roman" w:hAnsi="Times New Roman" w:cs="Times New Roman"/>
          <w:i/>
          <w:iCs/>
          <w:sz w:val="20"/>
          <w:szCs w:val="20"/>
          <w:lang w:val="en-US" w:eastAsia="zh-CN"/>
        </w:rPr>
        <w:t>p</w:t>
      </w:r>
      <w:r>
        <w:rPr>
          <w:rFonts w:hint="default" w:ascii="Times New Roman" w:hAnsi="Times New Roman" w:cs="Times New Roman"/>
          <w:sz w:val="20"/>
          <w:szCs w:val="20"/>
          <w:lang w:val="en-US" w:eastAsia="zh-CN"/>
        </w:rPr>
        <w:t>-values, its smallest class size (4.47%) remained below the recommended standard. By contrast, the more parsimonious LCGA approach provided conceptually clear and empirically stable class solutions that adequately balanced model fit with interpretability, making it better suited to the data patterns observed in this study.</w:t>
      </w:r>
    </w:p>
    <w:bookmarkEnd w:id="2"/>
    <w:p>
      <w:pPr>
        <w:spacing w:line="360" w:lineRule="auto"/>
        <w:jc w:val="center"/>
        <w:rPr>
          <w:rFonts w:hint="default" w:ascii="Times New Roman" w:hAnsi="Times New Roman" w:cs="Times New Roman"/>
          <w:b w:val="0"/>
          <w:bCs/>
          <w:sz w:val="20"/>
          <w:szCs w:val="20"/>
        </w:rPr>
      </w:pPr>
      <w:r>
        <w:rPr>
          <w:rFonts w:hint="default" w:ascii="Times New Roman" w:hAnsi="Times New Roman" w:cs="Times New Roman"/>
          <w:b w:val="0"/>
          <w:bCs/>
          <w:sz w:val="20"/>
          <w:szCs w:val="20"/>
        </w:rPr>
        <w:t>Table S2 Model fit statistics for GMM1 results (</w:t>
      </w:r>
      <w:r>
        <w:rPr>
          <w:rFonts w:hint="default" w:ascii="Times New Roman" w:hAnsi="Times New Roman" w:cs="Times New Roman"/>
          <w:b w:val="0"/>
          <w:bCs/>
          <w:i/>
          <w:iCs/>
          <w:sz w:val="20"/>
          <w:szCs w:val="20"/>
        </w:rPr>
        <w:t>N</w:t>
      </w:r>
      <w:r>
        <w:rPr>
          <w:rFonts w:hint="default" w:ascii="Times New Roman" w:hAnsi="Times New Roman" w:cs="Times New Roman"/>
          <w:b w:val="0"/>
          <w:bCs/>
          <w:sz w:val="20"/>
          <w:szCs w:val="20"/>
        </w:rPr>
        <w:t xml:space="preserve"> = 2326)</w:t>
      </w:r>
    </w:p>
    <w:tbl>
      <w:tblPr>
        <w:tblStyle w:val="17"/>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6"/>
        <w:gridCol w:w="1106"/>
        <w:gridCol w:w="1003"/>
        <w:gridCol w:w="1003"/>
        <w:gridCol w:w="894"/>
        <w:gridCol w:w="2299"/>
        <w:gridCol w:w="136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497" w:type="pct"/>
            <w:tcBorders>
              <w:bottom w:val="single" w:color="auto" w:sz="4" w:space="0"/>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Classes</w:t>
            </w:r>
          </w:p>
        </w:tc>
        <w:tc>
          <w:tcPr>
            <w:tcW w:w="649" w:type="pct"/>
            <w:tcBorders>
              <w:bottom w:val="single" w:color="auto" w:sz="4" w:space="0"/>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AIC</w:t>
            </w:r>
          </w:p>
        </w:tc>
        <w:tc>
          <w:tcPr>
            <w:tcW w:w="588" w:type="pct"/>
            <w:tcBorders>
              <w:bottom w:val="single" w:color="auto" w:sz="4" w:space="0"/>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BIC</w:t>
            </w:r>
          </w:p>
        </w:tc>
        <w:tc>
          <w:tcPr>
            <w:tcW w:w="588" w:type="pct"/>
            <w:tcBorders>
              <w:bottom w:val="single" w:color="auto" w:sz="4" w:space="0"/>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Adj-BIC</w:t>
            </w:r>
          </w:p>
        </w:tc>
        <w:tc>
          <w:tcPr>
            <w:tcW w:w="524" w:type="pct"/>
            <w:tcBorders>
              <w:bottom w:val="single" w:color="auto" w:sz="4" w:space="0"/>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Entropy</w:t>
            </w:r>
          </w:p>
        </w:tc>
        <w:tc>
          <w:tcPr>
            <w:tcW w:w="1348" w:type="pct"/>
            <w:tcBorders>
              <w:bottom w:val="single" w:color="auto" w:sz="4" w:space="0"/>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rPr>
              <w:t>Adj-LMR-LRT (</w:t>
            </w:r>
            <w:r>
              <w:rPr>
                <w:rFonts w:hint="default" w:ascii="Times New Roman" w:hAnsi="Times New Roman" w:eastAsia="宋体" w:cs="Times New Roman"/>
                <w:i/>
                <w:iCs/>
                <w:sz w:val="20"/>
                <w:szCs w:val="20"/>
              </w:rPr>
              <w:t>p</w:t>
            </w:r>
            <w:r>
              <w:rPr>
                <w:rFonts w:hint="default" w:ascii="Times New Roman" w:hAnsi="Times New Roman" w:eastAsia="宋体" w:cs="Times New Roman"/>
                <w:sz w:val="20"/>
                <w:szCs w:val="20"/>
              </w:rPr>
              <w:t xml:space="preserve"> value)</w:t>
            </w:r>
          </w:p>
        </w:tc>
        <w:tc>
          <w:tcPr>
            <w:tcW w:w="802" w:type="pct"/>
            <w:tcBorders>
              <w:bottom w:val="single" w:color="auto" w:sz="4" w:space="0"/>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N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497" w:type="pct"/>
            <w:tcBorders>
              <w:top w:val="single" w:color="auto" w:sz="4" w:space="0"/>
              <w:bottom w:val="nil"/>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2</w:t>
            </w:r>
          </w:p>
        </w:tc>
        <w:tc>
          <w:tcPr>
            <w:tcW w:w="649" w:type="pct"/>
            <w:tcBorders>
              <w:top w:val="single" w:color="auto" w:sz="4" w:space="0"/>
              <w:bottom w:val="nil"/>
            </w:tcBorders>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57397.142</w:t>
            </w:r>
          </w:p>
        </w:tc>
        <w:tc>
          <w:tcPr>
            <w:tcW w:w="588" w:type="pct"/>
            <w:tcBorders>
              <w:top w:val="single" w:color="auto" w:sz="4" w:space="0"/>
              <w:bottom w:val="nil"/>
            </w:tcBorders>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57512.18</w:t>
            </w:r>
          </w:p>
        </w:tc>
        <w:tc>
          <w:tcPr>
            <w:tcW w:w="588" w:type="pct"/>
            <w:tcBorders>
              <w:top w:val="single" w:color="auto" w:sz="4" w:space="0"/>
              <w:bottom w:val="nil"/>
            </w:tcBorders>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57448.64</w:t>
            </w:r>
          </w:p>
        </w:tc>
        <w:tc>
          <w:tcPr>
            <w:tcW w:w="524" w:type="pct"/>
            <w:tcBorders>
              <w:top w:val="single" w:color="auto" w:sz="4" w:space="0"/>
              <w:bottom w:val="nil"/>
            </w:tcBorders>
            <w:vAlign w:val="center"/>
          </w:tcPr>
          <w:p>
            <w:pPr>
              <w:spacing w:line="276" w:lineRule="auto"/>
              <w:jc w:val="center"/>
              <w:rPr>
                <w:rFonts w:hint="default" w:ascii="Times New Roman" w:hAnsi="Times New Roman" w:eastAsia="宋体" w:cs="Times New Roman"/>
                <w:sz w:val="20"/>
                <w:szCs w:val="20"/>
                <w:shd w:val="clear" w:color="auto" w:fill="FFFFFF"/>
                <w:lang w:val="en-US"/>
              </w:rPr>
            </w:pPr>
            <w:r>
              <w:rPr>
                <w:rFonts w:hint="default" w:ascii="Times New Roman" w:hAnsi="Times New Roman" w:eastAsia="宋体" w:cs="Times New Roman"/>
                <w:sz w:val="20"/>
                <w:szCs w:val="20"/>
                <w:shd w:val="clear" w:color="auto" w:fill="FFFFFF"/>
                <w:lang w:val="en-US" w:eastAsia="zh-CN"/>
              </w:rPr>
              <w:t>0.52</w:t>
            </w:r>
          </w:p>
        </w:tc>
        <w:tc>
          <w:tcPr>
            <w:tcW w:w="1348" w:type="pct"/>
            <w:tcBorders>
              <w:top w:val="single" w:color="auto" w:sz="4" w:space="0"/>
              <w:bottom w:val="nil"/>
            </w:tcBorders>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&lt;</w:t>
            </w:r>
            <w:r>
              <w:rPr>
                <w:rFonts w:hint="default" w:ascii="Times New Roman" w:hAnsi="Times New Roman" w:eastAsia="宋体" w:cs="Times New Roman"/>
                <w:sz w:val="20"/>
                <w:szCs w:val="20"/>
                <w:shd w:val="clear" w:color="auto" w:fill="FFFFFF"/>
                <w:lang w:val="en-US" w:eastAsia="zh-CN"/>
              </w:rPr>
              <w:t>0</w:t>
            </w:r>
            <w:r>
              <w:rPr>
                <w:rFonts w:hint="default" w:ascii="Times New Roman" w:hAnsi="Times New Roman" w:eastAsia="宋体" w:cs="Times New Roman"/>
                <w:sz w:val="20"/>
                <w:szCs w:val="20"/>
                <w:shd w:val="clear" w:color="auto" w:fill="FFFFFF"/>
              </w:rPr>
              <w:t>.001</w:t>
            </w:r>
          </w:p>
        </w:tc>
        <w:tc>
          <w:tcPr>
            <w:tcW w:w="802" w:type="pct"/>
            <w:tcBorders>
              <w:top w:val="single" w:color="auto" w:sz="4" w:space="0"/>
              <w:bottom w:val="nil"/>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 xml:space="preserve">961 </w:t>
            </w:r>
            <w:r>
              <w:rPr>
                <w:rFonts w:hint="default" w:ascii="Times New Roman" w:hAnsi="Times New Roman" w:eastAsia="宋体" w:cs="Times New Roman"/>
                <w:sz w:val="20"/>
                <w:szCs w:val="20"/>
                <w:shd w:val="clear" w:color="auto" w:fill="FFFFFF"/>
              </w:rPr>
              <w:t>(41.32%)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497" w:type="pct"/>
            <w:tcBorders>
              <w:top w:val="nil"/>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3</w:t>
            </w:r>
          </w:p>
        </w:tc>
        <w:tc>
          <w:tcPr>
            <w:tcW w:w="649" w:type="pct"/>
            <w:tcBorders>
              <w:top w:val="nil"/>
            </w:tcBorders>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57189.326</w:t>
            </w:r>
          </w:p>
        </w:tc>
        <w:tc>
          <w:tcPr>
            <w:tcW w:w="588" w:type="pct"/>
            <w:tcBorders>
              <w:top w:val="nil"/>
            </w:tcBorders>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57344.63</w:t>
            </w:r>
          </w:p>
        </w:tc>
        <w:tc>
          <w:tcPr>
            <w:tcW w:w="588" w:type="pct"/>
            <w:tcBorders>
              <w:top w:val="nil"/>
            </w:tcBorders>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57258.84</w:t>
            </w:r>
          </w:p>
        </w:tc>
        <w:tc>
          <w:tcPr>
            <w:tcW w:w="524" w:type="pct"/>
            <w:tcBorders>
              <w:top w:val="nil"/>
            </w:tcBorders>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0.54</w:t>
            </w:r>
          </w:p>
        </w:tc>
        <w:tc>
          <w:tcPr>
            <w:tcW w:w="1348" w:type="pct"/>
            <w:tcBorders>
              <w:top w:val="nil"/>
            </w:tcBorders>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&lt;</w:t>
            </w:r>
            <w:r>
              <w:rPr>
                <w:rFonts w:hint="default" w:ascii="Times New Roman" w:hAnsi="Times New Roman" w:eastAsia="宋体" w:cs="Times New Roman"/>
                <w:sz w:val="20"/>
                <w:szCs w:val="20"/>
                <w:shd w:val="clear" w:color="auto" w:fill="FFFFFF"/>
                <w:lang w:val="en-US" w:eastAsia="zh-CN"/>
              </w:rPr>
              <w:t>0</w:t>
            </w:r>
            <w:r>
              <w:rPr>
                <w:rFonts w:hint="default" w:ascii="Times New Roman" w:hAnsi="Times New Roman" w:eastAsia="宋体" w:cs="Times New Roman"/>
                <w:sz w:val="20"/>
                <w:szCs w:val="20"/>
                <w:shd w:val="clear" w:color="auto" w:fill="FFFFFF"/>
              </w:rPr>
              <w:t>.001</w:t>
            </w:r>
          </w:p>
        </w:tc>
        <w:tc>
          <w:tcPr>
            <w:tcW w:w="802" w:type="pct"/>
            <w:tcBorders>
              <w:top w:val="nil"/>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635</w:t>
            </w:r>
            <w:r>
              <w:rPr>
                <w:rFonts w:hint="default" w:ascii="Times New Roman" w:hAnsi="Times New Roman" w:eastAsia="宋体" w:cs="Times New Roman"/>
                <w:sz w:val="20"/>
                <w:szCs w:val="20"/>
                <w:shd w:val="clear" w:color="auto" w:fill="FFFFFF"/>
                <w:lang w:val="en-US" w:eastAsia="zh-CN"/>
              </w:rPr>
              <w:t xml:space="preserve"> </w:t>
            </w:r>
            <w:r>
              <w:rPr>
                <w:rFonts w:hint="default" w:ascii="Times New Roman" w:hAnsi="Times New Roman" w:eastAsia="宋体" w:cs="Times New Roman"/>
                <w:sz w:val="20"/>
                <w:szCs w:val="20"/>
                <w:shd w:val="clear" w:color="auto" w:fill="FFFFFF"/>
              </w:rPr>
              <w:t>(27.3%)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497" w:type="pct"/>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4</w:t>
            </w:r>
          </w:p>
        </w:tc>
        <w:tc>
          <w:tcPr>
            <w:tcW w:w="649" w:type="pct"/>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57093.266</w:t>
            </w:r>
          </w:p>
        </w:tc>
        <w:tc>
          <w:tcPr>
            <w:tcW w:w="588" w:type="pct"/>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57288.83</w:t>
            </w:r>
          </w:p>
        </w:tc>
        <w:tc>
          <w:tcPr>
            <w:tcW w:w="588" w:type="pct"/>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57180.81</w:t>
            </w:r>
          </w:p>
        </w:tc>
        <w:tc>
          <w:tcPr>
            <w:tcW w:w="524" w:type="pct"/>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0.67</w:t>
            </w:r>
          </w:p>
        </w:tc>
        <w:tc>
          <w:tcPr>
            <w:tcW w:w="1348" w:type="pct"/>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0.01</w:t>
            </w:r>
          </w:p>
        </w:tc>
        <w:tc>
          <w:tcPr>
            <w:tcW w:w="802" w:type="pct"/>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104</w:t>
            </w:r>
            <w:r>
              <w:rPr>
                <w:rFonts w:hint="default" w:ascii="Times New Roman" w:hAnsi="Times New Roman" w:eastAsia="宋体" w:cs="Times New Roman"/>
                <w:sz w:val="20"/>
                <w:szCs w:val="20"/>
                <w:shd w:val="clear" w:color="auto" w:fill="FFFFFF"/>
                <w:lang w:val="en-US" w:eastAsia="zh-CN"/>
              </w:rPr>
              <w:t xml:space="preserve"> </w:t>
            </w:r>
            <w:r>
              <w:rPr>
                <w:rFonts w:hint="default" w:ascii="Times New Roman" w:hAnsi="Times New Roman" w:eastAsia="宋体" w:cs="Times New Roman"/>
                <w:sz w:val="20"/>
                <w:szCs w:val="20"/>
                <w:shd w:val="clear" w:color="auto" w:fill="FFFFFF"/>
              </w:rPr>
              <w:t>(4.47%)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497" w:type="pct"/>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5</w:t>
            </w:r>
          </w:p>
        </w:tc>
        <w:tc>
          <w:tcPr>
            <w:tcW w:w="649" w:type="pct"/>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57031.877</w:t>
            </w:r>
          </w:p>
        </w:tc>
        <w:tc>
          <w:tcPr>
            <w:tcW w:w="588" w:type="pct"/>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57267.71</w:t>
            </w:r>
          </w:p>
        </w:tc>
        <w:tc>
          <w:tcPr>
            <w:tcW w:w="588" w:type="pct"/>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57137.44</w:t>
            </w:r>
          </w:p>
        </w:tc>
        <w:tc>
          <w:tcPr>
            <w:tcW w:w="524" w:type="pct"/>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0.69</w:t>
            </w:r>
          </w:p>
        </w:tc>
        <w:tc>
          <w:tcPr>
            <w:tcW w:w="1348" w:type="pct"/>
            <w:vAlign w:val="center"/>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0.02</w:t>
            </w:r>
          </w:p>
        </w:tc>
        <w:tc>
          <w:tcPr>
            <w:tcW w:w="802" w:type="pct"/>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102</w:t>
            </w:r>
            <w:r>
              <w:rPr>
                <w:rFonts w:hint="default" w:ascii="Times New Roman" w:hAnsi="Times New Roman" w:eastAsia="宋体" w:cs="Times New Roman"/>
                <w:sz w:val="20"/>
                <w:szCs w:val="20"/>
                <w:shd w:val="clear" w:color="auto" w:fill="FFFFFF"/>
                <w:lang w:val="en-US" w:eastAsia="zh-CN"/>
              </w:rPr>
              <w:t xml:space="preserve"> </w:t>
            </w:r>
            <w:r>
              <w:rPr>
                <w:rFonts w:hint="default" w:ascii="Times New Roman" w:hAnsi="Times New Roman" w:eastAsia="宋体" w:cs="Times New Roman"/>
                <w:sz w:val="20"/>
                <w:szCs w:val="20"/>
                <w:shd w:val="clear" w:color="auto" w:fill="FFFFFF"/>
              </w:rPr>
              <w:t>(4.39%)</w:t>
            </w:r>
          </w:p>
        </w:tc>
      </w:tr>
    </w:tbl>
    <w:p>
      <w:pPr>
        <w:rPr>
          <w:rFonts w:hint="default" w:ascii="Times New Roman" w:hAnsi="Times New Roman" w:cs="Times New Roman"/>
          <w:b w:val="0"/>
          <w:bCs/>
          <w:sz w:val="20"/>
          <w:szCs w:val="20"/>
        </w:rPr>
      </w:pPr>
      <w:r>
        <w:rPr>
          <w:rFonts w:hint="default" w:ascii="Times New Roman" w:hAnsi="Times New Roman" w:cs="Times New Roman"/>
          <w:b w:val="0"/>
          <w:bCs/>
          <w:sz w:val="20"/>
          <w:szCs w:val="20"/>
        </w:rPr>
        <w:t>Note. AIC = Akaike information criterion, BIC = Bayesian information criterion, Adj-BIC = sample-size adjusted Bayesian information criterion, Adj-LMR-LRT = Adjusted Lo-Mendell-Rubin Likelihood Test.</w:t>
      </w:r>
    </w:p>
    <w:p>
      <w:pPr>
        <w:spacing w:line="360" w:lineRule="auto"/>
        <w:jc w:val="center"/>
        <w:rPr>
          <w:rFonts w:hint="default" w:ascii="Times New Roman" w:hAnsi="Times New Roman" w:cs="Times New Roman"/>
          <w:b w:val="0"/>
          <w:bCs/>
          <w:sz w:val="20"/>
          <w:szCs w:val="20"/>
        </w:rPr>
      </w:pPr>
      <w:r>
        <w:rPr>
          <w:rFonts w:hint="default" w:ascii="Times New Roman" w:hAnsi="Times New Roman" w:cs="Times New Roman"/>
          <w:b w:val="0"/>
          <w:bCs/>
          <w:sz w:val="20"/>
          <w:szCs w:val="20"/>
        </w:rPr>
        <w:t>Table S3 Model fit statistics for GMM2 results (</w:t>
      </w:r>
      <w:r>
        <w:rPr>
          <w:rFonts w:hint="default" w:ascii="Times New Roman" w:hAnsi="Times New Roman" w:cs="Times New Roman"/>
          <w:b w:val="0"/>
          <w:bCs/>
          <w:i/>
          <w:iCs/>
          <w:sz w:val="20"/>
          <w:szCs w:val="20"/>
        </w:rPr>
        <w:t>N</w:t>
      </w:r>
      <w:r>
        <w:rPr>
          <w:rFonts w:hint="default" w:ascii="Times New Roman" w:hAnsi="Times New Roman" w:cs="Times New Roman"/>
          <w:b w:val="0"/>
          <w:bCs/>
          <w:sz w:val="20"/>
          <w:szCs w:val="20"/>
        </w:rPr>
        <w:t xml:space="preserve"> = 2326)</w:t>
      </w:r>
    </w:p>
    <w:tbl>
      <w:tblPr>
        <w:tblStyle w:val="17"/>
        <w:tblW w:w="4997"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67"/>
        <w:gridCol w:w="1027"/>
        <w:gridCol w:w="1027"/>
        <w:gridCol w:w="1027"/>
        <w:gridCol w:w="915"/>
        <w:gridCol w:w="2355"/>
        <w:gridCol w:w="129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09" w:type="pct"/>
            <w:tcBorders>
              <w:top w:val="single" w:color="auto" w:sz="4" w:space="0"/>
              <w:bottom w:val="single" w:color="auto" w:sz="4" w:space="0"/>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Classes</w:t>
            </w:r>
          </w:p>
        </w:tc>
        <w:tc>
          <w:tcPr>
            <w:tcW w:w="603" w:type="pct"/>
            <w:tcBorders>
              <w:top w:val="single" w:color="auto" w:sz="4" w:space="0"/>
              <w:bottom w:val="single" w:color="auto" w:sz="4" w:space="0"/>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AIC</w:t>
            </w:r>
          </w:p>
        </w:tc>
        <w:tc>
          <w:tcPr>
            <w:tcW w:w="603" w:type="pct"/>
            <w:tcBorders>
              <w:top w:val="single" w:color="auto" w:sz="4" w:space="0"/>
              <w:bottom w:val="single" w:color="auto" w:sz="4" w:space="0"/>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BIC</w:t>
            </w:r>
          </w:p>
        </w:tc>
        <w:tc>
          <w:tcPr>
            <w:tcW w:w="603" w:type="pct"/>
            <w:tcBorders>
              <w:top w:val="single" w:color="auto" w:sz="4" w:space="0"/>
              <w:bottom w:val="single" w:color="auto" w:sz="4" w:space="0"/>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Adj-BIC</w:t>
            </w:r>
          </w:p>
        </w:tc>
        <w:tc>
          <w:tcPr>
            <w:tcW w:w="537" w:type="pct"/>
            <w:tcBorders>
              <w:top w:val="single" w:color="auto" w:sz="4" w:space="0"/>
              <w:bottom w:val="single" w:color="auto" w:sz="4" w:space="0"/>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Entropy</w:t>
            </w:r>
          </w:p>
        </w:tc>
        <w:tc>
          <w:tcPr>
            <w:tcW w:w="1382" w:type="pct"/>
            <w:tcBorders>
              <w:top w:val="single" w:color="auto" w:sz="4" w:space="0"/>
              <w:bottom w:val="single" w:color="auto" w:sz="4" w:space="0"/>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rPr>
              <w:t>Adj-LMR-LRT (</w:t>
            </w:r>
            <w:r>
              <w:rPr>
                <w:rFonts w:hint="default" w:ascii="Times New Roman" w:hAnsi="Times New Roman" w:eastAsia="宋体" w:cs="Times New Roman"/>
                <w:i/>
                <w:iCs/>
                <w:sz w:val="20"/>
                <w:szCs w:val="20"/>
              </w:rPr>
              <w:t>p</w:t>
            </w:r>
            <w:r>
              <w:rPr>
                <w:rFonts w:hint="default" w:ascii="Times New Roman" w:hAnsi="Times New Roman" w:eastAsia="宋体" w:cs="Times New Roman"/>
                <w:sz w:val="20"/>
                <w:szCs w:val="20"/>
              </w:rPr>
              <w:t xml:space="preserve"> value)</w:t>
            </w:r>
          </w:p>
        </w:tc>
        <w:tc>
          <w:tcPr>
            <w:tcW w:w="759" w:type="pct"/>
            <w:tcBorders>
              <w:top w:val="single" w:color="auto" w:sz="4" w:space="0"/>
              <w:bottom w:val="single" w:color="auto" w:sz="4" w:space="0"/>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N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09" w:type="pct"/>
            <w:tcBorders>
              <w:top w:val="single" w:color="auto" w:sz="4" w:space="0"/>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2</w:t>
            </w:r>
          </w:p>
        </w:tc>
        <w:tc>
          <w:tcPr>
            <w:tcW w:w="603" w:type="pct"/>
            <w:tcBorders>
              <w:top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i w:val="0"/>
                <w:iCs w:val="0"/>
                <w:color w:val="000000"/>
                <w:kern w:val="0"/>
                <w:sz w:val="20"/>
                <w:szCs w:val="20"/>
                <w:u w:val="none"/>
                <w:lang w:val="en-US" w:eastAsia="zh-CN" w:bidi="ar"/>
              </w:rPr>
              <w:t>57429.66</w:t>
            </w:r>
          </w:p>
        </w:tc>
        <w:tc>
          <w:tcPr>
            <w:tcW w:w="603" w:type="pct"/>
            <w:tcBorders>
              <w:top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i w:val="0"/>
                <w:iCs w:val="0"/>
                <w:color w:val="000000"/>
                <w:kern w:val="0"/>
                <w:sz w:val="20"/>
                <w:szCs w:val="20"/>
                <w:u w:val="none"/>
                <w:lang w:val="en-US" w:eastAsia="zh-CN" w:bidi="ar"/>
              </w:rPr>
              <w:t>57515.94</w:t>
            </w:r>
          </w:p>
        </w:tc>
        <w:tc>
          <w:tcPr>
            <w:tcW w:w="603" w:type="pct"/>
            <w:tcBorders>
              <w:top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i w:val="0"/>
                <w:iCs w:val="0"/>
                <w:color w:val="000000"/>
                <w:kern w:val="0"/>
                <w:sz w:val="20"/>
                <w:szCs w:val="20"/>
                <w:u w:val="none"/>
                <w:lang w:val="en-US" w:eastAsia="zh-CN" w:bidi="ar"/>
              </w:rPr>
              <w:t>57468.28</w:t>
            </w:r>
          </w:p>
        </w:tc>
        <w:tc>
          <w:tcPr>
            <w:tcW w:w="537" w:type="pct"/>
            <w:tcBorders>
              <w:top w:val="single" w:color="auto" w:sz="4" w:space="0"/>
            </w:tcBorders>
          </w:tcPr>
          <w:p>
            <w:pPr>
              <w:spacing w:line="276" w:lineRule="auto"/>
              <w:jc w:val="center"/>
              <w:rPr>
                <w:rFonts w:hint="default" w:ascii="Times New Roman" w:hAnsi="Times New Roman" w:eastAsia="宋体" w:cs="Times New Roman"/>
                <w:sz w:val="20"/>
                <w:szCs w:val="20"/>
                <w:shd w:val="clear" w:color="auto" w:fill="FFFFFF"/>
                <w:lang w:eastAsia="zh-CN"/>
              </w:rPr>
            </w:pPr>
            <w:r>
              <w:rPr>
                <w:rFonts w:hint="default" w:ascii="Times New Roman" w:hAnsi="Times New Roman" w:eastAsia="宋体" w:cs="Times New Roman"/>
                <w:sz w:val="20"/>
                <w:szCs w:val="20"/>
                <w:shd w:val="clear" w:color="auto" w:fill="FFFFFF"/>
                <w:lang w:val="en-US" w:eastAsia="zh-CN"/>
              </w:rPr>
              <w:t>0</w:t>
            </w:r>
            <w:r>
              <w:rPr>
                <w:rFonts w:hint="default" w:ascii="Times New Roman" w:hAnsi="Times New Roman" w:eastAsia="宋体" w:cs="Times New Roman"/>
                <w:sz w:val="20"/>
                <w:szCs w:val="20"/>
                <w:shd w:val="clear" w:color="auto" w:fill="FFFFFF"/>
              </w:rPr>
              <w:t>.5</w:t>
            </w:r>
            <w:r>
              <w:rPr>
                <w:rFonts w:hint="default" w:ascii="Times New Roman" w:hAnsi="Times New Roman" w:eastAsia="宋体" w:cs="Times New Roman"/>
                <w:sz w:val="20"/>
                <w:szCs w:val="20"/>
                <w:shd w:val="clear" w:color="auto" w:fill="FFFFFF"/>
                <w:lang w:val="en-US" w:eastAsia="zh-CN"/>
              </w:rPr>
              <w:t>3</w:t>
            </w:r>
          </w:p>
        </w:tc>
        <w:tc>
          <w:tcPr>
            <w:tcW w:w="1382" w:type="pct"/>
            <w:tcBorders>
              <w:top w:val="single" w:color="auto" w:sz="4" w:space="0"/>
            </w:tcBorders>
          </w:tcPr>
          <w:p>
            <w:pPr>
              <w:spacing w:line="276" w:lineRule="auto"/>
              <w:jc w:val="center"/>
              <w:rPr>
                <w:rFonts w:hint="default" w:ascii="Times New Roman" w:hAnsi="Times New Roman" w:eastAsia="宋体" w:cs="Times New Roman"/>
                <w:sz w:val="20"/>
                <w:szCs w:val="20"/>
                <w:shd w:val="clear" w:color="auto" w:fill="FFFFFF"/>
                <w:lang w:eastAsia="zh-CN"/>
              </w:rPr>
            </w:pPr>
            <w:r>
              <w:rPr>
                <w:rFonts w:hint="eastAsia" w:ascii="Times New Roman" w:hAnsi="Times New Roman" w:eastAsia="宋体" w:cs="Times New Roman"/>
                <w:sz w:val="20"/>
                <w:szCs w:val="20"/>
                <w:shd w:val="clear" w:color="auto" w:fill="FFFFFF"/>
                <w:lang w:val="en-US" w:eastAsia="zh-CN"/>
              </w:rPr>
              <w:t>0</w:t>
            </w:r>
            <w:r>
              <w:rPr>
                <w:rFonts w:hint="default" w:ascii="Times New Roman" w:hAnsi="Times New Roman" w:eastAsia="宋体" w:cs="Times New Roman"/>
                <w:sz w:val="20"/>
                <w:szCs w:val="20"/>
                <w:shd w:val="clear" w:color="auto" w:fill="FFFFFF"/>
              </w:rPr>
              <w:t>.00</w:t>
            </w:r>
            <w:r>
              <w:rPr>
                <w:rFonts w:hint="default" w:ascii="Times New Roman" w:hAnsi="Times New Roman" w:eastAsia="宋体" w:cs="Times New Roman"/>
                <w:sz w:val="20"/>
                <w:szCs w:val="20"/>
                <w:shd w:val="clear" w:color="auto" w:fill="FFFFFF"/>
                <w:lang w:val="en-US" w:eastAsia="zh-CN"/>
              </w:rPr>
              <w:t>5</w:t>
            </w:r>
          </w:p>
        </w:tc>
        <w:tc>
          <w:tcPr>
            <w:tcW w:w="759" w:type="pct"/>
            <w:tcBorders>
              <w:top w:val="single" w:color="auto" w:sz="4" w:space="0"/>
            </w:tcBorders>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lang w:val="en-US" w:eastAsia="zh-CN"/>
              </w:rPr>
              <w:t xml:space="preserve">914 </w:t>
            </w:r>
            <w:r>
              <w:rPr>
                <w:rFonts w:hint="default" w:ascii="Times New Roman" w:hAnsi="Times New Roman" w:eastAsia="宋体" w:cs="Times New Roman"/>
                <w:sz w:val="20"/>
                <w:szCs w:val="20"/>
                <w:shd w:val="clear" w:color="auto" w:fill="FFFFFF"/>
              </w:rPr>
              <w:t>(48.7%)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509" w:type="pct"/>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3</w:t>
            </w:r>
          </w:p>
        </w:tc>
        <w:tc>
          <w:tcPr>
            <w:tcW w:w="4490" w:type="pct"/>
            <w:gridSpan w:val="6"/>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Failed to converge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09" w:type="pct"/>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4</w:t>
            </w:r>
          </w:p>
        </w:tc>
        <w:tc>
          <w:tcPr>
            <w:tcW w:w="4490" w:type="pct"/>
            <w:gridSpan w:val="6"/>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Failed to converge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09" w:type="pct"/>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5</w:t>
            </w:r>
          </w:p>
        </w:tc>
        <w:tc>
          <w:tcPr>
            <w:tcW w:w="4490" w:type="pct"/>
            <w:gridSpan w:val="6"/>
          </w:tcPr>
          <w:p>
            <w:pPr>
              <w:spacing w:line="276" w:lineRule="auto"/>
              <w:jc w:val="center"/>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Failed to converge</w:t>
            </w:r>
          </w:p>
        </w:tc>
      </w:tr>
    </w:tbl>
    <w:p>
      <w:pPr>
        <w:jc w:val="both"/>
        <w:rPr>
          <w:rFonts w:hint="default" w:ascii="Times New Roman" w:hAnsi="Times New Roman" w:cs="Times New Roman"/>
          <w:b w:val="0"/>
          <w:bCs/>
          <w:sz w:val="20"/>
          <w:szCs w:val="20"/>
        </w:rPr>
      </w:pPr>
      <w:r>
        <w:rPr>
          <w:rFonts w:hint="default" w:ascii="Times New Roman" w:hAnsi="Times New Roman" w:cs="Times New Roman"/>
          <w:b w:val="0"/>
          <w:bCs/>
          <w:sz w:val="20"/>
          <w:szCs w:val="20"/>
        </w:rPr>
        <w:t>Note. AIC = Akaike information criterion, BIC = Bayesian information criterion, Adj-BIC = sample-size adjusted Bayesian information criterion, Adj-LMR-LRT = Adjusted Lo-Mendell-Rubin Likelihood Test.</w:t>
      </w:r>
    </w:p>
    <w:p>
      <w:pPr>
        <w:jc w:val="both"/>
        <w:rPr>
          <w:rFonts w:hint="default" w:ascii="Times New Roman" w:hAnsi="Times New Roman" w:cs="Times New Roman"/>
          <w:b w:val="0"/>
          <w:bCs/>
          <w:szCs w:val="21"/>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eastAsia="宋体" w:cs="Times New Roman"/>
          <w:b/>
          <w:bCs w:val="0"/>
          <w:sz w:val="21"/>
          <w:szCs w:val="21"/>
          <w:shd w:val="clear" w:color="auto" w:fill="FFFFFF"/>
        </w:rPr>
      </w:pPr>
      <w:r>
        <w:rPr>
          <w:rFonts w:hint="default" w:ascii="Times New Roman" w:hAnsi="Times New Roman" w:cs="Times New Roman"/>
          <w:b/>
          <w:bCs w:val="0"/>
          <w:sz w:val="21"/>
          <w:szCs w:val="21"/>
        </w:rPr>
        <w:t>References</w:t>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hint="default" w:ascii="Times New Roman" w:hAnsi="Times New Roman" w:eastAsia="宋体" w:cs="Times New Roman"/>
          <w:sz w:val="20"/>
          <w:szCs w:val="20"/>
          <w:shd w:val="clear" w:color="auto" w:fill="FFFFFF"/>
          <w:lang w:val="en-US" w:eastAsia="zh-CN"/>
        </w:rPr>
      </w:pPr>
      <w:r>
        <w:rPr>
          <w:rFonts w:hint="default" w:ascii="Times New Roman" w:hAnsi="Times New Roman" w:eastAsia="宋体" w:cs="Times New Roman"/>
          <w:sz w:val="20"/>
          <w:szCs w:val="20"/>
          <w:shd w:val="clear" w:color="auto" w:fill="FFFFFF"/>
        </w:rPr>
        <w:t xml:space="preserve">Herle, M., Micali, N., Abdulkadir, M., Loos, R., Bryant-Waugh, R., Hübel, C., Bulik, C. M., &amp; De Stavola, B. L. (2020). Identifying typical trajectories in longitudinal data: </w:t>
      </w:r>
      <w:r>
        <w:rPr>
          <w:rFonts w:hint="eastAsia" w:ascii="Times New Roman" w:hAnsi="Times New Roman" w:eastAsia="宋体" w:cs="Times New Roman"/>
          <w:sz w:val="20"/>
          <w:szCs w:val="20"/>
          <w:shd w:val="clear" w:color="auto" w:fill="FFFFFF"/>
          <w:lang w:val="en-US" w:eastAsia="zh-CN"/>
        </w:rPr>
        <w:t>M</w:t>
      </w:r>
      <w:r>
        <w:rPr>
          <w:rFonts w:hint="default" w:ascii="Times New Roman" w:hAnsi="Times New Roman" w:eastAsia="宋体" w:cs="Times New Roman"/>
          <w:sz w:val="20"/>
          <w:szCs w:val="20"/>
          <w:shd w:val="clear" w:color="auto" w:fill="FFFFFF"/>
        </w:rPr>
        <w:t xml:space="preserve">odelling strategies and interpretations. </w:t>
      </w:r>
      <w:r>
        <w:rPr>
          <w:rFonts w:hint="default" w:ascii="Times New Roman" w:hAnsi="Times New Roman" w:eastAsia="宋体" w:cs="Times New Roman"/>
          <w:i w:val="0"/>
          <w:iCs w:val="0"/>
          <w:sz w:val="20"/>
          <w:szCs w:val="20"/>
          <w:shd w:val="clear" w:color="auto" w:fill="FFFFFF"/>
        </w:rPr>
        <w:t>European Journal of Epidemiology</w:t>
      </w:r>
      <w:r>
        <w:rPr>
          <w:rFonts w:hint="default" w:ascii="Times New Roman" w:hAnsi="Times New Roman" w:eastAsia="宋体" w:cs="Times New Roman"/>
          <w:sz w:val="20"/>
          <w:szCs w:val="20"/>
          <w:shd w:val="clear" w:color="auto" w:fill="FFFFFF"/>
        </w:rPr>
        <w:t xml:space="preserve">, </w:t>
      </w:r>
      <w:r>
        <w:rPr>
          <w:rFonts w:hint="default" w:ascii="Times New Roman" w:hAnsi="Times New Roman" w:eastAsia="宋体" w:cs="Times New Roman"/>
          <w:i/>
          <w:iCs/>
          <w:sz w:val="20"/>
          <w:szCs w:val="20"/>
          <w:shd w:val="clear" w:color="auto" w:fill="FFFFFF"/>
        </w:rPr>
        <w:t>35</w:t>
      </w:r>
      <w:r>
        <w:rPr>
          <w:rFonts w:hint="default" w:ascii="Times New Roman" w:hAnsi="Times New Roman" w:eastAsia="宋体" w:cs="Times New Roman"/>
          <w:sz w:val="20"/>
          <w:szCs w:val="20"/>
          <w:shd w:val="clear" w:color="auto" w:fill="FFFFFF"/>
        </w:rPr>
        <w:t xml:space="preserve">(3), 205-222.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"https://doi.org/10.1007/s10654-020-00615-6" </w:instrText>
      </w:r>
      <w:r>
        <w:rPr>
          <w:rFonts w:hint="default" w:ascii="Times New Roman" w:hAnsi="Times New Roman" w:cs="Times New Roman"/>
          <w:sz w:val="20"/>
          <w:szCs w:val="20"/>
        </w:rPr>
        <w:fldChar w:fldCharType="separate"/>
      </w:r>
      <w:r>
        <w:rPr>
          <w:rFonts w:hint="default" w:ascii="Times New Roman" w:hAnsi="Times New Roman" w:eastAsia="宋体" w:cs="Times New Roman"/>
          <w:sz w:val="20"/>
          <w:szCs w:val="20"/>
          <w:shd w:val="clear" w:color="auto" w:fill="FFFFFF"/>
        </w:rPr>
        <w:t>https://doi.org/10.1007/s10654-020-00615-6</w:t>
      </w:r>
      <w:r>
        <w:rPr>
          <w:rFonts w:hint="default" w:ascii="Times New Roman" w:hAnsi="Times New Roman" w:eastAsia="宋体" w:cs="Times New Roman"/>
          <w:sz w:val="20"/>
          <w:szCs w:val="20"/>
          <w:shd w:val="clear" w:color="auto" w:fill="FFFFFF"/>
        </w:rPr>
        <w:fldChar w:fldCharType="end"/>
      </w:r>
      <w:r>
        <w:rPr>
          <w:rFonts w:hint="default" w:ascii="Times New Roman" w:hAnsi="Times New Roman" w:eastAsia="宋体" w:cs="Times New Roman"/>
          <w:sz w:val="20"/>
          <w:szCs w:val="20"/>
          <w:shd w:val="clear" w:color="auto" w:fill="FFFFFF"/>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hint="default" w:ascii="Times New Roman" w:hAnsi="Times New Roman" w:eastAsia="宋体" w:cs="Times New Roman"/>
          <w:sz w:val="20"/>
          <w:szCs w:val="20"/>
          <w:shd w:val="clear" w:color="auto" w:fill="FFFFFF"/>
          <w:lang w:val="en-US" w:eastAsia="zh-CN"/>
        </w:rPr>
      </w:pPr>
      <w:r>
        <w:rPr>
          <w:rFonts w:hint="default" w:ascii="Times New Roman" w:hAnsi="Times New Roman" w:eastAsia="宋体" w:cs="Times New Roman"/>
          <w:sz w:val="20"/>
          <w:szCs w:val="20"/>
          <w:shd w:val="clear" w:color="auto" w:fill="FFFFFF"/>
        </w:rPr>
        <w:t xml:space="preserve">Jung, T., &amp; Wickrama, K. A. S. (2008). An Introduction to </w:t>
      </w:r>
      <w:r>
        <w:rPr>
          <w:rFonts w:hint="eastAsia" w:ascii="Times New Roman" w:hAnsi="Times New Roman" w:eastAsia="宋体" w:cs="Times New Roman"/>
          <w:sz w:val="20"/>
          <w:szCs w:val="20"/>
          <w:shd w:val="clear" w:color="auto" w:fill="FFFFFF"/>
          <w:lang w:val="en-US" w:eastAsia="zh-CN"/>
        </w:rPr>
        <w:t>l</w:t>
      </w:r>
      <w:r>
        <w:rPr>
          <w:rFonts w:hint="default" w:ascii="Times New Roman" w:hAnsi="Times New Roman" w:eastAsia="宋体" w:cs="Times New Roman"/>
          <w:sz w:val="20"/>
          <w:szCs w:val="20"/>
          <w:shd w:val="clear" w:color="auto" w:fill="FFFFFF"/>
        </w:rPr>
        <w:t xml:space="preserve">atent </w:t>
      </w:r>
      <w:r>
        <w:rPr>
          <w:rFonts w:hint="eastAsia" w:ascii="Times New Roman" w:hAnsi="Times New Roman" w:eastAsia="宋体" w:cs="Times New Roman"/>
          <w:sz w:val="20"/>
          <w:szCs w:val="20"/>
          <w:shd w:val="clear" w:color="auto" w:fill="FFFFFF"/>
          <w:lang w:val="en-US" w:eastAsia="zh-CN"/>
        </w:rPr>
        <w:t>c</w:t>
      </w:r>
      <w:r>
        <w:rPr>
          <w:rFonts w:hint="default" w:ascii="Times New Roman" w:hAnsi="Times New Roman" w:eastAsia="宋体" w:cs="Times New Roman"/>
          <w:sz w:val="20"/>
          <w:szCs w:val="20"/>
          <w:shd w:val="clear" w:color="auto" w:fill="FFFFFF"/>
        </w:rPr>
        <w:t xml:space="preserve">lass </w:t>
      </w:r>
      <w:r>
        <w:rPr>
          <w:rFonts w:hint="eastAsia" w:ascii="Times New Roman" w:hAnsi="Times New Roman" w:eastAsia="宋体" w:cs="Times New Roman"/>
          <w:sz w:val="20"/>
          <w:szCs w:val="20"/>
          <w:shd w:val="clear" w:color="auto" w:fill="FFFFFF"/>
          <w:lang w:val="en-US" w:eastAsia="zh-CN"/>
        </w:rPr>
        <w:t>g</w:t>
      </w:r>
      <w:r>
        <w:rPr>
          <w:rFonts w:hint="default" w:ascii="Times New Roman" w:hAnsi="Times New Roman" w:eastAsia="宋体" w:cs="Times New Roman"/>
          <w:sz w:val="20"/>
          <w:szCs w:val="20"/>
          <w:shd w:val="clear" w:color="auto" w:fill="FFFFFF"/>
        </w:rPr>
        <w:t xml:space="preserve">rowth </w:t>
      </w:r>
      <w:r>
        <w:rPr>
          <w:rFonts w:hint="eastAsia" w:ascii="Times New Roman" w:hAnsi="Times New Roman" w:eastAsia="宋体" w:cs="Times New Roman"/>
          <w:sz w:val="20"/>
          <w:szCs w:val="20"/>
          <w:shd w:val="clear" w:color="auto" w:fill="FFFFFF"/>
          <w:lang w:val="en-US" w:eastAsia="zh-CN"/>
        </w:rPr>
        <w:t>a</w:t>
      </w:r>
      <w:r>
        <w:rPr>
          <w:rFonts w:hint="default" w:ascii="Times New Roman" w:hAnsi="Times New Roman" w:eastAsia="宋体" w:cs="Times New Roman"/>
          <w:sz w:val="20"/>
          <w:szCs w:val="20"/>
          <w:shd w:val="clear" w:color="auto" w:fill="FFFFFF"/>
        </w:rPr>
        <w:t xml:space="preserve">nalysis and </w:t>
      </w:r>
      <w:r>
        <w:rPr>
          <w:rFonts w:hint="eastAsia" w:ascii="Times New Roman" w:hAnsi="Times New Roman" w:eastAsia="宋体" w:cs="Times New Roman"/>
          <w:sz w:val="20"/>
          <w:szCs w:val="20"/>
          <w:shd w:val="clear" w:color="auto" w:fill="FFFFFF"/>
          <w:lang w:val="en-US" w:eastAsia="zh-CN"/>
        </w:rPr>
        <w:t>g</w:t>
      </w:r>
      <w:r>
        <w:rPr>
          <w:rFonts w:hint="default" w:ascii="Times New Roman" w:hAnsi="Times New Roman" w:eastAsia="宋体" w:cs="Times New Roman"/>
          <w:sz w:val="20"/>
          <w:szCs w:val="20"/>
          <w:shd w:val="clear" w:color="auto" w:fill="FFFFFF"/>
        </w:rPr>
        <w:t xml:space="preserve">rowth </w:t>
      </w:r>
      <w:r>
        <w:rPr>
          <w:rFonts w:hint="eastAsia" w:ascii="Times New Roman" w:hAnsi="Times New Roman" w:eastAsia="宋体" w:cs="Times New Roman"/>
          <w:sz w:val="20"/>
          <w:szCs w:val="20"/>
          <w:shd w:val="clear" w:color="auto" w:fill="FFFFFF"/>
          <w:lang w:val="en-US" w:eastAsia="zh-CN"/>
        </w:rPr>
        <w:t>m</w:t>
      </w:r>
      <w:r>
        <w:rPr>
          <w:rFonts w:hint="default" w:ascii="Times New Roman" w:hAnsi="Times New Roman" w:eastAsia="宋体" w:cs="Times New Roman"/>
          <w:sz w:val="20"/>
          <w:szCs w:val="20"/>
          <w:shd w:val="clear" w:color="auto" w:fill="FFFFFF"/>
        </w:rPr>
        <w:t xml:space="preserve">ixture </w:t>
      </w:r>
      <w:r>
        <w:rPr>
          <w:rFonts w:hint="eastAsia" w:ascii="Times New Roman" w:hAnsi="Times New Roman" w:eastAsia="宋体" w:cs="Times New Roman"/>
          <w:sz w:val="20"/>
          <w:szCs w:val="20"/>
          <w:shd w:val="clear" w:color="auto" w:fill="FFFFFF"/>
          <w:lang w:val="en-US" w:eastAsia="zh-CN"/>
        </w:rPr>
        <w:t>m</w:t>
      </w:r>
      <w:r>
        <w:rPr>
          <w:rFonts w:hint="default" w:ascii="Times New Roman" w:hAnsi="Times New Roman" w:eastAsia="宋体" w:cs="Times New Roman"/>
          <w:sz w:val="20"/>
          <w:szCs w:val="20"/>
          <w:shd w:val="clear" w:color="auto" w:fill="FFFFFF"/>
        </w:rPr>
        <w:t xml:space="preserve">odeling. </w:t>
      </w:r>
      <w:r>
        <w:rPr>
          <w:rFonts w:hint="default" w:ascii="Times New Roman" w:hAnsi="Times New Roman" w:eastAsia="宋体" w:cs="Times New Roman"/>
          <w:i w:val="0"/>
          <w:iCs w:val="0"/>
          <w:sz w:val="20"/>
          <w:szCs w:val="20"/>
          <w:shd w:val="clear" w:color="auto" w:fill="FFFFFF"/>
        </w:rPr>
        <w:t>Social and Personality Psychology Compass</w:t>
      </w:r>
      <w:r>
        <w:rPr>
          <w:rFonts w:hint="default" w:ascii="Times New Roman" w:hAnsi="Times New Roman" w:eastAsia="宋体" w:cs="Times New Roman"/>
          <w:sz w:val="20"/>
          <w:szCs w:val="20"/>
          <w:shd w:val="clear" w:color="auto" w:fill="FFFFFF"/>
        </w:rPr>
        <w:t xml:space="preserve">, </w:t>
      </w:r>
      <w:r>
        <w:rPr>
          <w:rFonts w:hint="default" w:ascii="Times New Roman" w:hAnsi="Times New Roman" w:eastAsia="宋体" w:cs="Times New Roman"/>
          <w:i w:val="0"/>
          <w:iCs w:val="0"/>
          <w:sz w:val="20"/>
          <w:szCs w:val="20"/>
          <w:shd w:val="clear" w:color="auto" w:fill="FFFFFF"/>
        </w:rPr>
        <w:t>2</w:t>
      </w:r>
      <w:r>
        <w:rPr>
          <w:rFonts w:hint="default" w:ascii="Times New Roman" w:hAnsi="Times New Roman" w:eastAsia="宋体" w:cs="Times New Roman"/>
          <w:sz w:val="20"/>
          <w:szCs w:val="20"/>
          <w:shd w:val="clear" w:color="auto" w:fill="FFFFFF"/>
        </w:rPr>
        <w:t xml:space="preserve">(1), 302-317.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"https://doi.org/https://doi.org/10.1111/j.1751-9004.2007.00054.x" </w:instrText>
      </w:r>
      <w:r>
        <w:rPr>
          <w:rFonts w:hint="default" w:ascii="Times New Roman" w:hAnsi="Times New Roman" w:cs="Times New Roman"/>
          <w:sz w:val="20"/>
          <w:szCs w:val="20"/>
        </w:rPr>
        <w:fldChar w:fldCharType="separate"/>
      </w:r>
      <w:r>
        <w:rPr>
          <w:rFonts w:hint="default" w:ascii="Times New Roman" w:hAnsi="Times New Roman" w:eastAsia="宋体" w:cs="Times New Roman"/>
          <w:sz w:val="20"/>
          <w:szCs w:val="20"/>
          <w:shd w:val="clear" w:color="auto" w:fill="FFFFFF"/>
        </w:rPr>
        <w:t>https://doi.org/https://doi.org/10.1111/j.1751-9004.2007.00054.x</w:t>
      </w:r>
      <w:r>
        <w:rPr>
          <w:rFonts w:hint="default" w:ascii="Times New Roman" w:hAnsi="Times New Roman" w:eastAsia="宋体" w:cs="Times New Roman"/>
          <w:sz w:val="20"/>
          <w:szCs w:val="20"/>
          <w:shd w:val="clear" w:color="auto" w:fill="FFFFFF"/>
        </w:rPr>
        <w:fldChar w:fldCharType="end"/>
      </w:r>
      <w:r>
        <w:rPr>
          <w:rFonts w:hint="default" w:ascii="Times New Roman" w:hAnsi="Times New Roman" w:eastAsia="宋体" w:cs="Times New Roman"/>
          <w:sz w:val="20"/>
          <w:szCs w:val="20"/>
          <w:shd w:val="clear" w:color="auto" w:fill="FFFFFF"/>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hint="default" w:ascii="Times New Roman" w:hAnsi="Times New Roman" w:eastAsia="宋体" w:cs="Times New Roman"/>
          <w:sz w:val="20"/>
          <w:szCs w:val="20"/>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hint="default" w:ascii="Times New Roman" w:hAnsi="Times New Roman" w:eastAsia="宋体" w:cs="Times New Roman"/>
          <w:sz w:val="20"/>
          <w:szCs w:val="20"/>
          <w:shd w:val="clear" w:color="auto" w:fill="FFFFFF"/>
        </w:rPr>
      </w:pPr>
      <w:r>
        <w:rPr>
          <w:rFonts w:hint="default" w:ascii="Times New Roman" w:hAnsi="Times New Roman" w:eastAsia="宋体" w:cs="Times New Roman"/>
          <w:sz w:val="20"/>
          <w:szCs w:val="20"/>
          <w:shd w:val="clear" w:color="auto" w:fill="FFFFFF"/>
        </w:rPr>
        <w:t xml:space="preserve">Nylund, K. L., Asparouhov, T., &amp; Muthén, B. O. (2007). Deciding on the </w:t>
      </w:r>
      <w:r>
        <w:rPr>
          <w:rFonts w:hint="eastAsia" w:ascii="Times New Roman" w:hAnsi="Times New Roman" w:eastAsia="宋体" w:cs="Times New Roman"/>
          <w:sz w:val="20"/>
          <w:szCs w:val="20"/>
          <w:shd w:val="clear" w:color="auto" w:fill="FFFFFF"/>
          <w:lang w:val="en-US" w:eastAsia="zh-CN"/>
        </w:rPr>
        <w:t>n</w:t>
      </w:r>
      <w:r>
        <w:rPr>
          <w:rFonts w:hint="default" w:ascii="Times New Roman" w:hAnsi="Times New Roman" w:eastAsia="宋体" w:cs="Times New Roman"/>
          <w:sz w:val="20"/>
          <w:szCs w:val="20"/>
          <w:shd w:val="clear" w:color="auto" w:fill="FFFFFF"/>
        </w:rPr>
        <w:t xml:space="preserve">umber of </w:t>
      </w:r>
      <w:r>
        <w:rPr>
          <w:rFonts w:hint="eastAsia" w:ascii="Times New Roman" w:hAnsi="Times New Roman" w:eastAsia="宋体" w:cs="Times New Roman"/>
          <w:sz w:val="20"/>
          <w:szCs w:val="20"/>
          <w:shd w:val="clear" w:color="auto" w:fill="FFFFFF"/>
          <w:lang w:val="en-US" w:eastAsia="zh-CN"/>
        </w:rPr>
        <w:t>c</w:t>
      </w:r>
      <w:r>
        <w:rPr>
          <w:rFonts w:hint="default" w:ascii="Times New Roman" w:hAnsi="Times New Roman" w:eastAsia="宋体" w:cs="Times New Roman"/>
          <w:sz w:val="20"/>
          <w:szCs w:val="20"/>
          <w:shd w:val="clear" w:color="auto" w:fill="FFFFFF"/>
        </w:rPr>
        <w:t xml:space="preserve">lasses in </w:t>
      </w:r>
      <w:r>
        <w:rPr>
          <w:rFonts w:hint="eastAsia" w:ascii="Times New Roman" w:hAnsi="Times New Roman" w:eastAsia="宋体" w:cs="Times New Roman"/>
          <w:sz w:val="20"/>
          <w:szCs w:val="20"/>
          <w:shd w:val="clear" w:color="auto" w:fill="FFFFFF"/>
          <w:lang w:val="en-US" w:eastAsia="zh-CN"/>
        </w:rPr>
        <w:t>l</w:t>
      </w:r>
      <w:r>
        <w:rPr>
          <w:rFonts w:hint="default" w:ascii="Times New Roman" w:hAnsi="Times New Roman" w:eastAsia="宋体" w:cs="Times New Roman"/>
          <w:sz w:val="20"/>
          <w:szCs w:val="20"/>
          <w:shd w:val="clear" w:color="auto" w:fill="FFFFFF"/>
        </w:rPr>
        <w:t xml:space="preserve">atent </w:t>
      </w:r>
      <w:r>
        <w:rPr>
          <w:rFonts w:hint="eastAsia" w:ascii="Times New Roman" w:hAnsi="Times New Roman" w:eastAsia="宋体" w:cs="Times New Roman"/>
          <w:sz w:val="20"/>
          <w:szCs w:val="20"/>
          <w:shd w:val="clear" w:color="auto" w:fill="FFFFFF"/>
          <w:lang w:val="en-US" w:eastAsia="zh-CN"/>
        </w:rPr>
        <w:t>c</w:t>
      </w:r>
      <w:r>
        <w:rPr>
          <w:rFonts w:hint="default" w:ascii="Times New Roman" w:hAnsi="Times New Roman" w:eastAsia="宋体" w:cs="Times New Roman"/>
          <w:sz w:val="20"/>
          <w:szCs w:val="20"/>
          <w:shd w:val="clear" w:color="auto" w:fill="FFFFFF"/>
        </w:rPr>
        <w:t xml:space="preserve">lass </w:t>
      </w:r>
      <w:r>
        <w:rPr>
          <w:rFonts w:hint="eastAsia" w:ascii="Times New Roman" w:hAnsi="Times New Roman" w:eastAsia="宋体" w:cs="Times New Roman"/>
          <w:sz w:val="20"/>
          <w:szCs w:val="20"/>
          <w:shd w:val="clear" w:color="auto" w:fill="FFFFFF"/>
          <w:lang w:val="en-US" w:eastAsia="zh-CN"/>
        </w:rPr>
        <w:t>a</w:t>
      </w:r>
      <w:r>
        <w:rPr>
          <w:rFonts w:hint="default" w:ascii="Times New Roman" w:hAnsi="Times New Roman" w:eastAsia="宋体" w:cs="Times New Roman"/>
          <w:sz w:val="20"/>
          <w:szCs w:val="20"/>
          <w:shd w:val="clear" w:color="auto" w:fill="FFFFFF"/>
        </w:rPr>
        <w:t xml:space="preserve">nalysis and </w:t>
      </w:r>
      <w:r>
        <w:rPr>
          <w:rFonts w:hint="eastAsia" w:ascii="Times New Roman" w:hAnsi="Times New Roman" w:eastAsia="宋体" w:cs="Times New Roman"/>
          <w:sz w:val="20"/>
          <w:szCs w:val="20"/>
          <w:shd w:val="clear" w:color="auto" w:fill="FFFFFF"/>
          <w:lang w:val="en-US" w:eastAsia="zh-CN"/>
        </w:rPr>
        <w:t>g</w:t>
      </w:r>
      <w:r>
        <w:rPr>
          <w:rFonts w:hint="default" w:ascii="Times New Roman" w:hAnsi="Times New Roman" w:eastAsia="宋体" w:cs="Times New Roman"/>
          <w:sz w:val="20"/>
          <w:szCs w:val="20"/>
          <w:shd w:val="clear" w:color="auto" w:fill="FFFFFF"/>
        </w:rPr>
        <w:t xml:space="preserve">rowth </w:t>
      </w:r>
      <w:r>
        <w:rPr>
          <w:rFonts w:hint="eastAsia" w:ascii="Times New Roman" w:hAnsi="Times New Roman" w:eastAsia="宋体" w:cs="Times New Roman"/>
          <w:sz w:val="20"/>
          <w:szCs w:val="20"/>
          <w:shd w:val="clear" w:color="auto" w:fill="FFFFFF"/>
          <w:lang w:val="en-US" w:eastAsia="zh-CN"/>
        </w:rPr>
        <w:t>m</w:t>
      </w:r>
      <w:r>
        <w:rPr>
          <w:rFonts w:hint="default" w:ascii="Times New Roman" w:hAnsi="Times New Roman" w:eastAsia="宋体" w:cs="Times New Roman"/>
          <w:sz w:val="20"/>
          <w:szCs w:val="20"/>
          <w:shd w:val="clear" w:color="auto" w:fill="FFFFFF"/>
        </w:rPr>
        <w:t xml:space="preserve">ixture </w:t>
      </w:r>
      <w:r>
        <w:rPr>
          <w:rFonts w:hint="eastAsia" w:ascii="Times New Roman" w:hAnsi="Times New Roman" w:eastAsia="宋体" w:cs="Times New Roman"/>
          <w:sz w:val="20"/>
          <w:szCs w:val="20"/>
          <w:shd w:val="clear" w:color="auto" w:fill="FFFFFF"/>
          <w:lang w:val="en-US" w:eastAsia="zh-CN"/>
        </w:rPr>
        <w:t>m</w:t>
      </w:r>
      <w:r>
        <w:rPr>
          <w:rFonts w:hint="default" w:ascii="Times New Roman" w:hAnsi="Times New Roman" w:eastAsia="宋体" w:cs="Times New Roman"/>
          <w:sz w:val="20"/>
          <w:szCs w:val="20"/>
          <w:shd w:val="clear" w:color="auto" w:fill="FFFFFF"/>
        </w:rPr>
        <w:t xml:space="preserve">odeling: A Monte Carlo </w:t>
      </w:r>
      <w:r>
        <w:rPr>
          <w:rFonts w:hint="eastAsia" w:ascii="Times New Roman" w:hAnsi="Times New Roman" w:eastAsia="宋体" w:cs="Times New Roman"/>
          <w:sz w:val="20"/>
          <w:szCs w:val="20"/>
          <w:shd w:val="clear" w:color="auto" w:fill="FFFFFF"/>
          <w:lang w:val="en-US" w:eastAsia="zh-CN"/>
        </w:rPr>
        <w:t>s</w:t>
      </w:r>
      <w:r>
        <w:rPr>
          <w:rFonts w:hint="default" w:ascii="Times New Roman" w:hAnsi="Times New Roman" w:eastAsia="宋体" w:cs="Times New Roman"/>
          <w:sz w:val="20"/>
          <w:szCs w:val="20"/>
          <w:shd w:val="clear" w:color="auto" w:fill="FFFFFF"/>
        </w:rPr>
        <w:t xml:space="preserve">imulation </w:t>
      </w:r>
      <w:r>
        <w:rPr>
          <w:rFonts w:hint="eastAsia" w:ascii="Times New Roman" w:hAnsi="Times New Roman" w:eastAsia="宋体" w:cs="Times New Roman"/>
          <w:sz w:val="20"/>
          <w:szCs w:val="20"/>
          <w:shd w:val="clear" w:color="auto" w:fill="FFFFFF"/>
          <w:lang w:val="en-US" w:eastAsia="zh-CN"/>
        </w:rPr>
        <w:t>s</w:t>
      </w:r>
      <w:r>
        <w:rPr>
          <w:rFonts w:hint="default" w:ascii="Times New Roman" w:hAnsi="Times New Roman" w:eastAsia="宋体" w:cs="Times New Roman"/>
          <w:sz w:val="20"/>
          <w:szCs w:val="20"/>
          <w:shd w:val="clear" w:color="auto" w:fill="FFFFFF"/>
        </w:rPr>
        <w:t xml:space="preserve">tudy. </w:t>
      </w:r>
      <w:r>
        <w:rPr>
          <w:rFonts w:hint="default" w:ascii="Times New Roman" w:hAnsi="Times New Roman" w:eastAsia="宋体" w:cs="Times New Roman"/>
          <w:i w:val="0"/>
          <w:iCs w:val="0"/>
          <w:sz w:val="20"/>
          <w:szCs w:val="20"/>
          <w:shd w:val="clear" w:color="auto" w:fill="FFFFFF"/>
        </w:rPr>
        <w:t>Structural Equation Modeling: A Multidisciplinary Journal</w:t>
      </w:r>
      <w:r>
        <w:rPr>
          <w:rFonts w:hint="default" w:ascii="Times New Roman" w:hAnsi="Times New Roman" w:eastAsia="宋体" w:cs="Times New Roman"/>
          <w:sz w:val="20"/>
          <w:szCs w:val="20"/>
          <w:shd w:val="clear" w:color="auto" w:fill="FFFFFF"/>
        </w:rPr>
        <w:t xml:space="preserve">, </w:t>
      </w:r>
      <w:r>
        <w:rPr>
          <w:rFonts w:hint="default" w:ascii="Times New Roman" w:hAnsi="Times New Roman" w:eastAsia="宋体" w:cs="Times New Roman"/>
          <w:i/>
          <w:iCs/>
          <w:sz w:val="20"/>
          <w:szCs w:val="20"/>
          <w:shd w:val="clear" w:color="auto" w:fill="FFFFFF"/>
        </w:rPr>
        <w:t>14</w:t>
      </w:r>
      <w:r>
        <w:rPr>
          <w:rFonts w:hint="default" w:ascii="Times New Roman" w:hAnsi="Times New Roman" w:eastAsia="宋体" w:cs="Times New Roman"/>
          <w:sz w:val="20"/>
          <w:szCs w:val="20"/>
          <w:shd w:val="clear" w:color="auto" w:fill="FFFFFF"/>
        </w:rPr>
        <w:t xml:space="preserve">(4), 535-569.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"https://doi.org/10.1080/10705510701575396" </w:instrText>
      </w:r>
      <w:r>
        <w:rPr>
          <w:rFonts w:hint="default" w:ascii="Times New Roman" w:hAnsi="Times New Roman" w:cs="Times New Roman"/>
          <w:sz w:val="20"/>
          <w:szCs w:val="20"/>
        </w:rPr>
        <w:fldChar w:fldCharType="separate"/>
      </w:r>
      <w:r>
        <w:rPr>
          <w:rFonts w:hint="default" w:ascii="Times New Roman" w:hAnsi="Times New Roman" w:eastAsia="宋体" w:cs="Times New Roman"/>
          <w:sz w:val="20"/>
          <w:szCs w:val="20"/>
          <w:shd w:val="clear" w:color="auto" w:fill="FFFFFF"/>
        </w:rPr>
        <w:t>https://doi.org/10.1080/10705510701575396</w:t>
      </w:r>
      <w:r>
        <w:rPr>
          <w:rFonts w:hint="default" w:ascii="Times New Roman" w:hAnsi="Times New Roman" w:eastAsia="宋体" w:cs="Times New Roman"/>
          <w:sz w:val="20"/>
          <w:szCs w:val="20"/>
          <w:shd w:val="clear" w:color="auto" w:fill="FFFFFF"/>
        </w:rPr>
        <w:fldChar w:fldCharType="end"/>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hint="default" w:ascii="Times New Roman" w:hAnsi="Times New Roman" w:eastAsia="宋体" w:cs="Times New Roman"/>
          <w:sz w:val="20"/>
          <w:szCs w:val="20"/>
          <w:shd w:val="clear" w:color="auto" w:fill="FFFFFF"/>
        </w:rPr>
      </w:pP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hint="default" w:ascii="Times New Roman" w:hAnsi="Times New Roman" w:eastAsia="宋体" w:cs="Times New Roman"/>
          <w:sz w:val="20"/>
          <w:szCs w:val="20"/>
          <w:shd w:val="clear" w:color="auto" w:fill="FFFFFF"/>
          <w:lang w:val="en-US" w:eastAsia="zh-CN"/>
        </w:rPr>
      </w:pPr>
      <w:r>
        <w:rPr>
          <w:rFonts w:hint="default" w:ascii="Times New Roman" w:hAnsi="Times New Roman" w:eastAsia="宋体" w:cs="Times New Roman"/>
          <w:sz w:val="20"/>
          <w:szCs w:val="20"/>
          <w:shd w:val="clear" w:color="auto" w:fill="FFFFFF"/>
        </w:rPr>
        <w:t xml:space="preserve">Pennoni, F., &amp; Romeo, I. (2017). Latent Markov and growth mixture models for ordinal individual responses with covariates: A comparison. </w:t>
      </w:r>
      <w:r>
        <w:rPr>
          <w:rFonts w:hint="default" w:ascii="Times New Roman" w:hAnsi="Times New Roman" w:eastAsia="宋体" w:cs="Times New Roman"/>
          <w:i w:val="0"/>
          <w:iCs w:val="0"/>
          <w:sz w:val="20"/>
          <w:szCs w:val="20"/>
          <w:shd w:val="clear" w:color="auto" w:fill="FFFFFF"/>
        </w:rPr>
        <w:t>Statistical Analysis and Data Mining: The ASA Data Science Journal</w:t>
      </w:r>
      <w:r>
        <w:rPr>
          <w:rFonts w:hint="default" w:ascii="Times New Roman" w:hAnsi="Times New Roman" w:eastAsia="宋体" w:cs="Times New Roman"/>
          <w:sz w:val="20"/>
          <w:szCs w:val="20"/>
          <w:shd w:val="clear" w:color="auto" w:fill="FFFFFF"/>
        </w:rPr>
        <w:t xml:space="preserve">, </w:t>
      </w:r>
      <w:r>
        <w:rPr>
          <w:rFonts w:hint="default" w:ascii="Times New Roman" w:hAnsi="Times New Roman" w:eastAsia="宋体" w:cs="Times New Roman"/>
          <w:i/>
          <w:iCs/>
          <w:sz w:val="20"/>
          <w:szCs w:val="20"/>
          <w:shd w:val="clear" w:color="auto" w:fill="FFFFFF"/>
        </w:rPr>
        <w:t>10</w:t>
      </w:r>
      <w:r>
        <w:rPr>
          <w:rFonts w:hint="default" w:ascii="Times New Roman" w:hAnsi="Times New Roman" w:eastAsia="宋体" w:cs="Times New Roman"/>
          <w:sz w:val="20"/>
          <w:szCs w:val="20"/>
          <w:shd w:val="clear" w:color="auto" w:fill="FFFFFF"/>
        </w:rPr>
        <w:t xml:space="preserve">(1), 29-39.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"https://doi.org/https://doi.org/10.1002/sam.11335" </w:instrText>
      </w:r>
      <w:r>
        <w:rPr>
          <w:rFonts w:hint="default" w:ascii="Times New Roman" w:hAnsi="Times New Roman" w:cs="Times New Roman"/>
          <w:sz w:val="20"/>
          <w:szCs w:val="20"/>
        </w:rPr>
        <w:fldChar w:fldCharType="separate"/>
      </w:r>
      <w:r>
        <w:rPr>
          <w:rFonts w:hint="default" w:ascii="Times New Roman" w:hAnsi="Times New Roman" w:eastAsia="宋体" w:cs="Times New Roman"/>
          <w:sz w:val="20"/>
          <w:szCs w:val="20"/>
          <w:shd w:val="clear" w:color="auto" w:fill="FFFFFF"/>
        </w:rPr>
        <w:t>https://doi.org/https://doi.org/10.1002/sam.11335</w:t>
      </w:r>
      <w:r>
        <w:rPr>
          <w:rFonts w:hint="default" w:ascii="Times New Roman" w:hAnsi="Times New Roman" w:eastAsia="宋体" w:cs="Times New Roman"/>
          <w:sz w:val="20"/>
          <w:szCs w:val="20"/>
          <w:shd w:val="clear" w:color="auto" w:fill="FFFFFF"/>
        </w:rPr>
        <w:fldChar w:fldCharType="end"/>
      </w:r>
      <w:r>
        <w:rPr>
          <w:rFonts w:hint="default" w:ascii="Times New Roman" w:hAnsi="Times New Roman" w:eastAsia="宋体" w:cs="Times New Roman"/>
          <w:sz w:val="20"/>
          <w:szCs w:val="20"/>
          <w:shd w:val="clear" w:color="auto" w:fill="FFFFFF"/>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hint="default" w:ascii="Times New Roman" w:hAnsi="Times New Roman" w:eastAsia="宋体" w:cs="Times New Roman"/>
          <w:sz w:val="20"/>
          <w:szCs w:val="20"/>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hint="default" w:ascii="Times New Roman" w:hAnsi="Times New Roman" w:eastAsia="宋体" w:cs="Times New Roman"/>
          <w:sz w:val="20"/>
          <w:szCs w:val="20"/>
          <w:shd w:val="clear" w:color="auto" w:fill="FFFFFF"/>
          <w:lang w:val="en-US" w:eastAsia="zh-CN"/>
        </w:rPr>
      </w:pPr>
      <w:r>
        <w:rPr>
          <w:rFonts w:hint="default" w:ascii="Times New Roman" w:hAnsi="Times New Roman" w:eastAsia="宋体" w:cs="Times New Roman"/>
          <w:sz w:val="20"/>
          <w:szCs w:val="20"/>
          <w:shd w:val="clear" w:color="auto" w:fill="FFFFFF"/>
          <w:lang w:val="en-US" w:eastAsia="zh-CN"/>
        </w:rPr>
        <w:t>V</w:t>
      </w:r>
      <w:r>
        <w:rPr>
          <w:rFonts w:hint="default" w:ascii="Times New Roman" w:hAnsi="Times New Roman" w:eastAsia="宋体" w:cs="Times New Roman"/>
          <w:sz w:val="20"/>
          <w:szCs w:val="20"/>
          <w:shd w:val="clear" w:color="auto" w:fill="FFFFFF"/>
        </w:rPr>
        <w:t xml:space="preserve">an der Nest, G., Lima Passos, V., Candel, M. J. J. M., &amp; van Breukelen, G. J. P. (2020). An overview of mixture modelling for latent evolutions in longitudinal data: Modelling approaches, fit statistics and software. </w:t>
      </w:r>
      <w:r>
        <w:rPr>
          <w:rFonts w:hint="default" w:ascii="Times New Roman" w:hAnsi="Times New Roman" w:eastAsia="宋体" w:cs="Times New Roman"/>
          <w:i w:val="0"/>
          <w:iCs w:val="0"/>
          <w:sz w:val="20"/>
          <w:szCs w:val="20"/>
          <w:shd w:val="clear" w:color="auto" w:fill="FFFFFF"/>
        </w:rPr>
        <w:t>Advances in Life Course Research, 43</w:t>
      </w:r>
      <w:r>
        <w:rPr>
          <w:rFonts w:hint="default" w:ascii="Times New Roman" w:hAnsi="Times New Roman" w:eastAsia="宋体" w:cs="Times New Roman"/>
          <w:sz w:val="20"/>
          <w:szCs w:val="20"/>
          <w:shd w:val="clear" w:color="auto" w:fill="FFFFFF"/>
        </w:rPr>
        <w:t xml:space="preserve">, 100323.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"https://doi.org/https://doi.org/10.1016/j.alcr.2019.100323" </w:instrText>
      </w:r>
      <w:r>
        <w:rPr>
          <w:rFonts w:hint="default" w:ascii="Times New Roman" w:hAnsi="Times New Roman" w:cs="Times New Roman"/>
          <w:sz w:val="20"/>
          <w:szCs w:val="20"/>
        </w:rPr>
        <w:fldChar w:fldCharType="separate"/>
      </w:r>
      <w:r>
        <w:rPr>
          <w:rFonts w:hint="default" w:ascii="Times New Roman" w:hAnsi="Times New Roman" w:eastAsia="宋体" w:cs="Times New Roman"/>
          <w:sz w:val="20"/>
          <w:szCs w:val="20"/>
          <w:shd w:val="clear" w:color="auto" w:fill="FFFFFF"/>
        </w:rPr>
        <w:t>https://doi.org/https://doi.org/10.1016/j.alcr.2019.100323</w:t>
      </w:r>
      <w:r>
        <w:rPr>
          <w:rFonts w:hint="default" w:ascii="Times New Roman" w:hAnsi="Times New Roman" w:eastAsia="宋体" w:cs="Times New Roman"/>
          <w:sz w:val="20"/>
          <w:szCs w:val="20"/>
          <w:shd w:val="clear" w:color="auto" w:fill="FFFFFF"/>
        </w:rPr>
        <w:fldChar w:fldCharType="end"/>
      </w:r>
      <w:r>
        <w:rPr>
          <w:rFonts w:hint="default" w:ascii="Times New Roman" w:hAnsi="Times New Roman" w:eastAsia="宋体" w:cs="Times New Roman"/>
          <w:sz w:val="20"/>
          <w:szCs w:val="20"/>
          <w:shd w:val="clear" w:color="auto" w:fill="FFFFFF"/>
          <w:lang w:val="en-US" w:eastAsia="zh-CN"/>
        </w:rPr>
        <w:t>.</w:t>
      </w:r>
    </w:p>
    <w:p>
      <w:pPr>
        <w:jc w:val="both"/>
        <w:rPr>
          <w:rFonts w:hint="default" w:ascii="Times New Roman" w:hAnsi="Times New Roman" w:cs="Times New Roman"/>
          <w:b w:val="0"/>
          <w:bCs/>
          <w:szCs w:val="21"/>
        </w:rPr>
      </w:pPr>
    </w:p>
    <w:p>
      <w:pPr>
        <w:widowControl/>
        <w:jc w:val="left"/>
        <w:rPr>
          <w:rFonts w:hint="default" w:ascii="Times New Roman" w:hAnsi="Times New Roman" w:cs="Times New Roman"/>
          <w:b w:val="0"/>
          <w:bCs/>
          <w:szCs w:val="21"/>
        </w:rPr>
      </w:pPr>
      <w:r>
        <w:rPr>
          <w:rFonts w:hint="default" w:ascii="Times New Roman" w:hAnsi="Times New Roman" w:cs="Times New Roman"/>
          <w:b w:val="0"/>
          <w:bCs/>
          <w:szCs w:val="21"/>
        </w:rPr>
        <w:br w:type="page"/>
      </w:r>
    </w:p>
    <w:p>
      <w:pPr>
        <w:spacing w:line="360" w:lineRule="auto"/>
        <w:jc w:val="center"/>
        <w:rPr>
          <w:rFonts w:hint="default" w:ascii="Times New Roman" w:hAnsi="Times New Roman" w:cs="Times New Roman"/>
          <w:b w:val="0"/>
          <w:bCs/>
          <w:sz w:val="20"/>
          <w:szCs w:val="20"/>
        </w:rPr>
      </w:pPr>
      <w:r>
        <w:rPr>
          <w:rFonts w:hint="default" w:ascii="Times New Roman" w:hAnsi="Times New Roman" w:cs="Times New Roman"/>
          <w:b w:val="0"/>
          <w:bCs/>
          <w:sz w:val="20"/>
          <w:szCs w:val="20"/>
        </w:rPr>
        <w:t xml:space="preserve">Table S4 </w:t>
      </w:r>
      <w:r>
        <w:rPr>
          <w:rFonts w:hint="default" w:ascii="Times New Roman" w:hAnsi="Times New Roman" w:cs="Times New Roman"/>
          <w:b w:val="0"/>
          <w:bCs/>
          <w:iCs/>
          <w:sz w:val="20"/>
          <w:szCs w:val="20"/>
        </w:rPr>
        <w:t>Descriptive results of the three latent patterns of perceived stress trajectories</w:t>
      </w:r>
    </w:p>
    <w:tbl>
      <w:tblPr>
        <w:tblStyle w:val="17"/>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120"/>
        <w:gridCol w:w="864"/>
        <w:gridCol w:w="1382"/>
        <w:gridCol w:w="1313"/>
        <w:gridCol w:w="1175"/>
        <w:gridCol w:w="723"/>
        <w:gridCol w:w="566"/>
        <w:gridCol w:w="1059"/>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20" w:type="dxa"/>
            <w:tcBorders>
              <w:left w:val="nil"/>
            </w:tcBorders>
            <w:vAlign w:val="center"/>
          </w:tcPr>
          <w:p>
            <w:pPr>
              <w:spacing w:line="240" w:lineRule="auto"/>
              <w:ind w:firstLine="0" w:firstLineChars="0"/>
              <w:jc w:val="left"/>
              <w:rPr>
                <w:rFonts w:hint="default" w:ascii="Times New Roman" w:hAnsi="Times New Roman" w:eastAsia="等线 Light" w:cs="Times New Roman"/>
                <w:kern w:val="0"/>
                <w:sz w:val="20"/>
                <w:szCs w:val="20"/>
              </w:rPr>
            </w:pPr>
            <w:bookmarkStart w:id="3" w:name="OLE_LINK60"/>
          </w:p>
        </w:tc>
        <w:tc>
          <w:tcPr>
            <w:tcW w:w="6023" w:type="dxa"/>
            <w:gridSpan w:val="6"/>
            <w:tcBorders>
              <w:bottom w:val="single" w:color="auto" w:sz="4" w:space="0"/>
              <w:right w:val="nil"/>
            </w:tcBorders>
            <w:vAlign w:val="center"/>
          </w:tcPr>
          <w:p>
            <w:pPr>
              <w:spacing w:line="240" w:lineRule="auto"/>
              <w:ind w:firstLine="0" w:firstLineChars="0"/>
              <w:jc w:val="left"/>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Perceived stress trajectory classes</w:t>
            </w:r>
          </w:p>
        </w:tc>
        <w:tc>
          <w:tcPr>
            <w:tcW w:w="1059" w:type="dxa"/>
            <w:tcBorders>
              <w:left w:val="nil"/>
              <w:bottom w:val="single" w:color="auto" w:sz="4" w:space="0"/>
              <w:right w:val="nil"/>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i/>
                <w:iCs/>
                <w:kern w:val="0"/>
                <w:sz w:val="20"/>
                <w:szCs w:val="20"/>
              </w:rPr>
              <w:t>F</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1120" w:type="dxa"/>
            <w:tcBorders>
              <w:left w:val="nil"/>
            </w:tcBorders>
            <w:vAlign w:val="center"/>
          </w:tcPr>
          <w:p>
            <w:pPr>
              <w:spacing w:line="240" w:lineRule="auto"/>
              <w:ind w:firstLine="0" w:firstLineChars="0"/>
              <w:jc w:val="left"/>
              <w:rPr>
                <w:rFonts w:hint="default" w:ascii="Times New Roman" w:hAnsi="Times New Roman" w:eastAsia="等线 Light" w:cs="Times New Roman"/>
                <w:kern w:val="0"/>
                <w:sz w:val="20"/>
                <w:szCs w:val="20"/>
              </w:rPr>
            </w:pPr>
          </w:p>
        </w:tc>
        <w:tc>
          <w:tcPr>
            <w:tcW w:w="2246" w:type="dxa"/>
            <w:gridSpan w:val="2"/>
            <w:tcBorders>
              <w:top w:val="single" w:color="auto" w:sz="4" w:space="0"/>
              <w:bottom w:val="single" w:color="auto" w:sz="4" w:space="0"/>
              <w:right w:val="nil"/>
            </w:tcBorders>
            <w:vAlign w:val="center"/>
          </w:tcPr>
          <w:p>
            <w:pPr>
              <w:spacing w:line="240" w:lineRule="auto"/>
              <w:ind w:firstLine="0" w:firstLineChars="0"/>
              <w:jc w:val="left"/>
              <w:rPr>
                <w:rFonts w:hint="default" w:ascii="Times New Roman" w:hAnsi="Times New Roman" w:eastAsia="等线 Light" w:cs="Times New Roman"/>
                <w:kern w:val="0"/>
                <w:sz w:val="20"/>
                <w:szCs w:val="20"/>
              </w:rPr>
            </w:pPr>
            <w:r>
              <w:rPr>
                <w:rFonts w:hint="default" w:ascii="Times New Roman" w:hAnsi="Times New Roman" w:eastAsia="等线 Light" w:cs="Times New Roman"/>
                <w:i w:val="0"/>
                <w:iCs w:val="0"/>
                <w:kern w:val="0"/>
                <w:sz w:val="20"/>
                <w:szCs w:val="20"/>
                <w:lang w:val="en-US" w:eastAsia="zh-CN"/>
              </w:rPr>
              <w:t>L</w:t>
            </w:r>
            <w:r>
              <w:rPr>
                <w:rFonts w:hint="default" w:ascii="Times New Roman" w:hAnsi="Times New Roman" w:eastAsia="等线 Light" w:cs="Times New Roman"/>
                <w:i w:val="0"/>
                <w:iCs w:val="0"/>
                <w:kern w:val="0"/>
                <w:sz w:val="20"/>
                <w:szCs w:val="20"/>
              </w:rPr>
              <w:t>ow-decreasing-rebounding</w:t>
            </w:r>
          </w:p>
        </w:tc>
        <w:tc>
          <w:tcPr>
            <w:tcW w:w="2488" w:type="dxa"/>
            <w:gridSpan w:val="2"/>
            <w:tcBorders>
              <w:top w:val="single" w:color="auto" w:sz="4" w:space="0"/>
              <w:left w:val="nil"/>
              <w:bottom w:val="single" w:color="auto" w:sz="4" w:space="0"/>
              <w:right w:val="nil"/>
            </w:tcBorders>
            <w:vAlign w:val="center"/>
          </w:tcPr>
          <w:p>
            <w:pPr>
              <w:spacing w:line="240" w:lineRule="auto"/>
              <w:ind w:firstLine="0" w:firstLineChars="0"/>
              <w:jc w:val="left"/>
              <w:rPr>
                <w:rFonts w:hint="default" w:ascii="Times New Roman" w:hAnsi="Times New Roman" w:eastAsia="等线 Light" w:cs="Times New Roman"/>
                <w:kern w:val="0"/>
                <w:sz w:val="20"/>
                <w:szCs w:val="20"/>
              </w:rPr>
            </w:pPr>
            <w:r>
              <w:rPr>
                <w:rFonts w:hint="default" w:ascii="Times New Roman" w:hAnsi="Times New Roman" w:eastAsia="等线 Light" w:cs="Times New Roman"/>
                <w:i w:val="0"/>
                <w:iCs w:val="0"/>
                <w:kern w:val="0"/>
                <w:sz w:val="20"/>
                <w:szCs w:val="20"/>
                <w:lang w:val="en-US" w:eastAsia="zh-CN"/>
              </w:rPr>
              <w:t>M</w:t>
            </w:r>
            <w:r>
              <w:rPr>
                <w:rFonts w:hint="default" w:ascii="Times New Roman" w:hAnsi="Times New Roman" w:eastAsia="等线 Light" w:cs="Times New Roman"/>
                <w:i w:val="0"/>
                <w:iCs w:val="0"/>
                <w:kern w:val="0"/>
                <w:sz w:val="20"/>
                <w:szCs w:val="20"/>
              </w:rPr>
              <w:t>iddle-decreasing-rebounding</w:t>
            </w:r>
          </w:p>
        </w:tc>
        <w:tc>
          <w:tcPr>
            <w:tcW w:w="1289" w:type="dxa"/>
            <w:gridSpan w:val="2"/>
            <w:tcBorders>
              <w:top w:val="single" w:color="auto" w:sz="4" w:space="0"/>
              <w:left w:val="nil"/>
              <w:bottom w:val="single" w:color="auto" w:sz="4" w:space="0"/>
              <w:right w:val="nil"/>
            </w:tcBorders>
            <w:vAlign w:val="center"/>
          </w:tcPr>
          <w:p>
            <w:pPr>
              <w:spacing w:line="240" w:lineRule="auto"/>
              <w:ind w:firstLine="0" w:firstLineChars="0"/>
              <w:jc w:val="left"/>
              <w:rPr>
                <w:rFonts w:hint="default" w:ascii="Times New Roman" w:hAnsi="Times New Roman" w:eastAsia="等线 Light" w:cs="Times New Roman"/>
                <w:kern w:val="0"/>
                <w:sz w:val="20"/>
                <w:szCs w:val="20"/>
              </w:rPr>
            </w:pPr>
            <w:r>
              <w:rPr>
                <w:rFonts w:hint="default" w:ascii="Times New Roman" w:hAnsi="Times New Roman" w:eastAsia="等线 Light" w:cs="Times New Roman"/>
                <w:i w:val="0"/>
                <w:iCs w:val="0"/>
                <w:kern w:val="0"/>
                <w:sz w:val="20"/>
                <w:szCs w:val="20"/>
                <w:lang w:val="en-US" w:eastAsia="zh-CN"/>
              </w:rPr>
              <w:t>H</w:t>
            </w:r>
            <w:r>
              <w:rPr>
                <w:rFonts w:hint="default" w:ascii="Times New Roman" w:hAnsi="Times New Roman" w:eastAsia="等线 Light" w:cs="Times New Roman"/>
                <w:i w:val="0"/>
                <w:iCs w:val="0"/>
                <w:kern w:val="0"/>
                <w:sz w:val="20"/>
                <w:szCs w:val="20"/>
              </w:rPr>
              <w:t>igh-stable</w:t>
            </w:r>
          </w:p>
        </w:tc>
        <w:tc>
          <w:tcPr>
            <w:tcW w:w="1059" w:type="dxa"/>
            <w:tcBorders>
              <w:top w:val="single" w:color="auto" w:sz="4" w:space="0"/>
              <w:left w:val="nil"/>
              <w:bottom w:val="single" w:color="auto" w:sz="4" w:space="0"/>
              <w:right w:val="nil"/>
            </w:tcBorders>
            <w:vAlign w:val="center"/>
          </w:tcPr>
          <w:p>
            <w:pPr>
              <w:spacing w:line="240" w:lineRule="auto"/>
              <w:ind w:firstLine="0" w:firstLineChars="0"/>
              <w:jc w:val="left"/>
              <w:rPr>
                <w:rFonts w:hint="default" w:ascii="Times New Roman" w:hAnsi="Times New Roman" w:eastAsia="等线 Light" w:cs="Times New Roman"/>
                <w:kern w:val="0"/>
                <w:sz w:val="20"/>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20" w:type="dxa"/>
            <w:tcBorders>
              <w:left w:val="nil"/>
              <w:bottom w:val="single" w:color="auto" w:sz="6" w:space="0"/>
            </w:tcBorders>
            <w:vAlign w:val="center"/>
          </w:tcPr>
          <w:p>
            <w:pPr>
              <w:spacing w:line="240" w:lineRule="auto"/>
              <w:ind w:firstLine="0" w:firstLineChars="0"/>
              <w:jc w:val="left"/>
              <w:rPr>
                <w:rFonts w:hint="default" w:ascii="Times New Roman" w:hAnsi="Times New Roman" w:eastAsia="等线 Light" w:cs="Times New Roman"/>
                <w:kern w:val="0"/>
                <w:sz w:val="20"/>
                <w:szCs w:val="20"/>
              </w:rPr>
            </w:pPr>
          </w:p>
        </w:tc>
        <w:tc>
          <w:tcPr>
            <w:tcW w:w="864" w:type="dxa"/>
            <w:tcBorders>
              <w:top w:val="single" w:color="auto" w:sz="4" w:space="0"/>
              <w:bottom w:val="single" w:color="auto" w:sz="6" w:space="0"/>
              <w:right w:val="nil"/>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i/>
                <w:iCs/>
                <w:kern w:val="0"/>
                <w:sz w:val="20"/>
                <w:szCs w:val="20"/>
              </w:rPr>
              <w:t>M</w:t>
            </w:r>
          </w:p>
        </w:tc>
        <w:tc>
          <w:tcPr>
            <w:tcW w:w="1382" w:type="dxa"/>
            <w:tcBorders>
              <w:top w:val="single" w:color="auto" w:sz="4" w:space="0"/>
              <w:left w:val="nil"/>
              <w:bottom w:val="single" w:color="auto" w:sz="6" w:space="0"/>
              <w:right w:val="nil"/>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i w:val="0"/>
                <w:iCs w:val="0"/>
                <w:kern w:val="0"/>
                <w:sz w:val="20"/>
                <w:szCs w:val="20"/>
              </w:rPr>
              <w:t>SD</w:t>
            </w:r>
          </w:p>
        </w:tc>
        <w:tc>
          <w:tcPr>
            <w:tcW w:w="1313" w:type="dxa"/>
            <w:tcBorders>
              <w:top w:val="single" w:color="auto" w:sz="4" w:space="0"/>
              <w:left w:val="nil"/>
              <w:bottom w:val="single" w:color="auto" w:sz="6" w:space="0"/>
              <w:right w:val="nil"/>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i/>
                <w:iCs/>
                <w:kern w:val="0"/>
                <w:sz w:val="20"/>
                <w:szCs w:val="20"/>
              </w:rPr>
              <w:t>M</w:t>
            </w:r>
          </w:p>
        </w:tc>
        <w:tc>
          <w:tcPr>
            <w:tcW w:w="1175" w:type="dxa"/>
            <w:tcBorders>
              <w:top w:val="single" w:color="auto" w:sz="4" w:space="0"/>
              <w:left w:val="nil"/>
              <w:bottom w:val="single" w:color="auto" w:sz="6" w:space="0"/>
              <w:right w:val="nil"/>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i w:val="0"/>
                <w:iCs w:val="0"/>
                <w:kern w:val="0"/>
                <w:sz w:val="20"/>
                <w:szCs w:val="20"/>
              </w:rPr>
              <w:t>SD</w:t>
            </w:r>
          </w:p>
        </w:tc>
        <w:tc>
          <w:tcPr>
            <w:tcW w:w="723" w:type="dxa"/>
            <w:tcBorders>
              <w:top w:val="nil"/>
              <w:left w:val="nil"/>
              <w:bottom w:val="single" w:color="auto" w:sz="6" w:space="0"/>
              <w:right w:val="nil"/>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i/>
                <w:iCs/>
                <w:kern w:val="0"/>
                <w:sz w:val="20"/>
                <w:szCs w:val="20"/>
              </w:rPr>
              <w:t>M</w:t>
            </w:r>
          </w:p>
        </w:tc>
        <w:tc>
          <w:tcPr>
            <w:tcW w:w="566" w:type="dxa"/>
            <w:tcBorders>
              <w:top w:val="nil"/>
              <w:left w:val="nil"/>
              <w:bottom w:val="single" w:color="auto" w:sz="6" w:space="0"/>
              <w:right w:val="nil"/>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i w:val="0"/>
                <w:iCs w:val="0"/>
                <w:kern w:val="0"/>
                <w:sz w:val="20"/>
                <w:szCs w:val="20"/>
              </w:rPr>
              <w:t>SD</w:t>
            </w:r>
          </w:p>
        </w:tc>
        <w:tc>
          <w:tcPr>
            <w:tcW w:w="1059" w:type="dxa"/>
            <w:tcBorders>
              <w:top w:val="single" w:color="auto" w:sz="4" w:space="0"/>
              <w:left w:val="nil"/>
              <w:bottom w:val="single" w:color="auto" w:sz="6" w:space="0"/>
              <w:right w:val="nil"/>
            </w:tcBorders>
            <w:vAlign w:val="center"/>
          </w:tcPr>
          <w:p>
            <w:pPr>
              <w:spacing w:line="240" w:lineRule="auto"/>
              <w:ind w:firstLine="0" w:firstLineChars="0"/>
              <w:jc w:val="center"/>
              <w:rPr>
                <w:rFonts w:hint="default" w:ascii="Times New Roman" w:hAnsi="Times New Roman" w:eastAsia="等线 Light" w:cs="Times New Roman"/>
                <w:i/>
                <w:iCs/>
                <w:kern w:val="0"/>
                <w:sz w:val="20"/>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1120" w:type="dxa"/>
            <w:tcBorders>
              <w:top w:val="single" w:color="auto" w:sz="6" w:space="0"/>
              <w:left w:val="nil"/>
            </w:tcBorders>
            <w:vAlign w:val="center"/>
          </w:tcPr>
          <w:p>
            <w:pPr>
              <w:spacing w:line="240" w:lineRule="auto"/>
              <w:ind w:firstLine="0" w:firstLineChars="0"/>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Perceived stress (T1)</w:t>
            </w:r>
          </w:p>
        </w:tc>
        <w:tc>
          <w:tcPr>
            <w:tcW w:w="864" w:type="dxa"/>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9.97</w:t>
            </w:r>
            <w:r>
              <w:rPr>
                <w:rFonts w:hint="default" w:ascii="Times New Roman" w:hAnsi="Times New Roman" w:eastAsia="等线 Light" w:cs="Times New Roman"/>
                <w:kern w:val="0"/>
                <w:sz w:val="20"/>
                <w:szCs w:val="20"/>
                <w:vertAlign w:val="subscript"/>
              </w:rPr>
              <w:t>a</w:t>
            </w:r>
          </w:p>
        </w:tc>
        <w:tc>
          <w:tcPr>
            <w:tcW w:w="1382" w:type="dxa"/>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7.50</w:t>
            </w:r>
          </w:p>
        </w:tc>
        <w:tc>
          <w:tcPr>
            <w:tcW w:w="1313" w:type="dxa"/>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14.46</w:t>
            </w:r>
            <w:r>
              <w:rPr>
                <w:rFonts w:hint="default" w:ascii="Times New Roman" w:hAnsi="Times New Roman" w:eastAsia="等线 Light" w:cs="Times New Roman"/>
                <w:kern w:val="0"/>
                <w:sz w:val="20"/>
                <w:szCs w:val="20"/>
                <w:vertAlign w:val="subscript"/>
              </w:rPr>
              <w:t>b</w:t>
            </w:r>
          </w:p>
        </w:tc>
        <w:tc>
          <w:tcPr>
            <w:tcW w:w="1175" w:type="dxa"/>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6.34</w:t>
            </w:r>
          </w:p>
        </w:tc>
        <w:tc>
          <w:tcPr>
            <w:tcW w:w="723" w:type="dxa"/>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19.6</w:t>
            </w:r>
            <w:r>
              <w:rPr>
                <w:rFonts w:hint="default" w:ascii="Times New Roman" w:hAnsi="Times New Roman" w:eastAsia="等线 Light" w:cs="Times New Roman"/>
                <w:kern w:val="0"/>
                <w:sz w:val="20"/>
                <w:szCs w:val="20"/>
                <w:vertAlign w:val="subscript"/>
              </w:rPr>
              <w:t>c</w:t>
            </w:r>
          </w:p>
        </w:tc>
        <w:tc>
          <w:tcPr>
            <w:tcW w:w="566" w:type="dxa"/>
            <w:tcBorders>
              <w:top w:val="single" w:color="auto" w:sz="6" w:space="0"/>
              <w:right w:val="nil"/>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5.20</w:t>
            </w:r>
          </w:p>
        </w:tc>
        <w:tc>
          <w:tcPr>
            <w:tcW w:w="1059" w:type="dxa"/>
            <w:tcBorders>
              <w:top w:val="single" w:color="auto" w:sz="6" w:space="0"/>
              <w:left w:val="nil"/>
              <w:right w:val="nil"/>
            </w:tcBorders>
            <w:vAlign w:val="center"/>
          </w:tcPr>
          <w:p>
            <w:pPr>
              <w:widowControl/>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377.29</w:t>
            </w:r>
            <w:r>
              <w:rPr>
                <w:rFonts w:hint="default" w:ascii="Times New Roman" w:hAnsi="Times New Roman" w:eastAsia="等线 Light" w:cs="Times New Roman"/>
                <w:kern w:val="0"/>
                <w:sz w:val="20"/>
                <w:szCs w:val="20"/>
                <w:vertAlign w:val="superscript"/>
                <w:lang w:bidi="ar"/>
              </w:rPr>
              <w:t>**</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20" w:type="dxa"/>
            <w:tcBorders>
              <w:left w:val="nil"/>
            </w:tcBorders>
            <w:vAlign w:val="center"/>
          </w:tcPr>
          <w:p>
            <w:pPr>
              <w:spacing w:line="240" w:lineRule="auto"/>
              <w:ind w:firstLine="0" w:firstLineChars="0"/>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Perceived stress (T2)</w:t>
            </w:r>
          </w:p>
        </w:tc>
        <w:tc>
          <w:tcPr>
            <w:tcW w:w="864" w:type="dxa"/>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5.95</w:t>
            </w:r>
            <w:r>
              <w:rPr>
                <w:rFonts w:hint="default" w:ascii="Times New Roman" w:hAnsi="Times New Roman" w:eastAsia="等线 Light" w:cs="Times New Roman"/>
                <w:kern w:val="0"/>
                <w:sz w:val="20"/>
                <w:szCs w:val="20"/>
                <w:vertAlign w:val="subscript"/>
              </w:rPr>
              <w:t>a</w:t>
            </w:r>
          </w:p>
        </w:tc>
        <w:tc>
          <w:tcPr>
            <w:tcW w:w="1382" w:type="dxa"/>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5.00</w:t>
            </w:r>
          </w:p>
        </w:tc>
        <w:tc>
          <w:tcPr>
            <w:tcW w:w="1313" w:type="dxa"/>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12.54</w:t>
            </w:r>
            <w:r>
              <w:rPr>
                <w:rFonts w:hint="default" w:ascii="Times New Roman" w:hAnsi="Times New Roman" w:eastAsia="等线 Light" w:cs="Times New Roman"/>
                <w:kern w:val="0"/>
                <w:sz w:val="20"/>
                <w:szCs w:val="20"/>
                <w:vertAlign w:val="subscript"/>
              </w:rPr>
              <w:t>b</w:t>
            </w:r>
          </w:p>
        </w:tc>
        <w:tc>
          <w:tcPr>
            <w:tcW w:w="1175" w:type="dxa"/>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4.98</w:t>
            </w:r>
          </w:p>
        </w:tc>
        <w:tc>
          <w:tcPr>
            <w:tcW w:w="723" w:type="dxa"/>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18.95</w:t>
            </w:r>
            <w:r>
              <w:rPr>
                <w:rFonts w:hint="default" w:ascii="Times New Roman" w:hAnsi="Times New Roman" w:eastAsia="等线 Light" w:cs="Times New Roman"/>
                <w:kern w:val="0"/>
                <w:sz w:val="20"/>
                <w:szCs w:val="20"/>
                <w:vertAlign w:val="subscript"/>
              </w:rPr>
              <w:t>c</w:t>
            </w:r>
          </w:p>
        </w:tc>
        <w:tc>
          <w:tcPr>
            <w:tcW w:w="566" w:type="dxa"/>
            <w:tcBorders>
              <w:bottom w:val="nil"/>
              <w:right w:val="nil"/>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4.40</w:t>
            </w:r>
          </w:p>
        </w:tc>
        <w:tc>
          <w:tcPr>
            <w:tcW w:w="1059" w:type="dxa"/>
            <w:tcBorders>
              <w:left w:val="nil"/>
              <w:bottom w:val="nil"/>
              <w:right w:val="nil"/>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1027.51</w:t>
            </w:r>
            <w:r>
              <w:rPr>
                <w:rFonts w:hint="default" w:ascii="Times New Roman" w:hAnsi="Times New Roman" w:eastAsia="等线 Light" w:cs="Times New Roman"/>
                <w:kern w:val="0"/>
                <w:sz w:val="20"/>
                <w:szCs w:val="20"/>
                <w:vertAlign w:val="superscript"/>
                <w:lang w:bidi="ar"/>
              </w:rPr>
              <w:t>***</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20" w:type="dxa"/>
            <w:tcBorders>
              <w:left w:val="nil"/>
            </w:tcBorders>
            <w:vAlign w:val="center"/>
          </w:tcPr>
          <w:p>
            <w:pPr>
              <w:spacing w:line="240" w:lineRule="auto"/>
              <w:ind w:firstLine="0" w:firstLineChars="0"/>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Perceived stress (T3)</w:t>
            </w:r>
          </w:p>
        </w:tc>
        <w:tc>
          <w:tcPr>
            <w:tcW w:w="864" w:type="dxa"/>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3.83</w:t>
            </w:r>
            <w:r>
              <w:rPr>
                <w:rFonts w:hint="default" w:ascii="Times New Roman" w:hAnsi="Times New Roman" w:eastAsia="等线 Light" w:cs="Times New Roman"/>
                <w:kern w:val="0"/>
                <w:sz w:val="20"/>
                <w:szCs w:val="20"/>
                <w:vertAlign w:val="subscript"/>
              </w:rPr>
              <w:t>a</w:t>
            </w:r>
          </w:p>
        </w:tc>
        <w:tc>
          <w:tcPr>
            <w:tcW w:w="1382" w:type="dxa"/>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3.26</w:t>
            </w:r>
          </w:p>
        </w:tc>
        <w:tc>
          <w:tcPr>
            <w:tcW w:w="1313" w:type="dxa"/>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11.69</w:t>
            </w:r>
            <w:r>
              <w:rPr>
                <w:rFonts w:hint="default" w:ascii="Times New Roman" w:hAnsi="Times New Roman" w:eastAsia="等线 Light" w:cs="Times New Roman"/>
                <w:kern w:val="0"/>
                <w:sz w:val="20"/>
                <w:szCs w:val="20"/>
                <w:vertAlign w:val="subscript"/>
              </w:rPr>
              <w:t>b</w:t>
            </w:r>
          </w:p>
        </w:tc>
        <w:tc>
          <w:tcPr>
            <w:tcW w:w="1175" w:type="dxa"/>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3.98</w:t>
            </w:r>
          </w:p>
        </w:tc>
        <w:tc>
          <w:tcPr>
            <w:tcW w:w="723" w:type="dxa"/>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19.22</w:t>
            </w:r>
            <w:r>
              <w:rPr>
                <w:rFonts w:hint="default" w:ascii="Times New Roman" w:hAnsi="Times New Roman" w:eastAsia="等线 Light" w:cs="Times New Roman"/>
                <w:kern w:val="0"/>
                <w:sz w:val="20"/>
                <w:szCs w:val="20"/>
                <w:vertAlign w:val="subscript"/>
              </w:rPr>
              <w:t>c</w:t>
            </w:r>
          </w:p>
        </w:tc>
        <w:tc>
          <w:tcPr>
            <w:tcW w:w="566" w:type="dxa"/>
            <w:tcBorders>
              <w:top w:val="nil"/>
              <w:bottom w:val="nil"/>
              <w:right w:val="nil"/>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3.22</w:t>
            </w:r>
          </w:p>
        </w:tc>
        <w:tc>
          <w:tcPr>
            <w:tcW w:w="1059" w:type="dxa"/>
            <w:tcBorders>
              <w:top w:val="nil"/>
              <w:left w:val="nil"/>
              <w:bottom w:val="nil"/>
              <w:right w:val="nil"/>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2570.25</w:t>
            </w:r>
            <w:r>
              <w:rPr>
                <w:rFonts w:hint="default" w:ascii="Times New Roman" w:hAnsi="Times New Roman" w:eastAsia="等线 Light" w:cs="Times New Roman"/>
                <w:kern w:val="0"/>
                <w:sz w:val="20"/>
                <w:szCs w:val="20"/>
                <w:vertAlign w:val="superscript"/>
                <w:lang w:bidi="ar"/>
              </w:rPr>
              <w:t>***</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120" w:type="dxa"/>
            <w:tcBorders>
              <w:left w:val="nil"/>
            </w:tcBorders>
            <w:vAlign w:val="center"/>
          </w:tcPr>
          <w:p>
            <w:pPr>
              <w:spacing w:line="240" w:lineRule="auto"/>
              <w:ind w:firstLine="0" w:firstLineChars="0"/>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Perceived stress (T4)</w:t>
            </w:r>
          </w:p>
        </w:tc>
        <w:tc>
          <w:tcPr>
            <w:tcW w:w="864" w:type="dxa"/>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4.83</w:t>
            </w:r>
            <w:r>
              <w:rPr>
                <w:rFonts w:hint="default" w:ascii="Times New Roman" w:hAnsi="Times New Roman" w:eastAsia="等线 Light" w:cs="Times New Roman"/>
                <w:kern w:val="0"/>
                <w:sz w:val="20"/>
                <w:szCs w:val="20"/>
                <w:vertAlign w:val="subscript"/>
              </w:rPr>
              <w:t>a</w:t>
            </w:r>
          </w:p>
        </w:tc>
        <w:tc>
          <w:tcPr>
            <w:tcW w:w="1382" w:type="dxa"/>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4.43</w:t>
            </w:r>
          </w:p>
        </w:tc>
        <w:tc>
          <w:tcPr>
            <w:tcW w:w="1313" w:type="dxa"/>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11.34</w:t>
            </w:r>
            <w:r>
              <w:rPr>
                <w:rFonts w:hint="default" w:ascii="Times New Roman" w:hAnsi="Times New Roman" w:eastAsia="等线 Light" w:cs="Times New Roman"/>
                <w:kern w:val="0"/>
                <w:sz w:val="20"/>
                <w:szCs w:val="20"/>
                <w:vertAlign w:val="subscript"/>
              </w:rPr>
              <w:t>b</w:t>
            </w:r>
          </w:p>
        </w:tc>
        <w:tc>
          <w:tcPr>
            <w:tcW w:w="1175" w:type="dxa"/>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4.56</w:t>
            </w:r>
          </w:p>
        </w:tc>
        <w:tc>
          <w:tcPr>
            <w:tcW w:w="723" w:type="dxa"/>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18.42</w:t>
            </w:r>
            <w:r>
              <w:rPr>
                <w:rFonts w:hint="default" w:ascii="Times New Roman" w:hAnsi="Times New Roman" w:eastAsia="等线 Light" w:cs="Times New Roman"/>
                <w:kern w:val="0"/>
                <w:sz w:val="20"/>
                <w:szCs w:val="20"/>
                <w:vertAlign w:val="subscript"/>
              </w:rPr>
              <w:t>c</w:t>
            </w:r>
          </w:p>
        </w:tc>
        <w:tc>
          <w:tcPr>
            <w:tcW w:w="566" w:type="dxa"/>
            <w:tcBorders>
              <w:top w:val="nil"/>
              <w:right w:val="nil"/>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3.69</w:t>
            </w:r>
          </w:p>
        </w:tc>
        <w:tc>
          <w:tcPr>
            <w:tcW w:w="1059" w:type="dxa"/>
            <w:tcBorders>
              <w:top w:val="nil"/>
              <w:left w:val="nil"/>
              <w:right w:val="nil"/>
            </w:tcBorders>
            <w:vAlign w:val="center"/>
          </w:tcPr>
          <w:p>
            <w:pPr>
              <w:spacing w:line="240" w:lineRule="auto"/>
              <w:ind w:firstLine="0" w:firstLineChars="0"/>
              <w:jc w:val="center"/>
              <w:rPr>
                <w:rFonts w:hint="default" w:ascii="Times New Roman" w:hAnsi="Times New Roman" w:eastAsia="等线 Light" w:cs="Times New Roman"/>
                <w:kern w:val="0"/>
                <w:sz w:val="20"/>
                <w:szCs w:val="20"/>
              </w:rPr>
            </w:pPr>
            <w:r>
              <w:rPr>
                <w:rFonts w:hint="default" w:ascii="Times New Roman" w:hAnsi="Times New Roman" w:eastAsia="等线 Light" w:cs="Times New Roman"/>
                <w:kern w:val="0"/>
                <w:sz w:val="20"/>
                <w:szCs w:val="20"/>
              </w:rPr>
              <w:t>1533.15</w:t>
            </w:r>
            <w:r>
              <w:rPr>
                <w:rFonts w:hint="default" w:ascii="Times New Roman" w:hAnsi="Times New Roman" w:eastAsia="等线 Light" w:cs="Times New Roman"/>
                <w:kern w:val="0"/>
                <w:sz w:val="20"/>
                <w:szCs w:val="20"/>
                <w:vertAlign w:val="superscript"/>
                <w:lang w:bidi="ar"/>
              </w:rPr>
              <w:t>***</w:t>
            </w:r>
          </w:p>
        </w:tc>
      </w:tr>
      <w:bookmarkEnd w:id="3"/>
    </w:tbl>
    <w:p>
      <w:pPr>
        <w:rPr>
          <w:rFonts w:hint="default" w:ascii="Times New Roman" w:hAnsi="Times New Roman" w:cs="Times New Roman"/>
          <w:b w:val="0"/>
          <w:bCs/>
          <w:sz w:val="20"/>
          <w:szCs w:val="20"/>
        </w:rPr>
      </w:pPr>
      <w:r>
        <w:rPr>
          <w:rFonts w:hint="default" w:ascii="Times New Roman" w:hAnsi="Times New Roman" w:cs="Times New Roman"/>
          <w:b w:val="0"/>
          <w:bCs/>
          <w:sz w:val="20"/>
          <w:szCs w:val="20"/>
        </w:rPr>
        <w:t>Note. PS: Perceived stress; Means with various subscripts in a row were significantly different from one another.</w:t>
      </w:r>
      <w:r>
        <w:rPr>
          <w:rFonts w:hint="default" w:ascii="Times New Roman" w:hAnsi="Times New Roman" w:cs="Times New Roman"/>
          <w:b w:val="0"/>
          <w:bCs/>
          <w:sz w:val="20"/>
          <w:szCs w:val="20"/>
          <w:lang w:val="en-US" w:eastAsia="zh-CN"/>
        </w:rPr>
        <w:t xml:space="preserve"> </w:t>
      </w:r>
      <w:r>
        <w:rPr>
          <w:rFonts w:hint="default" w:ascii="Times New Roman" w:hAnsi="Times New Roman" w:cs="Times New Roman"/>
          <w:b w:val="0"/>
          <w:bCs/>
          <w:sz w:val="20"/>
          <w:szCs w:val="20"/>
          <w:vertAlign w:val="subscript"/>
        </w:rPr>
        <w:t>abc</w:t>
      </w:r>
      <w:r>
        <w:rPr>
          <w:rFonts w:hint="default" w:ascii="Times New Roman" w:hAnsi="Times New Roman" w:cs="Times New Roman"/>
          <w:b w:val="0"/>
          <w:bCs/>
          <w:sz w:val="20"/>
          <w:szCs w:val="20"/>
        </w:rPr>
        <w:t xml:space="preserve">Indication of significant differences between means, with </w:t>
      </w:r>
      <w:r>
        <w:rPr>
          <w:rFonts w:hint="default" w:ascii="Times New Roman" w:hAnsi="Times New Roman" w:cs="Times New Roman"/>
          <w:b w:val="0"/>
          <w:bCs/>
          <w:sz w:val="20"/>
          <w:szCs w:val="20"/>
          <w:vertAlign w:val="subscript"/>
        </w:rPr>
        <w:t>a</w:t>
      </w:r>
      <w:r>
        <w:rPr>
          <w:rFonts w:hint="default" w:ascii="Times New Roman" w:hAnsi="Times New Roman" w:cs="Times New Roman"/>
          <w:b w:val="0"/>
          <w:bCs/>
          <w:sz w:val="20"/>
          <w:szCs w:val="20"/>
        </w:rPr>
        <w:t xml:space="preserve">being the lowest value and </w:t>
      </w:r>
      <w:r>
        <w:rPr>
          <w:rFonts w:hint="default" w:ascii="Times New Roman" w:hAnsi="Times New Roman" w:cs="Times New Roman"/>
          <w:b w:val="0"/>
          <w:bCs/>
          <w:sz w:val="20"/>
          <w:szCs w:val="20"/>
          <w:vertAlign w:val="subscript"/>
        </w:rPr>
        <w:t>c</w:t>
      </w:r>
      <w:r>
        <w:rPr>
          <w:rFonts w:hint="default" w:ascii="Times New Roman" w:hAnsi="Times New Roman" w:cs="Times New Roman"/>
          <w:b w:val="0"/>
          <w:bCs/>
          <w:sz w:val="20"/>
          <w:szCs w:val="20"/>
        </w:rPr>
        <w:t>being the highest value. ***</w:t>
      </w:r>
      <w:r>
        <w:rPr>
          <w:rFonts w:hint="default" w:ascii="Times New Roman" w:hAnsi="Times New Roman" w:cs="Times New Roman"/>
          <w:b w:val="0"/>
          <w:bCs/>
          <w:i/>
          <w:iCs/>
          <w:sz w:val="20"/>
          <w:szCs w:val="20"/>
        </w:rPr>
        <w:t>p</w:t>
      </w:r>
      <w:r>
        <w:rPr>
          <w:rFonts w:hint="default" w:ascii="Times New Roman" w:hAnsi="Times New Roman" w:cs="Times New Roman"/>
          <w:b w:val="0"/>
          <w:bCs/>
          <w:sz w:val="20"/>
          <w:szCs w:val="20"/>
        </w:rPr>
        <w:t xml:space="preserve"> &lt; 0.001.</w:t>
      </w:r>
    </w:p>
    <w:p>
      <w:pPr>
        <w:rPr>
          <w:rFonts w:hint="default" w:ascii="Times New Roman" w:hAnsi="Times New Roman" w:cs="Times New Roman"/>
          <w:b w:val="0"/>
          <w:bCs/>
          <w:sz w:val="20"/>
          <w:szCs w:val="20"/>
        </w:rPr>
        <w:sectPr>
          <w:footerReference r:id="rId3" w:type="default"/>
          <w:pgSz w:w="11906" w:h="16838"/>
          <w:pgMar w:top="1440" w:right="1800" w:bottom="1440" w:left="1800" w:header="851" w:footer="992" w:gutter="0"/>
          <w:cols w:space="425" w:num="1"/>
          <w:docGrid w:type="lines" w:linePitch="312" w:charSpace="0"/>
        </w:sectPr>
      </w:pPr>
    </w:p>
    <w:p>
      <w:pPr>
        <w:spacing w:line="360" w:lineRule="auto"/>
        <w:jc w:val="center"/>
        <w:rPr>
          <w:rFonts w:hint="default" w:ascii="Times New Roman" w:hAnsi="Times New Roman" w:cs="Times New Roman"/>
          <w:b w:val="0"/>
          <w:bCs/>
          <w:sz w:val="20"/>
          <w:szCs w:val="20"/>
        </w:rPr>
      </w:pPr>
      <w:r>
        <w:rPr>
          <w:rFonts w:hint="default" w:ascii="Times New Roman" w:hAnsi="Times New Roman" w:cs="Times New Roman"/>
          <w:b w:val="0"/>
          <w:bCs/>
          <w:sz w:val="20"/>
          <w:szCs w:val="20"/>
        </w:rPr>
        <w:t xml:space="preserve">Table S5 Multinomial </w:t>
      </w:r>
      <w:r>
        <w:rPr>
          <w:rFonts w:hint="eastAsia" w:ascii="Times New Roman" w:hAnsi="Times New Roman" w:cs="Times New Roman"/>
          <w:b w:val="0"/>
          <w:bCs/>
          <w:sz w:val="20"/>
          <w:szCs w:val="20"/>
          <w:lang w:val="en-US" w:eastAsia="zh-CN"/>
        </w:rPr>
        <w:t>l</w:t>
      </w:r>
      <w:r>
        <w:rPr>
          <w:rFonts w:hint="default" w:ascii="Times New Roman" w:hAnsi="Times New Roman" w:cs="Times New Roman"/>
          <w:b w:val="0"/>
          <w:bCs/>
          <w:sz w:val="20"/>
          <w:szCs w:val="20"/>
        </w:rPr>
        <w:t xml:space="preserve">ogistic </w:t>
      </w:r>
      <w:r>
        <w:rPr>
          <w:rFonts w:hint="eastAsia" w:ascii="Times New Roman" w:hAnsi="Times New Roman" w:cs="Times New Roman"/>
          <w:b w:val="0"/>
          <w:bCs/>
          <w:sz w:val="20"/>
          <w:szCs w:val="20"/>
          <w:lang w:val="en-US" w:eastAsia="zh-CN"/>
        </w:rPr>
        <w:t>r</w:t>
      </w:r>
      <w:r>
        <w:rPr>
          <w:rFonts w:hint="default" w:ascii="Times New Roman" w:hAnsi="Times New Roman" w:cs="Times New Roman"/>
          <w:b w:val="0"/>
          <w:bCs/>
          <w:sz w:val="20"/>
          <w:szCs w:val="20"/>
        </w:rPr>
        <w:t xml:space="preserve">egression of </w:t>
      </w:r>
      <w:r>
        <w:rPr>
          <w:rFonts w:hint="eastAsia" w:ascii="Times New Roman" w:hAnsi="Times New Roman" w:cs="Times New Roman"/>
          <w:b w:val="0"/>
          <w:bCs/>
          <w:sz w:val="20"/>
          <w:szCs w:val="20"/>
          <w:lang w:val="en-US" w:eastAsia="zh-CN"/>
        </w:rPr>
        <w:t>b</w:t>
      </w:r>
      <w:r>
        <w:rPr>
          <w:rFonts w:hint="default" w:ascii="Times New Roman" w:hAnsi="Times New Roman" w:cs="Times New Roman"/>
          <w:b w:val="0"/>
          <w:bCs/>
          <w:sz w:val="20"/>
          <w:szCs w:val="20"/>
        </w:rPr>
        <w:t xml:space="preserve">aseline </w:t>
      </w:r>
      <w:r>
        <w:rPr>
          <w:rFonts w:hint="eastAsia" w:ascii="Times New Roman" w:hAnsi="Times New Roman" w:cs="Times New Roman"/>
          <w:b w:val="0"/>
          <w:bCs/>
          <w:sz w:val="20"/>
          <w:szCs w:val="20"/>
          <w:lang w:val="en-US" w:eastAsia="zh-CN"/>
        </w:rPr>
        <w:t>p</w:t>
      </w:r>
      <w:r>
        <w:rPr>
          <w:rFonts w:hint="default" w:ascii="Times New Roman" w:hAnsi="Times New Roman" w:cs="Times New Roman"/>
          <w:b w:val="0"/>
          <w:bCs/>
          <w:sz w:val="20"/>
          <w:szCs w:val="20"/>
        </w:rPr>
        <w:t xml:space="preserve">sychological resilience and </w:t>
      </w:r>
      <w:r>
        <w:rPr>
          <w:rFonts w:hint="eastAsia" w:ascii="Times New Roman" w:hAnsi="Times New Roman" w:cs="Times New Roman"/>
          <w:b w:val="0"/>
          <w:bCs/>
          <w:sz w:val="20"/>
          <w:szCs w:val="20"/>
          <w:lang w:val="en-US" w:eastAsia="zh-CN"/>
        </w:rPr>
        <w:t>s</w:t>
      </w:r>
      <w:r>
        <w:rPr>
          <w:rFonts w:hint="default" w:ascii="Times New Roman" w:hAnsi="Times New Roman" w:cs="Times New Roman"/>
          <w:b w:val="0"/>
          <w:bCs/>
          <w:sz w:val="20"/>
          <w:szCs w:val="20"/>
        </w:rPr>
        <w:t xml:space="preserve">ocial </w:t>
      </w:r>
      <w:r>
        <w:rPr>
          <w:rFonts w:hint="eastAsia" w:ascii="Times New Roman" w:hAnsi="Times New Roman" w:cs="Times New Roman"/>
          <w:b w:val="0"/>
          <w:bCs/>
          <w:sz w:val="20"/>
          <w:szCs w:val="20"/>
          <w:lang w:val="en-US" w:eastAsia="zh-CN"/>
        </w:rPr>
        <w:t>s</w:t>
      </w:r>
      <w:r>
        <w:rPr>
          <w:rFonts w:hint="default" w:ascii="Times New Roman" w:hAnsi="Times New Roman" w:cs="Times New Roman"/>
          <w:b w:val="0"/>
          <w:bCs/>
          <w:sz w:val="20"/>
          <w:szCs w:val="20"/>
        </w:rPr>
        <w:t xml:space="preserve">upport on </w:t>
      </w:r>
      <w:r>
        <w:rPr>
          <w:rFonts w:hint="eastAsia" w:ascii="Times New Roman" w:hAnsi="Times New Roman" w:cs="Times New Roman"/>
          <w:b w:val="0"/>
          <w:bCs/>
          <w:sz w:val="20"/>
          <w:szCs w:val="20"/>
          <w:lang w:val="en-US" w:eastAsia="zh-CN"/>
        </w:rPr>
        <w:t>t</w:t>
      </w:r>
      <w:r>
        <w:rPr>
          <w:rFonts w:hint="default" w:ascii="Times New Roman" w:hAnsi="Times New Roman" w:cs="Times New Roman"/>
          <w:b w:val="0"/>
          <w:bCs/>
          <w:sz w:val="20"/>
          <w:szCs w:val="20"/>
        </w:rPr>
        <w:t xml:space="preserve">rajectory </w:t>
      </w:r>
      <w:r>
        <w:rPr>
          <w:rFonts w:hint="eastAsia" w:ascii="Times New Roman" w:hAnsi="Times New Roman" w:cs="Times New Roman"/>
          <w:b w:val="0"/>
          <w:bCs/>
          <w:sz w:val="20"/>
          <w:szCs w:val="20"/>
          <w:lang w:val="en-US" w:eastAsia="zh-CN"/>
        </w:rPr>
        <w:t>p</w:t>
      </w:r>
      <w:r>
        <w:rPr>
          <w:rFonts w:hint="default" w:ascii="Times New Roman" w:hAnsi="Times New Roman" w:cs="Times New Roman"/>
          <w:b w:val="0"/>
          <w:bCs/>
          <w:sz w:val="20"/>
          <w:szCs w:val="20"/>
        </w:rPr>
        <w:t xml:space="preserve">atterns of </w:t>
      </w:r>
      <w:r>
        <w:rPr>
          <w:rFonts w:hint="eastAsia" w:ascii="Times New Roman" w:hAnsi="Times New Roman" w:cs="Times New Roman"/>
          <w:b w:val="0"/>
          <w:bCs/>
          <w:sz w:val="20"/>
          <w:szCs w:val="20"/>
          <w:lang w:val="en-US" w:eastAsia="zh-CN"/>
        </w:rPr>
        <w:t>p</w:t>
      </w:r>
      <w:r>
        <w:rPr>
          <w:rFonts w:hint="default" w:ascii="Times New Roman" w:hAnsi="Times New Roman" w:cs="Times New Roman"/>
          <w:b w:val="0"/>
          <w:bCs/>
          <w:sz w:val="20"/>
          <w:szCs w:val="20"/>
        </w:rPr>
        <w:t>erceived stress among FGCS and CGCS</w:t>
      </w:r>
    </w:p>
    <w:tbl>
      <w:tblPr>
        <w:tblStyle w:val="17"/>
        <w:tblW w:w="0" w:type="auto"/>
        <w:jc w:val="center"/>
        <w:tblLayout w:type="autofit"/>
        <w:tblCellMar>
          <w:top w:w="0" w:type="dxa"/>
          <w:left w:w="108" w:type="dxa"/>
          <w:bottom w:w="0" w:type="dxa"/>
          <w:right w:w="108" w:type="dxa"/>
        </w:tblCellMar>
      </w:tblPr>
      <w:tblGrid>
        <w:gridCol w:w="704"/>
        <w:gridCol w:w="1615"/>
        <w:gridCol w:w="734"/>
        <w:gridCol w:w="1373"/>
        <w:gridCol w:w="656"/>
        <w:gridCol w:w="1555"/>
        <w:gridCol w:w="802"/>
        <w:gridCol w:w="1589"/>
        <w:gridCol w:w="760"/>
        <w:gridCol w:w="1373"/>
        <w:gridCol w:w="656"/>
        <w:gridCol w:w="1540"/>
        <w:gridCol w:w="817"/>
      </w:tblGrid>
      <w:tr>
        <w:tblPrEx>
          <w:tblCellMar>
            <w:top w:w="0" w:type="dxa"/>
            <w:left w:w="108" w:type="dxa"/>
            <w:bottom w:w="0" w:type="dxa"/>
            <w:right w:w="108" w:type="dxa"/>
          </w:tblCellMar>
        </w:tblPrEx>
        <w:trPr>
          <w:trHeight w:val="340" w:hRule="atLeast"/>
          <w:jc w:val="center"/>
        </w:trPr>
        <w:tc>
          <w:tcPr>
            <w:tcW w:w="0" w:type="auto"/>
            <w:tcBorders>
              <w:top w:val="single" w:color="auto" w:sz="12" w:space="0"/>
            </w:tcBorders>
            <w:vAlign w:val="center"/>
          </w:tcPr>
          <w:p>
            <w:pPr>
              <w:spacing w:line="240" w:lineRule="auto"/>
              <w:ind w:firstLine="0" w:firstLineChars="0"/>
              <w:rPr>
                <w:rFonts w:hint="default" w:ascii="Times New Roman" w:hAnsi="Times New Roman" w:eastAsia="等线 Light" w:cs="Times New Roman"/>
                <w:sz w:val="16"/>
                <w:szCs w:val="16"/>
              </w:rPr>
            </w:pPr>
          </w:p>
        </w:tc>
        <w:tc>
          <w:tcPr>
            <w:tcW w:w="0" w:type="auto"/>
            <w:gridSpan w:val="6"/>
            <w:tcBorders>
              <w:top w:val="single" w:color="auto" w:sz="12" w:space="0"/>
              <w:bottom w:val="single" w:color="auto" w:sz="4" w:space="0"/>
            </w:tcBorders>
            <w:vAlign w:val="center"/>
          </w:tcPr>
          <w:p>
            <w:pPr>
              <w:spacing w:line="240" w:lineRule="auto"/>
              <w:ind w:firstLine="0" w:firstLineChars="0"/>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FGCS (</w:t>
            </w:r>
            <w:r>
              <w:rPr>
                <w:rFonts w:hint="default" w:ascii="Times New Roman" w:hAnsi="Times New Roman" w:eastAsia="等线 Light" w:cs="Times New Roman"/>
                <w:i/>
                <w:iCs/>
                <w:sz w:val="16"/>
                <w:szCs w:val="16"/>
              </w:rPr>
              <w:t>n</w:t>
            </w:r>
            <w:r>
              <w:rPr>
                <w:rFonts w:hint="default" w:ascii="Times New Roman" w:hAnsi="Times New Roman" w:eastAsia="等线 Light" w:cs="Times New Roman"/>
                <w:sz w:val="16"/>
                <w:szCs w:val="16"/>
              </w:rPr>
              <w:t xml:space="preserve"> = 1548)</w:t>
            </w:r>
          </w:p>
        </w:tc>
        <w:tc>
          <w:tcPr>
            <w:tcW w:w="0" w:type="auto"/>
            <w:gridSpan w:val="6"/>
            <w:tcBorders>
              <w:top w:val="single" w:color="auto" w:sz="12" w:space="0"/>
              <w:bottom w:val="single" w:color="auto" w:sz="4" w:space="0"/>
            </w:tcBorders>
            <w:vAlign w:val="center"/>
          </w:tcPr>
          <w:p>
            <w:pPr>
              <w:spacing w:line="240" w:lineRule="auto"/>
              <w:ind w:firstLine="0" w:firstLineChars="0"/>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CGCS (</w:t>
            </w:r>
            <w:r>
              <w:rPr>
                <w:rFonts w:hint="default" w:ascii="Times New Roman" w:hAnsi="Times New Roman" w:eastAsia="等线 Light" w:cs="Times New Roman"/>
                <w:i/>
                <w:iCs/>
                <w:sz w:val="16"/>
                <w:szCs w:val="16"/>
              </w:rPr>
              <w:t>n</w:t>
            </w:r>
            <w:r>
              <w:rPr>
                <w:rFonts w:hint="default" w:ascii="Times New Roman" w:hAnsi="Times New Roman" w:eastAsia="等线 Light" w:cs="Times New Roman"/>
                <w:sz w:val="16"/>
                <w:szCs w:val="16"/>
              </w:rPr>
              <w:t xml:space="preserve"> = 778)</w:t>
            </w:r>
          </w:p>
        </w:tc>
      </w:tr>
      <w:tr>
        <w:tblPrEx>
          <w:tblCellMar>
            <w:top w:w="0" w:type="dxa"/>
            <w:left w:w="108" w:type="dxa"/>
            <w:bottom w:w="0" w:type="dxa"/>
            <w:right w:w="108" w:type="dxa"/>
          </w:tblCellMar>
        </w:tblPrEx>
        <w:trPr>
          <w:trHeight w:val="340" w:hRule="atLeast"/>
          <w:jc w:val="center"/>
        </w:trPr>
        <w:tc>
          <w:tcPr>
            <w:tcW w:w="0" w:type="auto"/>
            <w:vAlign w:val="center"/>
          </w:tcPr>
          <w:p>
            <w:pPr>
              <w:spacing w:line="240" w:lineRule="auto"/>
              <w:ind w:firstLine="0" w:firstLineChars="0"/>
              <w:rPr>
                <w:rFonts w:hint="default" w:ascii="Times New Roman" w:hAnsi="Times New Roman" w:eastAsia="等线 Light" w:cs="Times New Roman"/>
                <w:sz w:val="16"/>
                <w:szCs w:val="16"/>
              </w:rPr>
            </w:pPr>
          </w:p>
        </w:tc>
        <w:tc>
          <w:tcPr>
            <w:tcW w:w="0" w:type="auto"/>
            <w:gridSpan w:val="4"/>
            <w:tcBorders>
              <w:top w:val="single" w:color="auto" w:sz="4" w:space="0"/>
              <w:bottom w:val="single" w:color="auto" w:sz="4" w:space="0"/>
            </w:tcBorders>
            <w:vAlign w:val="center"/>
          </w:tcPr>
          <w:p>
            <w:pPr>
              <w:spacing w:line="240" w:lineRule="auto"/>
              <w:ind w:firstLine="0" w:firstLineChars="0"/>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Ref. High-stable</w:t>
            </w:r>
          </w:p>
        </w:tc>
        <w:tc>
          <w:tcPr>
            <w:tcW w:w="0" w:type="auto"/>
            <w:gridSpan w:val="2"/>
            <w:tcBorders>
              <w:top w:val="single" w:color="auto" w:sz="4" w:space="0"/>
              <w:bottom w:val="single" w:color="auto" w:sz="4" w:space="0"/>
            </w:tcBorders>
            <w:vAlign w:val="center"/>
          </w:tcPr>
          <w:p>
            <w:pPr>
              <w:spacing w:line="240" w:lineRule="auto"/>
              <w:ind w:firstLine="0" w:firstLineChars="0"/>
              <w:jc w:val="left"/>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Ref.</w:t>
            </w:r>
            <w:r>
              <w:rPr>
                <w:rFonts w:hint="default" w:ascii="Times New Roman" w:hAnsi="Times New Roman" w:eastAsia="等线 Light" w:cs="Times New Roman"/>
                <w:sz w:val="16"/>
                <w:szCs w:val="16"/>
                <w:lang w:val="en-US" w:eastAsia="zh-CN"/>
              </w:rPr>
              <w:t xml:space="preserve"> </w:t>
            </w:r>
            <w:r>
              <w:rPr>
                <w:rFonts w:hint="default" w:ascii="Times New Roman" w:hAnsi="Times New Roman" w:eastAsia="等线 Light" w:cs="Times New Roman"/>
                <w:sz w:val="16"/>
                <w:szCs w:val="16"/>
              </w:rPr>
              <w:t>Moderate-decreasing-rebounding</w:t>
            </w:r>
          </w:p>
        </w:tc>
        <w:tc>
          <w:tcPr>
            <w:tcW w:w="0" w:type="auto"/>
            <w:gridSpan w:val="4"/>
            <w:tcBorders>
              <w:top w:val="single" w:color="auto" w:sz="4" w:space="0"/>
              <w:bottom w:val="single" w:color="auto" w:sz="4" w:space="0"/>
            </w:tcBorders>
            <w:vAlign w:val="center"/>
          </w:tcPr>
          <w:p>
            <w:pPr>
              <w:spacing w:line="240" w:lineRule="auto"/>
              <w:ind w:firstLine="0" w:firstLineChars="0"/>
              <w:jc w:val="left"/>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Ref. High-stable</w:t>
            </w:r>
          </w:p>
        </w:tc>
        <w:tc>
          <w:tcPr>
            <w:tcW w:w="0" w:type="auto"/>
            <w:gridSpan w:val="2"/>
            <w:tcBorders>
              <w:top w:val="single" w:color="auto" w:sz="4" w:space="0"/>
              <w:bottom w:val="single" w:color="auto" w:sz="4" w:space="0"/>
            </w:tcBorders>
            <w:vAlign w:val="center"/>
          </w:tcPr>
          <w:p>
            <w:pPr>
              <w:widowControl/>
              <w:spacing w:line="240" w:lineRule="auto"/>
              <w:ind w:firstLine="0" w:firstLineChars="0"/>
              <w:jc w:val="left"/>
              <w:textAlignment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Ref.</w:t>
            </w:r>
            <w:r>
              <w:rPr>
                <w:rFonts w:hint="default" w:ascii="Times New Roman" w:hAnsi="Times New Roman" w:eastAsia="等线 Light" w:cs="Times New Roman"/>
                <w:sz w:val="16"/>
                <w:szCs w:val="16"/>
                <w:lang w:val="en-US" w:eastAsia="zh-CN"/>
              </w:rPr>
              <w:t xml:space="preserve"> </w:t>
            </w:r>
            <w:r>
              <w:rPr>
                <w:rFonts w:hint="default" w:ascii="Times New Roman" w:hAnsi="Times New Roman" w:eastAsia="等线 Light" w:cs="Times New Roman"/>
                <w:sz w:val="16"/>
                <w:szCs w:val="16"/>
              </w:rPr>
              <w:t>Moderate-decreasing-rebounding</w:t>
            </w:r>
          </w:p>
        </w:tc>
      </w:tr>
      <w:tr>
        <w:tblPrEx>
          <w:tblCellMar>
            <w:top w:w="0" w:type="dxa"/>
            <w:left w:w="108" w:type="dxa"/>
            <w:bottom w:w="0" w:type="dxa"/>
            <w:right w:w="108" w:type="dxa"/>
          </w:tblCellMar>
        </w:tblPrEx>
        <w:trPr>
          <w:trHeight w:val="340" w:hRule="atLeast"/>
          <w:jc w:val="center"/>
        </w:trPr>
        <w:tc>
          <w:tcPr>
            <w:tcW w:w="0" w:type="auto"/>
            <w:vAlign w:val="center"/>
          </w:tcPr>
          <w:p>
            <w:pPr>
              <w:spacing w:line="240" w:lineRule="auto"/>
              <w:ind w:firstLine="0" w:firstLineChars="0"/>
              <w:rPr>
                <w:rFonts w:hint="default" w:ascii="Times New Roman" w:hAnsi="Times New Roman" w:eastAsia="等线 Light" w:cs="Times New Roman"/>
                <w:sz w:val="16"/>
                <w:szCs w:val="16"/>
              </w:rPr>
            </w:pPr>
          </w:p>
        </w:tc>
        <w:tc>
          <w:tcPr>
            <w:tcW w:w="0" w:type="auto"/>
            <w:gridSpan w:val="2"/>
            <w:tcBorders>
              <w:top w:val="single" w:color="auto" w:sz="4" w:space="0"/>
              <w:bottom w:val="single" w:color="auto" w:sz="4" w:space="0"/>
            </w:tcBorders>
            <w:vAlign w:val="center"/>
          </w:tcPr>
          <w:p>
            <w:pPr>
              <w:spacing w:line="240" w:lineRule="auto"/>
              <w:ind w:firstLine="0" w:firstLineChars="0"/>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Moderate-decreasing-rebounding</w:t>
            </w:r>
          </w:p>
        </w:tc>
        <w:tc>
          <w:tcPr>
            <w:tcW w:w="0" w:type="auto"/>
            <w:gridSpan w:val="2"/>
            <w:tcBorders>
              <w:top w:val="single" w:color="auto" w:sz="4" w:space="0"/>
              <w:bottom w:val="single" w:color="auto" w:sz="4" w:space="0"/>
            </w:tcBorders>
            <w:vAlign w:val="center"/>
          </w:tcPr>
          <w:p>
            <w:pPr>
              <w:spacing w:line="240" w:lineRule="auto"/>
              <w:ind w:firstLine="0" w:firstLineChars="0"/>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Low-decreasing-rebounding</w:t>
            </w:r>
          </w:p>
        </w:tc>
        <w:tc>
          <w:tcPr>
            <w:tcW w:w="0" w:type="auto"/>
            <w:gridSpan w:val="2"/>
            <w:tcBorders>
              <w:top w:val="single" w:color="auto" w:sz="4" w:space="0"/>
              <w:bottom w:val="single" w:color="auto" w:sz="4" w:space="0"/>
            </w:tcBorders>
            <w:vAlign w:val="center"/>
          </w:tcPr>
          <w:p>
            <w:pPr>
              <w:spacing w:line="240" w:lineRule="auto"/>
              <w:ind w:firstLine="0" w:firstLineChars="0"/>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Low-decreasing-rebounding</w:t>
            </w:r>
          </w:p>
        </w:tc>
        <w:tc>
          <w:tcPr>
            <w:tcW w:w="0" w:type="auto"/>
            <w:gridSpan w:val="2"/>
            <w:tcBorders>
              <w:top w:val="single" w:color="auto" w:sz="4" w:space="0"/>
              <w:bottom w:val="single" w:color="auto" w:sz="4" w:space="0"/>
            </w:tcBorders>
            <w:vAlign w:val="center"/>
          </w:tcPr>
          <w:p>
            <w:pPr>
              <w:spacing w:line="240" w:lineRule="auto"/>
              <w:ind w:firstLine="0" w:firstLineChars="0"/>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Moderate-decreasing-rebounding</w:t>
            </w:r>
          </w:p>
        </w:tc>
        <w:tc>
          <w:tcPr>
            <w:tcW w:w="0" w:type="auto"/>
            <w:gridSpan w:val="2"/>
            <w:tcBorders>
              <w:bottom w:val="single" w:color="auto" w:sz="4" w:space="0"/>
            </w:tcBorders>
            <w:vAlign w:val="center"/>
          </w:tcPr>
          <w:p>
            <w:pPr>
              <w:spacing w:line="240" w:lineRule="auto"/>
              <w:ind w:firstLine="0" w:firstLineChars="0"/>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Low-decreasing-rebounding</w:t>
            </w:r>
          </w:p>
        </w:tc>
        <w:tc>
          <w:tcPr>
            <w:tcW w:w="0" w:type="auto"/>
            <w:gridSpan w:val="2"/>
            <w:tcBorders>
              <w:top w:val="single" w:color="auto" w:sz="4" w:space="0"/>
              <w:bottom w:val="single" w:color="auto" w:sz="4" w:space="0"/>
            </w:tcBorders>
            <w:vAlign w:val="center"/>
          </w:tcPr>
          <w:p>
            <w:pPr>
              <w:spacing w:line="240" w:lineRule="auto"/>
              <w:ind w:firstLine="0" w:firstLineChars="0"/>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Low-decreasing-rebounding</w:t>
            </w:r>
          </w:p>
        </w:tc>
      </w:tr>
      <w:tr>
        <w:tblPrEx>
          <w:tblCellMar>
            <w:top w:w="0" w:type="dxa"/>
            <w:left w:w="108" w:type="dxa"/>
            <w:bottom w:w="0" w:type="dxa"/>
            <w:right w:w="108" w:type="dxa"/>
          </w:tblCellMar>
        </w:tblPrEx>
        <w:trPr>
          <w:trHeight w:val="343" w:hRule="atLeast"/>
          <w:jc w:val="center"/>
        </w:trPr>
        <w:tc>
          <w:tcPr>
            <w:tcW w:w="0" w:type="auto"/>
            <w:tcBorders>
              <w:bottom w:val="single" w:color="auto" w:sz="6" w:space="0"/>
            </w:tcBorders>
            <w:vAlign w:val="center"/>
          </w:tcPr>
          <w:p>
            <w:pPr>
              <w:spacing w:line="240" w:lineRule="auto"/>
              <w:ind w:firstLine="0" w:firstLineChars="0"/>
              <w:rPr>
                <w:rFonts w:hint="default" w:ascii="Times New Roman" w:hAnsi="Times New Roman" w:eastAsia="等线 Light" w:cs="Times New Roman"/>
                <w:sz w:val="16"/>
                <w:szCs w:val="16"/>
              </w:rPr>
            </w:pPr>
          </w:p>
        </w:tc>
        <w:tc>
          <w:tcPr>
            <w:tcW w:w="0" w:type="auto"/>
            <w:tcBorders>
              <w:top w:val="single" w:color="auto" w:sz="4" w:space="0"/>
              <w:bottom w:val="single" w:color="auto" w:sz="6" w:space="0"/>
            </w:tcBorders>
            <w:vAlign w:val="center"/>
          </w:tcPr>
          <w:p>
            <w:pPr>
              <w:spacing w:line="240" w:lineRule="auto"/>
              <w:ind w:firstLine="0" w:firstLineChars="0"/>
              <w:jc w:val="center"/>
              <w:rPr>
                <w:rFonts w:hint="default" w:ascii="Times New Roman" w:hAnsi="Times New Roman" w:eastAsia="等线 Light" w:cs="Times New Roman"/>
                <w:i w:val="0"/>
                <w:iCs w:val="0"/>
                <w:sz w:val="16"/>
                <w:szCs w:val="16"/>
              </w:rPr>
            </w:pPr>
            <w:r>
              <w:rPr>
                <w:rFonts w:hint="default" w:ascii="Times New Roman" w:hAnsi="Times New Roman" w:eastAsia="等线 Light" w:cs="Times New Roman"/>
                <w:i w:val="0"/>
                <w:iCs w:val="0"/>
                <w:sz w:val="16"/>
                <w:szCs w:val="16"/>
              </w:rPr>
              <w:t>Coeff (SE)</w:t>
            </w:r>
          </w:p>
        </w:tc>
        <w:tc>
          <w:tcPr>
            <w:tcW w:w="0" w:type="auto"/>
            <w:tcBorders>
              <w:top w:val="single" w:color="auto" w:sz="4" w:space="0"/>
              <w:bottom w:val="single" w:color="auto" w:sz="6" w:space="0"/>
            </w:tcBorders>
            <w:vAlign w:val="center"/>
          </w:tcPr>
          <w:p>
            <w:pPr>
              <w:spacing w:line="240" w:lineRule="auto"/>
              <w:ind w:firstLine="0" w:firstLineChars="0"/>
              <w:jc w:val="center"/>
              <w:rPr>
                <w:rFonts w:hint="default" w:ascii="Times New Roman" w:hAnsi="Times New Roman" w:eastAsia="等线 Light" w:cs="Times New Roman"/>
                <w:i w:val="0"/>
                <w:iCs w:val="0"/>
                <w:sz w:val="16"/>
                <w:szCs w:val="16"/>
              </w:rPr>
            </w:pPr>
            <w:r>
              <w:rPr>
                <w:rFonts w:hint="default" w:ascii="Times New Roman" w:hAnsi="Times New Roman" w:eastAsia="等线 Light" w:cs="Times New Roman"/>
                <w:i w:val="0"/>
                <w:iCs w:val="0"/>
                <w:sz w:val="16"/>
                <w:szCs w:val="16"/>
              </w:rPr>
              <w:t>OR</w:t>
            </w:r>
          </w:p>
        </w:tc>
        <w:tc>
          <w:tcPr>
            <w:tcW w:w="0" w:type="auto"/>
            <w:tcBorders>
              <w:top w:val="single" w:color="auto" w:sz="4" w:space="0"/>
              <w:bottom w:val="single" w:color="auto" w:sz="6" w:space="0"/>
            </w:tcBorders>
            <w:vAlign w:val="center"/>
          </w:tcPr>
          <w:p>
            <w:pPr>
              <w:spacing w:line="240" w:lineRule="auto"/>
              <w:ind w:firstLine="0" w:firstLineChars="0"/>
              <w:jc w:val="center"/>
              <w:rPr>
                <w:rFonts w:hint="default" w:ascii="Times New Roman" w:hAnsi="Times New Roman" w:eastAsia="等线 Light" w:cs="Times New Roman"/>
                <w:i w:val="0"/>
                <w:iCs w:val="0"/>
                <w:sz w:val="16"/>
                <w:szCs w:val="16"/>
              </w:rPr>
            </w:pPr>
            <w:r>
              <w:rPr>
                <w:rFonts w:hint="default" w:ascii="Times New Roman" w:hAnsi="Times New Roman" w:eastAsia="等线 Light" w:cs="Times New Roman"/>
                <w:i w:val="0"/>
                <w:iCs w:val="0"/>
                <w:sz w:val="16"/>
                <w:szCs w:val="16"/>
              </w:rPr>
              <w:t>Coeff (SE)</w:t>
            </w:r>
          </w:p>
        </w:tc>
        <w:tc>
          <w:tcPr>
            <w:tcW w:w="0" w:type="auto"/>
            <w:tcBorders>
              <w:top w:val="single" w:color="auto" w:sz="4" w:space="0"/>
              <w:bottom w:val="single" w:color="auto" w:sz="6" w:space="0"/>
            </w:tcBorders>
            <w:vAlign w:val="center"/>
          </w:tcPr>
          <w:p>
            <w:pPr>
              <w:spacing w:line="240" w:lineRule="auto"/>
              <w:ind w:firstLine="0" w:firstLineChars="0"/>
              <w:jc w:val="center"/>
              <w:rPr>
                <w:rFonts w:hint="default" w:ascii="Times New Roman" w:hAnsi="Times New Roman" w:eastAsia="等线 Light" w:cs="Times New Roman"/>
                <w:i w:val="0"/>
                <w:iCs w:val="0"/>
                <w:sz w:val="16"/>
                <w:szCs w:val="16"/>
              </w:rPr>
            </w:pPr>
            <w:r>
              <w:rPr>
                <w:rFonts w:hint="default" w:ascii="Times New Roman" w:hAnsi="Times New Roman" w:eastAsia="等线 Light" w:cs="Times New Roman"/>
                <w:i w:val="0"/>
                <w:iCs w:val="0"/>
                <w:sz w:val="16"/>
                <w:szCs w:val="16"/>
              </w:rPr>
              <w:t>OR</w:t>
            </w:r>
          </w:p>
        </w:tc>
        <w:tc>
          <w:tcPr>
            <w:tcW w:w="0" w:type="auto"/>
            <w:tcBorders>
              <w:top w:val="single" w:color="auto" w:sz="4" w:space="0"/>
              <w:bottom w:val="single" w:color="auto" w:sz="6" w:space="0"/>
            </w:tcBorders>
            <w:vAlign w:val="center"/>
          </w:tcPr>
          <w:p>
            <w:pPr>
              <w:spacing w:line="240" w:lineRule="auto"/>
              <w:ind w:firstLine="0" w:firstLineChars="0"/>
              <w:jc w:val="center"/>
              <w:rPr>
                <w:rFonts w:hint="default" w:ascii="Times New Roman" w:hAnsi="Times New Roman" w:eastAsia="等线 Light" w:cs="Times New Roman"/>
                <w:i w:val="0"/>
                <w:iCs w:val="0"/>
                <w:sz w:val="16"/>
                <w:szCs w:val="16"/>
              </w:rPr>
            </w:pPr>
            <w:r>
              <w:rPr>
                <w:rFonts w:hint="default" w:ascii="Times New Roman" w:hAnsi="Times New Roman" w:eastAsia="等线 Light" w:cs="Times New Roman"/>
                <w:i w:val="0"/>
                <w:iCs w:val="0"/>
                <w:sz w:val="16"/>
                <w:szCs w:val="16"/>
              </w:rPr>
              <w:t>Coeff (SE)</w:t>
            </w:r>
          </w:p>
        </w:tc>
        <w:tc>
          <w:tcPr>
            <w:tcW w:w="0" w:type="auto"/>
            <w:tcBorders>
              <w:top w:val="single" w:color="auto" w:sz="4" w:space="0"/>
              <w:bottom w:val="single" w:color="auto" w:sz="6" w:space="0"/>
            </w:tcBorders>
            <w:vAlign w:val="center"/>
          </w:tcPr>
          <w:p>
            <w:pPr>
              <w:spacing w:line="240" w:lineRule="auto"/>
              <w:ind w:firstLine="0" w:firstLineChars="0"/>
              <w:jc w:val="center"/>
              <w:rPr>
                <w:rFonts w:hint="default" w:ascii="Times New Roman" w:hAnsi="Times New Roman" w:eastAsia="等线 Light" w:cs="Times New Roman"/>
                <w:i w:val="0"/>
                <w:iCs w:val="0"/>
                <w:sz w:val="16"/>
                <w:szCs w:val="16"/>
              </w:rPr>
            </w:pPr>
            <w:r>
              <w:rPr>
                <w:rFonts w:hint="default" w:ascii="Times New Roman" w:hAnsi="Times New Roman" w:eastAsia="等线 Light" w:cs="Times New Roman"/>
                <w:i w:val="0"/>
                <w:iCs w:val="0"/>
                <w:sz w:val="16"/>
                <w:szCs w:val="16"/>
              </w:rPr>
              <w:t>OR</w:t>
            </w:r>
          </w:p>
        </w:tc>
        <w:tc>
          <w:tcPr>
            <w:tcW w:w="0" w:type="auto"/>
            <w:tcBorders>
              <w:top w:val="single" w:color="auto" w:sz="4" w:space="0"/>
              <w:bottom w:val="single" w:color="auto" w:sz="6" w:space="0"/>
            </w:tcBorders>
            <w:vAlign w:val="center"/>
          </w:tcPr>
          <w:p>
            <w:pPr>
              <w:spacing w:line="240" w:lineRule="auto"/>
              <w:ind w:firstLine="0" w:firstLineChars="0"/>
              <w:jc w:val="center"/>
              <w:rPr>
                <w:rFonts w:hint="default" w:ascii="Times New Roman" w:hAnsi="Times New Roman" w:eastAsia="等线 Light" w:cs="Times New Roman"/>
                <w:i w:val="0"/>
                <w:iCs w:val="0"/>
                <w:sz w:val="16"/>
                <w:szCs w:val="16"/>
              </w:rPr>
            </w:pPr>
            <w:r>
              <w:rPr>
                <w:rFonts w:hint="default" w:ascii="Times New Roman" w:hAnsi="Times New Roman" w:eastAsia="等线 Light" w:cs="Times New Roman"/>
                <w:i w:val="0"/>
                <w:iCs w:val="0"/>
                <w:sz w:val="16"/>
                <w:szCs w:val="16"/>
              </w:rPr>
              <w:t>Coeff (SE)</w:t>
            </w:r>
          </w:p>
        </w:tc>
        <w:tc>
          <w:tcPr>
            <w:tcW w:w="0" w:type="auto"/>
            <w:tcBorders>
              <w:top w:val="single" w:color="auto" w:sz="4" w:space="0"/>
              <w:bottom w:val="single" w:color="auto" w:sz="6" w:space="0"/>
            </w:tcBorders>
            <w:vAlign w:val="center"/>
          </w:tcPr>
          <w:p>
            <w:pPr>
              <w:spacing w:line="240" w:lineRule="auto"/>
              <w:ind w:firstLine="0" w:firstLineChars="0"/>
              <w:jc w:val="center"/>
              <w:rPr>
                <w:rFonts w:hint="default" w:ascii="Times New Roman" w:hAnsi="Times New Roman" w:eastAsia="等线 Light" w:cs="Times New Roman"/>
                <w:i w:val="0"/>
                <w:iCs w:val="0"/>
                <w:sz w:val="16"/>
                <w:szCs w:val="16"/>
              </w:rPr>
            </w:pPr>
            <w:r>
              <w:rPr>
                <w:rFonts w:hint="default" w:ascii="Times New Roman" w:hAnsi="Times New Roman" w:eastAsia="等线 Light" w:cs="Times New Roman"/>
                <w:i w:val="0"/>
                <w:iCs w:val="0"/>
                <w:sz w:val="16"/>
                <w:szCs w:val="16"/>
              </w:rPr>
              <w:t>OR</w:t>
            </w:r>
          </w:p>
        </w:tc>
        <w:tc>
          <w:tcPr>
            <w:tcW w:w="0" w:type="auto"/>
            <w:tcBorders>
              <w:top w:val="single" w:color="auto" w:sz="4" w:space="0"/>
              <w:bottom w:val="single" w:color="auto" w:sz="6" w:space="0"/>
            </w:tcBorders>
            <w:vAlign w:val="center"/>
          </w:tcPr>
          <w:p>
            <w:pPr>
              <w:spacing w:line="240" w:lineRule="auto"/>
              <w:ind w:firstLine="0" w:firstLineChars="0"/>
              <w:jc w:val="center"/>
              <w:rPr>
                <w:rFonts w:hint="default" w:ascii="Times New Roman" w:hAnsi="Times New Roman" w:eastAsia="等线 Light" w:cs="Times New Roman"/>
                <w:i w:val="0"/>
                <w:iCs w:val="0"/>
                <w:sz w:val="16"/>
                <w:szCs w:val="16"/>
              </w:rPr>
            </w:pPr>
            <w:r>
              <w:rPr>
                <w:rFonts w:hint="default" w:ascii="Times New Roman" w:hAnsi="Times New Roman" w:eastAsia="等线 Light" w:cs="Times New Roman"/>
                <w:i w:val="0"/>
                <w:iCs w:val="0"/>
                <w:sz w:val="16"/>
                <w:szCs w:val="16"/>
              </w:rPr>
              <w:t>Coeff (SE)</w:t>
            </w:r>
          </w:p>
        </w:tc>
        <w:tc>
          <w:tcPr>
            <w:tcW w:w="0" w:type="auto"/>
            <w:tcBorders>
              <w:top w:val="single" w:color="auto" w:sz="4" w:space="0"/>
              <w:bottom w:val="single" w:color="auto" w:sz="6" w:space="0"/>
            </w:tcBorders>
            <w:vAlign w:val="center"/>
          </w:tcPr>
          <w:p>
            <w:pPr>
              <w:spacing w:line="240" w:lineRule="auto"/>
              <w:ind w:firstLine="0" w:firstLineChars="0"/>
              <w:jc w:val="center"/>
              <w:rPr>
                <w:rFonts w:hint="default" w:ascii="Times New Roman" w:hAnsi="Times New Roman" w:eastAsia="等线 Light" w:cs="Times New Roman"/>
                <w:i w:val="0"/>
                <w:iCs w:val="0"/>
                <w:sz w:val="16"/>
                <w:szCs w:val="16"/>
              </w:rPr>
            </w:pPr>
            <w:r>
              <w:rPr>
                <w:rFonts w:hint="default" w:ascii="Times New Roman" w:hAnsi="Times New Roman" w:eastAsia="等线 Light" w:cs="Times New Roman"/>
                <w:i w:val="0"/>
                <w:iCs w:val="0"/>
                <w:sz w:val="16"/>
                <w:szCs w:val="16"/>
              </w:rPr>
              <w:t>OR</w:t>
            </w:r>
          </w:p>
        </w:tc>
        <w:tc>
          <w:tcPr>
            <w:tcW w:w="0" w:type="auto"/>
            <w:tcBorders>
              <w:top w:val="single" w:color="auto" w:sz="4" w:space="0"/>
              <w:bottom w:val="single" w:color="auto" w:sz="6" w:space="0"/>
            </w:tcBorders>
            <w:vAlign w:val="center"/>
          </w:tcPr>
          <w:p>
            <w:pPr>
              <w:spacing w:line="240" w:lineRule="auto"/>
              <w:ind w:firstLine="0" w:firstLineChars="0"/>
              <w:jc w:val="center"/>
              <w:rPr>
                <w:rFonts w:hint="default" w:ascii="Times New Roman" w:hAnsi="Times New Roman" w:eastAsia="等线 Light" w:cs="Times New Roman"/>
                <w:i w:val="0"/>
                <w:iCs w:val="0"/>
                <w:sz w:val="16"/>
                <w:szCs w:val="16"/>
              </w:rPr>
            </w:pPr>
            <w:r>
              <w:rPr>
                <w:rFonts w:hint="default" w:ascii="Times New Roman" w:hAnsi="Times New Roman" w:eastAsia="等线 Light" w:cs="Times New Roman"/>
                <w:i w:val="0"/>
                <w:iCs w:val="0"/>
                <w:sz w:val="16"/>
                <w:szCs w:val="16"/>
              </w:rPr>
              <w:t>Coeff (SE)</w:t>
            </w:r>
          </w:p>
        </w:tc>
        <w:tc>
          <w:tcPr>
            <w:tcW w:w="0" w:type="auto"/>
            <w:tcBorders>
              <w:top w:val="single" w:color="auto" w:sz="4" w:space="0"/>
              <w:bottom w:val="single" w:color="auto" w:sz="6" w:space="0"/>
            </w:tcBorders>
            <w:vAlign w:val="center"/>
          </w:tcPr>
          <w:p>
            <w:pPr>
              <w:spacing w:line="240" w:lineRule="auto"/>
              <w:ind w:firstLine="0" w:firstLineChars="0"/>
              <w:jc w:val="center"/>
              <w:rPr>
                <w:rFonts w:hint="default" w:ascii="Times New Roman" w:hAnsi="Times New Roman" w:eastAsia="等线 Light" w:cs="Times New Roman"/>
                <w:i w:val="0"/>
                <w:iCs w:val="0"/>
                <w:sz w:val="16"/>
                <w:szCs w:val="16"/>
              </w:rPr>
            </w:pPr>
            <w:r>
              <w:rPr>
                <w:rFonts w:hint="default" w:ascii="Times New Roman" w:hAnsi="Times New Roman" w:eastAsia="等线 Light" w:cs="Times New Roman"/>
                <w:i w:val="0"/>
                <w:iCs w:val="0"/>
                <w:sz w:val="16"/>
                <w:szCs w:val="16"/>
              </w:rPr>
              <w:t>OR</w:t>
            </w:r>
          </w:p>
        </w:tc>
      </w:tr>
      <w:tr>
        <w:tblPrEx>
          <w:tblCellMar>
            <w:top w:w="0" w:type="dxa"/>
            <w:left w:w="108" w:type="dxa"/>
            <w:bottom w:w="0" w:type="dxa"/>
            <w:right w:w="108" w:type="dxa"/>
          </w:tblCellMar>
        </w:tblPrEx>
        <w:trPr>
          <w:trHeight w:val="340" w:hRule="atLeast"/>
          <w:jc w:val="center"/>
        </w:trPr>
        <w:tc>
          <w:tcPr>
            <w:tcW w:w="0" w:type="auto"/>
            <w:tcBorders>
              <w:top w:val="single" w:color="auto" w:sz="6" w:space="0"/>
            </w:tcBorders>
            <w:vAlign w:val="center"/>
          </w:tcPr>
          <w:p>
            <w:pPr>
              <w:spacing w:line="240" w:lineRule="auto"/>
              <w:ind w:firstLine="0" w:firstLineChars="0"/>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Gender</w:t>
            </w:r>
            <w:r>
              <w:rPr>
                <w:rFonts w:hint="default" w:ascii="Times New Roman" w:hAnsi="Times New Roman" w:eastAsia="等线 Light" w:cs="Times New Roman"/>
                <w:sz w:val="16"/>
                <w:szCs w:val="16"/>
                <w:lang w:val="en-US" w:eastAsia="zh-CN"/>
              </w:rPr>
              <w:t xml:space="preserve"> </w:t>
            </w:r>
            <w:r>
              <w:rPr>
                <w:rFonts w:hint="default" w:ascii="Times New Roman" w:hAnsi="Times New Roman" w:eastAsia="等线 Light" w:cs="Times New Roman"/>
                <w:sz w:val="16"/>
                <w:szCs w:val="16"/>
              </w:rPr>
              <w:t>(</w:t>
            </w:r>
            <w:r>
              <w:rPr>
                <w:rFonts w:hint="default" w:ascii="Times New Roman" w:hAnsi="Times New Roman" w:eastAsia="等线 Light" w:cs="Times New Roman"/>
                <w:sz w:val="16"/>
                <w:szCs w:val="16"/>
                <w:lang w:val="en-US" w:eastAsia="zh-CN"/>
              </w:rPr>
              <w:t>R</w:t>
            </w:r>
            <w:r>
              <w:rPr>
                <w:rFonts w:hint="default" w:ascii="Times New Roman" w:hAnsi="Times New Roman" w:eastAsia="等线 Light" w:cs="Times New Roman"/>
                <w:sz w:val="16"/>
                <w:szCs w:val="16"/>
              </w:rPr>
              <w:t>ef. girls)</w:t>
            </w:r>
          </w:p>
        </w:tc>
        <w:tc>
          <w:tcPr>
            <w:tcW w:w="0" w:type="auto"/>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-0.49(0.13)</w:t>
            </w:r>
            <w:r>
              <w:rPr>
                <w:rFonts w:hint="default" w:ascii="Times New Roman" w:hAnsi="Times New Roman" w:eastAsia="等线 Light" w:cs="Times New Roman"/>
                <w:sz w:val="16"/>
                <w:szCs w:val="16"/>
                <w:vertAlign w:val="superscript"/>
              </w:rPr>
              <w:t>***</w:t>
            </w:r>
          </w:p>
        </w:tc>
        <w:tc>
          <w:tcPr>
            <w:tcW w:w="0" w:type="auto"/>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0.61</w:t>
            </w:r>
          </w:p>
        </w:tc>
        <w:tc>
          <w:tcPr>
            <w:tcW w:w="0" w:type="auto"/>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lang w:val="en-US" w:eastAsia="zh-CN"/>
              </w:rPr>
              <w:t>-</w:t>
            </w:r>
            <w:r>
              <w:rPr>
                <w:rFonts w:hint="default" w:ascii="Times New Roman" w:hAnsi="Times New Roman" w:eastAsia="等线 Light" w:cs="Times New Roman"/>
                <w:sz w:val="16"/>
                <w:szCs w:val="16"/>
              </w:rPr>
              <w:t>0.48(0.21)</w:t>
            </w:r>
            <w:r>
              <w:rPr>
                <w:rFonts w:hint="default" w:ascii="Times New Roman" w:hAnsi="Times New Roman" w:eastAsia="等线 Light" w:cs="Times New Roman"/>
                <w:sz w:val="16"/>
                <w:szCs w:val="16"/>
                <w:vertAlign w:val="superscript"/>
              </w:rPr>
              <w:t>*</w:t>
            </w:r>
          </w:p>
        </w:tc>
        <w:tc>
          <w:tcPr>
            <w:tcW w:w="0" w:type="auto"/>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0.62</w:t>
            </w:r>
          </w:p>
        </w:tc>
        <w:tc>
          <w:tcPr>
            <w:tcW w:w="0" w:type="auto"/>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0.01(0.22)</w:t>
            </w:r>
          </w:p>
        </w:tc>
        <w:tc>
          <w:tcPr>
            <w:tcW w:w="0" w:type="auto"/>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1.0</w:t>
            </w:r>
          </w:p>
        </w:tc>
        <w:tc>
          <w:tcPr>
            <w:tcW w:w="0" w:type="auto"/>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lang w:val="en-US" w:eastAsia="zh-CN"/>
              </w:rPr>
              <w:t>-</w:t>
            </w:r>
            <w:r>
              <w:rPr>
                <w:rFonts w:hint="default" w:ascii="Times New Roman" w:hAnsi="Times New Roman" w:eastAsia="等线 Light" w:cs="Times New Roman"/>
                <w:sz w:val="16"/>
                <w:szCs w:val="16"/>
              </w:rPr>
              <w:t>0.38(0.17)</w:t>
            </w:r>
            <w:r>
              <w:rPr>
                <w:rFonts w:hint="default" w:ascii="Times New Roman" w:hAnsi="Times New Roman" w:eastAsia="等线 Light" w:cs="Times New Roman"/>
                <w:sz w:val="16"/>
                <w:szCs w:val="16"/>
                <w:vertAlign w:val="superscript"/>
              </w:rPr>
              <w:t>*</w:t>
            </w:r>
          </w:p>
        </w:tc>
        <w:tc>
          <w:tcPr>
            <w:tcW w:w="0" w:type="auto"/>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0.69</w:t>
            </w:r>
          </w:p>
        </w:tc>
        <w:tc>
          <w:tcPr>
            <w:tcW w:w="0" w:type="auto"/>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-0.01(0.26)</w:t>
            </w:r>
          </w:p>
        </w:tc>
        <w:tc>
          <w:tcPr>
            <w:tcW w:w="0" w:type="auto"/>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0.99</w:t>
            </w:r>
          </w:p>
        </w:tc>
        <w:tc>
          <w:tcPr>
            <w:tcW w:w="0" w:type="auto"/>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0.37(0.26)</w:t>
            </w:r>
          </w:p>
        </w:tc>
        <w:tc>
          <w:tcPr>
            <w:tcW w:w="0" w:type="auto"/>
            <w:tcBorders>
              <w:top w:val="single" w:color="auto" w:sz="6"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1.44</w:t>
            </w:r>
          </w:p>
        </w:tc>
      </w:tr>
      <w:tr>
        <w:tblPrEx>
          <w:tblCellMar>
            <w:top w:w="0" w:type="dxa"/>
            <w:left w:w="108" w:type="dxa"/>
            <w:bottom w:w="0" w:type="dxa"/>
            <w:right w:w="108" w:type="dxa"/>
          </w:tblCellMar>
        </w:tblPrEx>
        <w:trPr>
          <w:trHeight w:val="340" w:hRule="atLeast"/>
          <w:jc w:val="center"/>
        </w:trPr>
        <w:tc>
          <w:tcPr>
            <w:tcW w:w="0" w:type="auto"/>
            <w:vAlign w:val="center"/>
          </w:tcPr>
          <w:p>
            <w:pPr>
              <w:spacing w:line="240" w:lineRule="auto"/>
              <w:ind w:firstLine="0" w:firstLineChars="0"/>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Age</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0.09(0.07)</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1.1</w:t>
            </w:r>
          </w:p>
        </w:tc>
        <w:tc>
          <w:tcPr>
            <w:tcW w:w="0" w:type="auto"/>
            <w:noWrap/>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0.03(0.11)</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1.03</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-0.06(1.22)</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0.94</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-0.04(0.05)</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0.96</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-0.1(0.14)</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0.91</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-0.06(0.14)</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0.95</w:t>
            </w:r>
          </w:p>
        </w:tc>
      </w:tr>
      <w:tr>
        <w:tblPrEx>
          <w:tblCellMar>
            <w:top w:w="0" w:type="dxa"/>
            <w:left w:w="108" w:type="dxa"/>
            <w:bottom w:w="0" w:type="dxa"/>
            <w:right w:w="108" w:type="dxa"/>
          </w:tblCellMar>
        </w:tblPrEx>
        <w:trPr>
          <w:trHeight w:val="340" w:hRule="atLeast"/>
          <w:jc w:val="center"/>
        </w:trPr>
        <w:tc>
          <w:tcPr>
            <w:tcW w:w="0" w:type="auto"/>
            <w:vAlign w:val="center"/>
          </w:tcPr>
          <w:p>
            <w:pPr>
              <w:spacing w:line="240" w:lineRule="auto"/>
              <w:ind w:firstLine="0" w:firstLineChars="0"/>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SSS</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0.8(0.06)</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1.08</w:t>
            </w:r>
          </w:p>
        </w:tc>
        <w:tc>
          <w:tcPr>
            <w:tcW w:w="0" w:type="auto"/>
            <w:noWrap/>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0.18(0.11)</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1.19</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0.1(0.11)</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1.11</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0.06(0.11)</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1.06</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0.75(0.14)</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1.08</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0.1(0.13)</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1.01</w:t>
            </w:r>
          </w:p>
        </w:tc>
      </w:tr>
      <w:tr>
        <w:tblPrEx>
          <w:tblCellMar>
            <w:top w:w="0" w:type="dxa"/>
            <w:left w:w="108" w:type="dxa"/>
            <w:bottom w:w="0" w:type="dxa"/>
            <w:right w:w="108" w:type="dxa"/>
          </w:tblCellMar>
        </w:tblPrEx>
        <w:trPr>
          <w:trHeight w:val="340" w:hRule="atLeast"/>
          <w:jc w:val="center"/>
        </w:trPr>
        <w:tc>
          <w:tcPr>
            <w:tcW w:w="0" w:type="auto"/>
            <w:vAlign w:val="center"/>
          </w:tcPr>
          <w:p>
            <w:pPr>
              <w:spacing w:line="240" w:lineRule="auto"/>
              <w:ind w:firstLine="0" w:firstLineChars="0"/>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PR</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0.46(0.08)</w:t>
            </w:r>
            <w:r>
              <w:rPr>
                <w:rFonts w:hint="default" w:ascii="Times New Roman" w:hAnsi="Times New Roman" w:eastAsia="等线 Light" w:cs="Times New Roman"/>
                <w:sz w:val="16"/>
                <w:szCs w:val="16"/>
                <w:vertAlign w:val="superscript"/>
              </w:rPr>
              <w:t>***</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1.59</w:t>
            </w:r>
          </w:p>
        </w:tc>
        <w:tc>
          <w:tcPr>
            <w:tcW w:w="0" w:type="auto"/>
            <w:noWrap/>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0.56(0.18)</w:t>
            </w:r>
            <w:r>
              <w:rPr>
                <w:rFonts w:hint="default" w:ascii="Times New Roman" w:hAnsi="Times New Roman" w:eastAsia="等线 Light" w:cs="Times New Roman"/>
                <w:sz w:val="16"/>
                <w:szCs w:val="16"/>
                <w:vertAlign w:val="superscript"/>
              </w:rPr>
              <w:t>**</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1.75</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0.1(0.19)</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1.11</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0.42(0.09)</w:t>
            </w:r>
            <w:r>
              <w:rPr>
                <w:rFonts w:hint="default" w:ascii="Times New Roman" w:hAnsi="Times New Roman" w:eastAsia="等线 Light" w:cs="Times New Roman"/>
                <w:sz w:val="16"/>
                <w:szCs w:val="16"/>
                <w:vertAlign w:val="superscript"/>
              </w:rPr>
              <w:t>***</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1.51</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0.94(0.23)</w:t>
            </w:r>
            <w:r>
              <w:rPr>
                <w:rFonts w:hint="default" w:ascii="Times New Roman" w:hAnsi="Times New Roman" w:eastAsia="等线 Light" w:cs="Times New Roman"/>
                <w:sz w:val="16"/>
                <w:szCs w:val="16"/>
                <w:vertAlign w:val="superscript"/>
              </w:rPr>
              <w:t>***</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2.55</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0.52(0.23)</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1.68</w:t>
            </w:r>
          </w:p>
        </w:tc>
      </w:tr>
      <w:tr>
        <w:trPr>
          <w:trHeight w:val="340" w:hRule="atLeast"/>
          <w:jc w:val="center"/>
        </w:trPr>
        <w:tc>
          <w:tcPr>
            <w:tcW w:w="0" w:type="auto"/>
            <w:vAlign w:val="center"/>
          </w:tcPr>
          <w:p>
            <w:pPr>
              <w:spacing w:line="240" w:lineRule="auto"/>
              <w:ind w:firstLine="0" w:firstLineChars="0"/>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SS</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0.54(0.08)</w:t>
            </w:r>
            <w:r>
              <w:rPr>
                <w:rFonts w:hint="default" w:ascii="Times New Roman" w:hAnsi="Times New Roman" w:eastAsia="等线 Light" w:cs="Times New Roman"/>
                <w:sz w:val="16"/>
                <w:szCs w:val="16"/>
                <w:vertAlign w:val="superscript"/>
              </w:rPr>
              <w:t>***</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1.72</w:t>
            </w:r>
          </w:p>
        </w:tc>
        <w:tc>
          <w:tcPr>
            <w:tcW w:w="0" w:type="auto"/>
            <w:noWrap/>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0.93(0.18)</w:t>
            </w:r>
            <w:r>
              <w:rPr>
                <w:rFonts w:hint="default" w:ascii="Times New Roman" w:hAnsi="Times New Roman" w:eastAsia="等线 Light" w:cs="Times New Roman"/>
                <w:sz w:val="16"/>
                <w:szCs w:val="16"/>
                <w:vertAlign w:val="superscript"/>
              </w:rPr>
              <w:t>***</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2.52</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0.38(0.17)</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1.14</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0.38(0.1)</w:t>
            </w:r>
            <w:r>
              <w:rPr>
                <w:rFonts w:hint="default" w:ascii="Times New Roman" w:hAnsi="Times New Roman" w:eastAsia="等线 Light" w:cs="Times New Roman"/>
                <w:sz w:val="16"/>
                <w:szCs w:val="16"/>
                <w:vertAlign w:val="superscript"/>
              </w:rPr>
              <w:t>***</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1.46</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1.2(0.24)</w:t>
            </w:r>
            <w:r>
              <w:rPr>
                <w:rFonts w:hint="default" w:ascii="Times New Roman" w:hAnsi="Times New Roman" w:eastAsia="等线 Light" w:cs="Times New Roman"/>
                <w:sz w:val="16"/>
                <w:szCs w:val="16"/>
                <w:vertAlign w:val="superscript"/>
              </w:rPr>
              <w:t>***</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3.32</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0.82(0.24)</w:t>
            </w:r>
          </w:p>
        </w:tc>
        <w:tc>
          <w:tcPr>
            <w:tcW w:w="0" w:type="auto"/>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2.27</w:t>
            </w:r>
          </w:p>
        </w:tc>
      </w:tr>
      <w:tr>
        <w:tblPrEx>
          <w:tblCellMar>
            <w:top w:w="0" w:type="dxa"/>
            <w:left w:w="108" w:type="dxa"/>
            <w:bottom w:w="0" w:type="dxa"/>
            <w:right w:w="108" w:type="dxa"/>
          </w:tblCellMar>
        </w:tblPrEx>
        <w:trPr>
          <w:trHeight w:val="340" w:hRule="atLeast"/>
          <w:jc w:val="center"/>
        </w:trPr>
        <w:tc>
          <w:tcPr>
            <w:tcW w:w="0" w:type="auto"/>
            <w:tcBorders>
              <w:bottom w:val="single" w:color="auto" w:sz="12" w:space="0"/>
            </w:tcBorders>
            <w:vAlign w:val="center"/>
          </w:tcPr>
          <w:p>
            <w:pPr>
              <w:spacing w:line="240" w:lineRule="auto"/>
              <w:ind w:firstLine="0" w:firstLineChars="0"/>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PR</w:t>
            </w:r>
            <w:r>
              <w:rPr>
                <w:rFonts w:hint="default" w:ascii="Times New Roman" w:hAnsi="Times New Roman" w:eastAsia="等线 Light" w:cs="Times New Roman"/>
                <w:sz w:val="16"/>
                <w:szCs w:val="16"/>
                <w:vertAlign w:val="superscript"/>
              </w:rPr>
              <w:t>*</w:t>
            </w:r>
            <w:r>
              <w:rPr>
                <w:rFonts w:hint="default" w:ascii="Times New Roman" w:hAnsi="Times New Roman" w:eastAsia="等线 Light" w:cs="Times New Roman"/>
                <w:sz w:val="16"/>
                <w:szCs w:val="16"/>
              </w:rPr>
              <w:t>SS</w:t>
            </w:r>
          </w:p>
        </w:tc>
        <w:tc>
          <w:tcPr>
            <w:tcW w:w="0" w:type="auto"/>
            <w:tcBorders>
              <w:bottom w:val="single" w:color="auto" w:sz="12"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0.06(0.07)</w:t>
            </w:r>
          </w:p>
        </w:tc>
        <w:tc>
          <w:tcPr>
            <w:tcW w:w="0" w:type="auto"/>
            <w:tcBorders>
              <w:bottom w:val="single" w:color="auto" w:sz="12"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1.06</w:t>
            </w:r>
          </w:p>
        </w:tc>
        <w:tc>
          <w:tcPr>
            <w:tcW w:w="0" w:type="auto"/>
            <w:tcBorders>
              <w:bottom w:val="single" w:color="auto" w:sz="12" w:space="0"/>
            </w:tcBorders>
            <w:noWrap/>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0.39(0.18)</w:t>
            </w:r>
            <w:r>
              <w:rPr>
                <w:rFonts w:hint="default" w:ascii="Times New Roman" w:hAnsi="Times New Roman" w:eastAsia="等线 Light" w:cs="Times New Roman"/>
                <w:sz w:val="16"/>
                <w:szCs w:val="16"/>
                <w:vertAlign w:val="superscript"/>
              </w:rPr>
              <w:t>*</w:t>
            </w:r>
          </w:p>
        </w:tc>
        <w:tc>
          <w:tcPr>
            <w:tcW w:w="0" w:type="auto"/>
            <w:tcBorders>
              <w:bottom w:val="single" w:color="auto" w:sz="12"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1.47</w:t>
            </w:r>
          </w:p>
        </w:tc>
        <w:tc>
          <w:tcPr>
            <w:tcW w:w="0" w:type="auto"/>
            <w:tcBorders>
              <w:bottom w:val="single" w:color="auto" w:sz="12"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0.33(0.17)†</w:t>
            </w:r>
          </w:p>
        </w:tc>
        <w:tc>
          <w:tcPr>
            <w:tcW w:w="0" w:type="auto"/>
            <w:tcBorders>
              <w:bottom w:val="single" w:color="auto" w:sz="12"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1.4</w:t>
            </w:r>
          </w:p>
        </w:tc>
        <w:tc>
          <w:tcPr>
            <w:tcW w:w="0" w:type="auto"/>
            <w:tcBorders>
              <w:bottom w:val="single" w:color="auto" w:sz="12"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0.01(0.08)</w:t>
            </w:r>
          </w:p>
        </w:tc>
        <w:tc>
          <w:tcPr>
            <w:tcW w:w="0" w:type="auto"/>
            <w:tcBorders>
              <w:bottom w:val="single" w:color="auto" w:sz="12"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1.01</w:t>
            </w:r>
          </w:p>
        </w:tc>
        <w:tc>
          <w:tcPr>
            <w:tcW w:w="0" w:type="auto"/>
            <w:tcBorders>
              <w:bottom w:val="single" w:color="auto" w:sz="12"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-0.21(0.2)</w:t>
            </w:r>
          </w:p>
        </w:tc>
        <w:tc>
          <w:tcPr>
            <w:tcW w:w="0" w:type="auto"/>
            <w:tcBorders>
              <w:bottom w:val="single" w:color="auto" w:sz="12"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0.81</w:t>
            </w:r>
          </w:p>
        </w:tc>
        <w:tc>
          <w:tcPr>
            <w:tcW w:w="0" w:type="auto"/>
            <w:tcBorders>
              <w:bottom w:val="single" w:color="auto" w:sz="12"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-0.21(0.2)</w:t>
            </w:r>
          </w:p>
        </w:tc>
        <w:tc>
          <w:tcPr>
            <w:tcW w:w="0" w:type="auto"/>
            <w:tcBorders>
              <w:bottom w:val="single" w:color="auto" w:sz="12" w:space="0"/>
            </w:tcBorders>
            <w:vAlign w:val="center"/>
          </w:tcPr>
          <w:p>
            <w:pPr>
              <w:spacing w:line="240" w:lineRule="auto"/>
              <w:ind w:firstLine="0" w:firstLineChars="0"/>
              <w:jc w:val="center"/>
              <w:rPr>
                <w:rFonts w:hint="default" w:ascii="Times New Roman" w:hAnsi="Times New Roman" w:eastAsia="等线 Light" w:cs="Times New Roman"/>
                <w:sz w:val="16"/>
                <w:szCs w:val="16"/>
              </w:rPr>
            </w:pPr>
            <w:r>
              <w:rPr>
                <w:rFonts w:hint="default" w:ascii="Times New Roman" w:hAnsi="Times New Roman" w:eastAsia="等线 Light" w:cs="Times New Roman"/>
                <w:sz w:val="16"/>
                <w:szCs w:val="16"/>
              </w:rPr>
              <w:t>0.81</w:t>
            </w:r>
          </w:p>
        </w:tc>
      </w:tr>
    </w:tbl>
    <w:p>
      <w:pPr>
        <w:keepNext w:val="0"/>
        <w:keepLines w:val="0"/>
        <w:pageBreakBefore w:val="0"/>
        <w:widowControl w:val="0"/>
        <w:kinsoku/>
        <w:wordWrap/>
        <w:overflowPunct/>
        <w:topLinePunct w:val="0"/>
        <w:autoSpaceDE/>
        <w:autoSpaceDN/>
        <w:bidi w:val="0"/>
        <w:adjustRightInd/>
        <w:snapToGrid/>
        <w:spacing w:line="240" w:lineRule="exact"/>
        <w:ind w:left="0" w:hanging="800" w:hangingChars="400"/>
        <w:jc w:val="both"/>
        <w:textAlignment w:val="auto"/>
        <w:rPr>
          <w:rFonts w:ascii="Times New Roman" w:hAnsi="Times New Roman" w:eastAsia="宋体" w:cs="Times New Roman"/>
          <w:sz w:val="20"/>
          <w:szCs w:val="20"/>
          <w:shd w:val="clear" w:color="auto" w:fill="FFFFFF"/>
        </w:rPr>
      </w:pPr>
      <w:r>
        <w:rPr>
          <w:rFonts w:hint="eastAsia" w:ascii="Times New Roman" w:hAnsi="Times New Roman" w:eastAsia="宋体" w:cs="Times New Roman"/>
          <w:sz w:val="20"/>
          <w:szCs w:val="20"/>
          <w:shd w:val="clear" w:color="auto" w:fill="FFFFFF"/>
        </w:rPr>
        <w:t xml:space="preserve">Note. </w:t>
      </w:r>
      <w:r>
        <w:rPr>
          <w:rFonts w:ascii="Times New Roman" w:hAnsi="Times New Roman" w:eastAsia="宋体" w:cs="Times New Roman"/>
          <w:sz w:val="20"/>
          <w:szCs w:val="20"/>
          <w:shd w:val="clear" w:color="auto" w:fill="FFFFFF"/>
        </w:rPr>
        <w:t>OR</w:t>
      </w:r>
      <w:r>
        <w:rPr>
          <w:rFonts w:hint="eastAsia" w:ascii="Times New Roman" w:hAnsi="Times New Roman" w:eastAsia="宋体" w:cs="Times New Roman"/>
          <w:sz w:val="20"/>
          <w:szCs w:val="20"/>
          <w:shd w:val="clear" w:color="auto" w:fill="FFFFFF"/>
        </w:rPr>
        <w:t>:</w:t>
      </w:r>
      <w:r>
        <w:rPr>
          <w:rFonts w:ascii="Times New Roman" w:hAnsi="Times New Roman" w:eastAsia="宋体" w:cs="Times New Roman"/>
          <w:sz w:val="20"/>
          <w:szCs w:val="20"/>
          <w:shd w:val="clear" w:color="auto" w:fill="FFFFFF"/>
        </w:rPr>
        <w:t xml:space="preserve"> odds ratio,</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PR</w:t>
      </w:r>
      <w:r>
        <w:rPr>
          <w:rFonts w:hint="eastAsia" w:ascii="Times New Roman" w:hAnsi="Times New Roman" w:eastAsia="宋体" w:cs="Times New Roman"/>
          <w:sz w:val="20"/>
          <w:szCs w:val="20"/>
          <w:shd w:val="clear" w:color="auto" w:fill="FFFFFF"/>
        </w:rPr>
        <w:t>:</w:t>
      </w:r>
      <w:r>
        <w:rPr>
          <w:rFonts w:ascii="Times New Roman" w:hAnsi="Times New Roman" w:eastAsia="宋体" w:cs="Times New Roman"/>
          <w:sz w:val="20"/>
          <w:szCs w:val="20"/>
          <w:shd w:val="clear" w:color="auto" w:fill="FFFFFF"/>
        </w:rPr>
        <w:t xml:space="preserve"> Psychological resilience</w:t>
      </w:r>
      <w:r>
        <w:rPr>
          <w:rFonts w:hint="eastAsia" w:ascii="Times New Roman" w:hAnsi="Times New Roman" w:eastAsia="宋体" w:cs="Times New Roman"/>
          <w:sz w:val="20"/>
          <w:szCs w:val="20"/>
          <w:shd w:val="clear" w:color="auto" w:fill="FFFFFF"/>
        </w:rPr>
        <w:t>, SS:</w:t>
      </w:r>
      <w:r>
        <w:rPr>
          <w:rFonts w:ascii="Times New Roman" w:hAnsi="Times New Roman" w:eastAsia="宋体" w:cs="Times New Roman"/>
          <w:sz w:val="20"/>
          <w:szCs w:val="20"/>
          <w:shd w:val="clear" w:color="auto" w:fill="FFFFFF"/>
        </w:rPr>
        <w:t xml:space="preserve"> Social Support,</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SSS</w:t>
      </w:r>
      <w:r>
        <w:rPr>
          <w:rFonts w:hint="eastAsia" w:ascii="Times New Roman" w:hAnsi="Times New Roman" w:eastAsia="宋体" w:cs="Times New Roman"/>
          <w:sz w:val="20"/>
          <w:szCs w:val="20"/>
          <w:shd w:val="clear" w:color="auto" w:fill="FFFFFF"/>
        </w:rPr>
        <w:t>:</w:t>
      </w:r>
      <w:r>
        <w:rPr>
          <w:rFonts w:ascii="Times New Roman" w:hAnsi="Times New Roman" w:eastAsia="宋体" w:cs="Times New Roman"/>
          <w:sz w:val="20"/>
          <w:szCs w:val="20"/>
          <w:shd w:val="clear" w:color="auto" w:fill="FFFFFF"/>
        </w:rPr>
        <w:t xml:space="preserve"> subjective</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socioeconomic</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status</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FGCS</w:t>
      </w:r>
      <w:r>
        <w:rPr>
          <w:rFonts w:hint="eastAsia" w:ascii="Times New Roman" w:hAnsi="Times New Roman" w:eastAsia="宋体" w:cs="Times New Roman"/>
          <w:sz w:val="20"/>
          <w:szCs w:val="20"/>
          <w:shd w:val="clear" w:color="auto" w:fill="FFFFFF"/>
        </w:rPr>
        <w:t>:</w:t>
      </w:r>
      <w:r>
        <w:rPr>
          <w:rFonts w:ascii="Times New Roman" w:hAnsi="Times New Roman" w:eastAsia="宋体" w:cs="Times New Roman"/>
          <w:sz w:val="20"/>
          <w:szCs w:val="20"/>
          <w:shd w:val="clear" w:color="auto" w:fill="FFFFFF"/>
        </w:rPr>
        <w:t xml:space="preserve"> first-generation college student, CGCS</w:t>
      </w:r>
      <w:r>
        <w:rPr>
          <w:rFonts w:hint="eastAsia" w:ascii="Times New Roman" w:hAnsi="Times New Roman" w:eastAsia="宋体" w:cs="Times New Roman"/>
          <w:sz w:val="20"/>
          <w:szCs w:val="20"/>
          <w:shd w:val="clear" w:color="auto" w:fill="FFFFFF"/>
        </w:rPr>
        <w:t>:</w:t>
      </w:r>
      <w:r>
        <w:rPr>
          <w:rFonts w:ascii="Times New Roman" w:hAnsi="Times New Roman" w:eastAsia="宋体" w:cs="Times New Roman"/>
          <w:sz w:val="20"/>
          <w:szCs w:val="20"/>
          <w:shd w:val="clear" w:color="auto" w:fill="FFFFFF"/>
        </w:rPr>
        <w:t xml:space="preserve"> </w:t>
      </w:r>
    </w:p>
    <w:p>
      <w:pPr>
        <w:keepNext w:val="0"/>
        <w:keepLines w:val="0"/>
        <w:pageBreakBefore w:val="0"/>
        <w:widowControl w:val="0"/>
        <w:kinsoku/>
        <w:wordWrap/>
        <w:overflowPunct/>
        <w:topLinePunct w:val="0"/>
        <w:autoSpaceDE/>
        <w:autoSpaceDN/>
        <w:bidi w:val="0"/>
        <w:adjustRightInd/>
        <w:snapToGrid/>
        <w:spacing w:line="240" w:lineRule="exact"/>
        <w:ind w:left="0" w:hanging="800" w:hangingChars="400"/>
        <w:jc w:val="both"/>
        <w:textAlignment w:val="auto"/>
        <w:rPr>
          <w:rFonts w:hint="default" w:ascii="Times New Roman" w:hAnsi="Times New Roman" w:cs="Times New Roman"/>
          <w:b w:val="0"/>
          <w:bCs/>
          <w:sz w:val="20"/>
          <w:szCs w:val="20"/>
        </w:rPr>
      </w:pPr>
      <w:r>
        <w:rPr>
          <w:rFonts w:ascii="Times New Roman" w:hAnsi="Times New Roman" w:eastAsia="宋体" w:cs="Times New Roman"/>
          <w:sz w:val="20"/>
          <w:szCs w:val="20"/>
          <w:shd w:val="clear" w:color="auto" w:fill="FFFFFF"/>
        </w:rPr>
        <w:t>Continuing-generation college student</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w:t>
      </w:r>
      <w:r>
        <w:rPr>
          <w:rFonts w:ascii="Times New Roman" w:hAnsi="Times New Roman" w:eastAsia="宋体" w:cs="Times New Roman"/>
          <w:i/>
          <w:iCs/>
          <w:sz w:val="20"/>
          <w:szCs w:val="20"/>
          <w:shd w:val="clear" w:color="auto" w:fill="FFFFFF"/>
        </w:rPr>
        <w:t>p</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&lt;</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0.10;</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w:t>
      </w:r>
      <w:r>
        <w:rPr>
          <w:rFonts w:ascii="Times New Roman" w:hAnsi="Times New Roman" w:eastAsia="宋体" w:cs="Times New Roman"/>
          <w:i/>
          <w:iCs/>
          <w:sz w:val="20"/>
          <w:szCs w:val="20"/>
          <w:shd w:val="clear" w:color="auto" w:fill="FFFFFF"/>
        </w:rPr>
        <w:t>p</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&lt;</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0.05;</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w:t>
      </w:r>
      <w:r>
        <w:rPr>
          <w:rFonts w:ascii="Times New Roman" w:hAnsi="Times New Roman" w:eastAsia="宋体" w:cs="Times New Roman"/>
          <w:i/>
          <w:iCs/>
          <w:sz w:val="20"/>
          <w:szCs w:val="20"/>
          <w:shd w:val="clear" w:color="auto" w:fill="FFFFFF"/>
        </w:rPr>
        <w:t>p</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&lt;</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0.01;</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w:t>
      </w:r>
      <w:r>
        <w:rPr>
          <w:rFonts w:ascii="Times New Roman" w:hAnsi="Times New Roman" w:eastAsia="宋体" w:cs="Times New Roman"/>
          <w:i/>
          <w:iCs/>
          <w:sz w:val="20"/>
          <w:szCs w:val="20"/>
          <w:shd w:val="clear" w:color="auto" w:fill="FFFFFF"/>
        </w:rPr>
        <w:t>p</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&lt;</w:t>
      </w:r>
      <w:r>
        <w:rPr>
          <w:rFonts w:hint="eastAsia" w:ascii="Times New Roman" w:hAnsi="Times New Roman" w:eastAsia="宋体" w:cs="Times New Roman"/>
          <w:sz w:val="20"/>
          <w:szCs w:val="20"/>
          <w:shd w:val="clear" w:color="auto" w:fill="FFFFFF"/>
        </w:rPr>
        <w:t xml:space="preserve"> </w:t>
      </w:r>
      <w:r>
        <w:rPr>
          <w:rFonts w:ascii="Times New Roman" w:hAnsi="Times New Roman" w:eastAsia="宋体" w:cs="Times New Roman"/>
          <w:sz w:val="20"/>
          <w:szCs w:val="20"/>
          <w:shd w:val="clear" w:color="auto" w:fill="FFFFFF"/>
        </w:rPr>
        <w:t>0.001</w:t>
      </w:r>
      <w:r>
        <w:rPr>
          <w:rFonts w:hint="eastAsia" w:ascii="Times New Roman" w:hAnsi="Times New Roman" w:eastAsia="宋体" w:cs="Times New Roman"/>
          <w:sz w:val="20"/>
          <w:szCs w:val="20"/>
          <w:shd w:val="clear" w:color="auto" w:fill="FFFFFF"/>
        </w:rPr>
        <w:t>.</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Arial" w:hAnsi="Arial" w:cs="Arial"/>
        <w:sz w:val="21"/>
        <w:szCs w:val="21"/>
      </w:rPr>
      <w:id w:val="1867410237"/>
      <w:docPartObj>
        <w:docPartGallery w:val="autotext"/>
      </w:docPartObj>
    </w:sdtPr>
    <w:sdtEndPr>
      <w:rPr>
        <w:rFonts w:ascii="Arial" w:hAnsi="Arial" w:cs="Arial"/>
        <w:sz w:val="21"/>
        <w:szCs w:val="21"/>
      </w:rPr>
    </w:sdtEndPr>
    <w:sdtContent>
      <w:p>
        <w:pPr>
          <w:pStyle w:val="12"/>
          <w:jc w:val="center"/>
          <w:rPr>
            <w:rFonts w:hint="eastAsia"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PAGE   \* MERGEFORMAT</w:instrText>
        </w:r>
        <w:r>
          <w:rPr>
            <w:rFonts w:ascii="Arial" w:hAnsi="Arial" w:cs="Arial"/>
            <w:sz w:val="21"/>
            <w:szCs w:val="21"/>
          </w:rPr>
          <w:fldChar w:fldCharType="separate"/>
        </w:r>
        <w:r>
          <w:rPr>
            <w:rFonts w:ascii="Arial" w:hAnsi="Arial" w:cs="Arial"/>
            <w:sz w:val="21"/>
            <w:szCs w:val="21"/>
            <w:lang w:val="zh-CN"/>
          </w:rPr>
          <w:t>2</w:t>
        </w:r>
        <w:r>
          <w:rPr>
            <w:rFonts w:ascii="Arial" w:hAnsi="Arial" w:cs="Arial"/>
            <w:sz w:val="21"/>
            <w:szCs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dmMTM1Njc2OWVkZTAzZjZmZTcxMWE5MGZkYTY5YjIifQ=="/>
  </w:docVars>
  <w:rsids>
    <w:rsidRoot w:val="00BF381C"/>
    <w:rsid w:val="00002135"/>
    <w:rsid w:val="00013887"/>
    <w:rsid w:val="00014F16"/>
    <w:rsid w:val="000300CF"/>
    <w:rsid w:val="0004271F"/>
    <w:rsid w:val="00043B35"/>
    <w:rsid w:val="00050245"/>
    <w:rsid w:val="000531F0"/>
    <w:rsid w:val="00071107"/>
    <w:rsid w:val="000725A8"/>
    <w:rsid w:val="000732F2"/>
    <w:rsid w:val="00075879"/>
    <w:rsid w:val="00075D73"/>
    <w:rsid w:val="000818FE"/>
    <w:rsid w:val="0009600D"/>
    <w:rsid w:val="000B12D8"/>
    <w:rsid w:val="000C1F4C"/>
    <w:rsid w:val="000C5B80"/>
    <w:rsid w:val="000D3B2C"/>
    <w:rsid w:val="000D5370"/>
    <w:rsid w:val="000E509F"/>
    <w:rsid w:val="00101A4F"/>
    <w:rsid w:val="00102E70"/>
    <w:rsid w:val="001076E4"/>
    <w:rsid w:val="001165EE"/>
    <w:rsid w:val="00116CBF"/>
    <w:rsid w:val="0013243B"/>
    <w:rsid w:val="00136790"/>
    <w:rsid w:val="00137A4F"/>
    <w:rsid w:val="00141882"/>
    <w:rsid w:val="001436DC"/>
    <w:rsid w:val="00147CC9"/>
    <w:rsid w:val="0015664C"/>
    <w:rsid w:val="00162CD5"/>
    <w:rsid w:val="001669B5"/>
    <w:rsid w:val="001767A9"/>
    <w:rsid w:val="00191DC8"/>
    <w:rsid w:val="0019514A"/>
    <w:rsid w:val="001A0BA2"/>
    <w:rsid w:val="001A34B4"/>
    <w:rsid w:val="001A46E8"/>
    <w:rsid w:val="001A59A0"/>
    <w:rsid w:val="001C2460"/>
    <w:rsid w:val="001E5D8D"/>
    <w:rsid w:val="001E62F7"/>
    <w:rsid w:val="001E68DF"/>
    <w:rsid w:val="001F3647"/>
    <w:rsid w:val="001F6527"/>
    <w:rsid w:val="001F6D72"/>
    <w:rsid w:val="0020119C"/>
    <w:rsid w:val="00205EEC"/>
    <w:rsid w:val="00206B09"/>
    <w:rsid w:val="00222D91"/>
    <w:rsid w:val="00237A2C"/>
    <w:rsid w:val="00246E06"/>
    <w:rsid w:val="00272ACE"/>
    <w:rsid w:val="002740D9"/>
    <w:rsid w:val="002915F6"/>
    <w:rsid w:val="002D03BE"/>
    <w:rsid w:val="002D1776"/>
    <w:rsid w:val="002D569C"/>
    <w:rsid w:val="002D6C74"/>
    <w:rsid w:val="002D70EF"/>
    <w:rsid w:val="002E4F49"/>
    <w:rsid w:val="002E5C98"/>
    <w:rsid w:val="002F180F"/>
    <w:rsid w:val="00304E75"/>
    <w:rsid w:val="00316C02"/>
    <w:rsid w:val="00320AB0"/>
    <w:rsid w:val="00321A69"/>
    <w:rsid w:val="00321E45"/>
    <w:rsid w:val="0033083C"/>
    <w:rsid w:val="00331F02"/>
    <w:rsid w:val="00340D07"/>
    <w:rsid w:val="003463F1"/>
    <w:rsid w:val="003500FF"/>
    <w:rsid w:val="00373AB3"/>
    <w:rsid w:val="003943A4"/>
    <w:rsid w:val="00395FD8"/>
    <w:rsid w:val="0039736D"/>
    <w:rsid w:val="003A1E50"/>
    <w:rsid w:val="003A78C8"/>
    <w:rsid w:val="003B1FE7"/>
    <w:rsid w:val="003B7D5A"/>
    <w:rsid w:val="003C0A10"/>
    <w:rsid w:val="003C2DB5"/>
    <w:rsid w:val="003E61DB"/>
    <w:rsid w:val="003E7C26"/>
    <w:rsid w:val="003F1D3D"/>
    <w:rsid w:val="00401072"/>
    <w:rsid w:val="004202EA"/>
    <w:rsid w:val="0042487F"/>
    <w:rsid w:val="00424C95"/>
    <w:rsid w:val="0043104C"/>
    <w:rsid w:val="00445543"/>
    <w:rsid w:val="00445704"/>
    <w:rsid w:val="00455CE0"/>
    <w:rsid w:val="00457FAC"/>
    <w:rsid w:val="0046201A"/>
    <w:rsid w:val="004651D1"/>
    <w:rsid w:val="0046581C"/>
    <w:rsid w:val="00465B0D"/>
    <w:rsid w:val="00473293"/>
    <w:rsid w:val="00474CD3"/>
    <w:rsid w:val="00477E33"/>
    <w:rsid w:val="00481AC7"/>
    <w:rsid w:val="00491CBF"/>
    <w:rsid w:val="004A1DF2"/>
    <w:rsid w:val="004B0FB5"/>
    <w:rsid w:val="004B2A2B"/>
    <w:rsid w:val="004B4709"/>
    <w:rsid w:val="004B6F6E"/>
    <w:rsid w:val="004C13F0"/>
    <w:rsid w:val="004C4DD5"/>
    <w:rsid w:val="004D4D56"/>
    <w:rsid w:val="004E1D4C"/>
    <w:rsid w:val="004E7899"/>
    <w:rsid w:val="00502A63"/>
    <w:rsid w:val="00513CA4"/>
    <w:rsid w:val="005174D4"/>
    <w:rsid w:val="00522E0D"/>
    <w:rsid w:val="00533637"/>
    <w:rsid w:val="00534B88"/>
    <w:rsid w:val="00542FDF"/>
    <w:rsid w:val="00561A2A"/>
    <w:rsid w:val="00563256"/>
    <w:rsid w:val="005658A2"/>
    <w:rsid w:val="0057286C"/>
    <w:rsid w:val="00573138"/>
    <w:rsid w:val="00580932"/>
    <w:rsid w:val="00586151"/>
    <w:rsid w:val="005A0AED"/>
    <w:rsid w:val="005A472E"/>
    <w:rsid w:val="005B2963"/>
    <w:rsid w:val="005B78A5"/>
    <w:rsid w:val="005B7BE6"/>
    <w:rsid w:val="005C280B"/>
    <w:rsid w:val="005D20B6"/>
    <w:rsid w:val="005E3C72"/>
    <w:rsid w:val="005E49DE"/>
    <w:rsid w:val="006074F7"/>
    <w:rsid w:val="00623188"/>
    <w:rsid w:val="006236B3"/>
    <w:rsid w:val="00625A14"/>
    <w:rsid w:val="006269F8"/>
    <w:rsid w:val="00634D32"/>
    <w:rsid w:val="0065099B"/>
    <w:rsid w:val="006631EF"/>
    <w:rsid w:val="00671E37"/>
    <w:rsid w:val="00672B37"/>
    <w:rsid w:val="00675755"/>
    <w:rsid w:val="006758BD"/>
    <w:rsid w:val="0067677A"/>
    <w:rsid w:val="00677193"/>
    <w:rsid w:val="006812EF"/>
    <w:rsid w:val="0068519E"/>
    <w:rsid w:val="006878EC"/>
    <w:rsid w:val="00696FBE"/>
    <w:rsid w:val="006A134D"/>
    <w:rsid w:val="006A3316"/>
    <w:rsid w:val="006B0B2C"/>
    <w:rsid w:val="006C7CDF"/>
    <w:rsid w:val="006D7616"/>
    <w:rsid w:val="006E0377"/>
    <w:rsid w:val="006E49CC"/>
    <w:rsid w:val="006E4D5C"/>
    <w:rsid w:val="006F371E"/>
    <w:rsid w:val="006F3F07"/>
    <w:rsid w:val="0071334D"/>
    <w:rsid w:val="00725095"/>
    <w:rsid w:val="007325E7"/>
    <w:rsid w:val="007361BD"/>
    <w:rsid w:val="00737DB4"/>
    <w:rsid w:val="00750DA8"/>
    <w:rsid w:val="007537F0"/>
    <w:rsid w:val="0075424F"/>
    <w:rsid w:val="00754E6C"/>
    <w:rsid w:val="00756412"/>
    <w:rsid w:val="00757D3B"/>
    <w:rsid w:val="00764B0E"/>
    <w:rsid w:val="007668AD"/>
    <w:rsid w:val="00785092"/>
    <w:rsid w:val="00786047"/>
    <w:rsid w:val="007909B1"/>
    <w:rsid w:val="00797C76"/>
    <w:rsid w:val="007C53C8"/>
    <w:rsid w:val="007D2EE5"/>
    <w:rsid w:val="007E5CA4"/>
    <w:rsid w:val="00806326"/>
    <w:rsid w:val="0082010F"/>
    <w:rsid w:val="0086102C"/>
    <w:rsid w:val="00862527"/>
    <w:rsid w:val="00863F93"/>
    <w:rsid w:val="00867AF5"/>
    <w:rsid w:val="00872C1D"/>
    <w:rsid w:val="00891A55"/>
    <w:rsid w:val="0089364B"/>
    <w:rsid w:val="00895E44"/>
    <w:rsid w:val="008B30C2"/>
    <w:rsid w:val="008B7236"/>
    <w:rsid w:val="008C7A7A"/>
    <w:rsid w:val="008D7726"/>
    <w:rsid w:val="008E59BF"/>
    <w:rsid w:val="008E6F14"/>
    <w:rsid w:val="008F6895"/>
    <w:rsid w:val="008F739B"/>
    <w:rsid w:val="00901C02"/>
    <w:rsid w:val="00904AA9"/>
    <w:rsid w:val="0090656F"/>
    <w:rsid w:val="00915C65"/>
    <w:rsid w:val="00915F05"/>
    <w:rsid w:val="009220CD"/>
    <w:rsid w:val="00942C6B"/>
    <w:rsid w:val="00943FC2"/>
    <w:rsid w:val="00965BD3"/>
    <w:rsid w:val="00976BD3"/>
    <w:rsid w:val="00981D15"/>
    <w:rsid w:val="009847AB"/>
    <w:rsid w:val="009B00D8"/>
    <w:rsid w:val="009B0FFD"/>
    <w:rsid w:val="009B2A76"/>
    <w:rsid w:val="009C2D40"/>
    <w:rsid w:val="009D0620"/>
    <w:rsid w:val="009F74F3"/>
    <w:rsid w:val="009F7701"/>
    <w:rsid w:val="00A033BA"/>
    <w:rsid w:val="00A14732"/>
    <w:rsid w:val="00A14C5B"/>
    <w:rsid w:val="00A15CE9"/>
    <w:rsid w:val="00A3038E"/>
    <w:rsid w:val="00A323AE"/>
    <w:rsid w:val="00A624AE"/>
    <w:rsid w:val="00A675BA"/>
    <w:rsid w:val="00A76AAC"/>
    <w:rsid w:val="00A77227"/>
    <w:rsid w:val="00A93379"/>
    <w:rsid w:val="00A96212"/>
    <w:rsid w:val="00AA6E65"/>
    <w:rsid w:val="00AA7ACD"/>
    <w:rsid w:val="00AB2F46"/>
    <w:rsid w:val="00AB361E"/>
    <w:rsid w:val="00AB6BF1"/>
    <w:rsid w:val="00AC3C6E"/>
    <w:rsid w:val="00AE52B6"/>
    <w:rsid w:val="00B02E98"/>
    <w:rsid w:val="00B049A9"/>
    <w:rsid w:val="00B114C9"/>
    <w:rsid w:val="00B13341"/>
    <w:rsid w:val="00B244C7"/>
    <w:rsid w:val="00B26D52"/>
    <w:rsid w:val="00B50E57"/>
    <w:rsid w:val="00B52347"/>
    <w:rsid w:val="00B52C04"/>
    <w:rsid w:val="00B60767"/>
    <w:rsid w:val="00B615E1"/>
    <w:rsid w:val="00B73AC6"/>
    <w:rsid w:val="00B87EF7"/>
    <w:rsid w:val="00B91EC4"/>
    <w:rsid w:val="00B93D36"/>
    <w:rsid w:val="00BB3A0F"/>
    <w:rsid w:val="00BB6A02"/>
    <w:rsid w:val="00BB7310"/>
    <w:rsid w:val="00BC49E4"/>
    <w:rsid w:val="00BD2E94"/>
    <w:rsid w:val="00BE4593"/>
    <w:rsid w:val="00BE5E77"/>
    <w:rsid w:val="00BE5F7E"/>
    <w:rsid w:val="00BE75E2"/>
    <w:rsid w:val="00BF381C"/>
    <w:rsid w:val="00C0152E"/>
    <w:rsid w:val="00C11B87"/>
    <w:rsid w:val="00C22B53"/>
    <w:rsid w:val="00C3324C"/>
    <w:rsid w:val="00C3619B"/>
    <w:rsid w:val="00C40444"/>
    <w:rsid w:val="00C41589"/>
    <w:rsid w:val="00C6007F"/>
    <w:rsid w:val="00C62511"/>
    <w:rsid w:val="00C6711E"/>
    <w:rsid w:val="00C83B3C"/>
    <w:rsid w:val="00CA4FD6"/>
    <w:rsid w:val="00CA6541"/>
    <w:rsid w:val="00CB2032"/>
    <w:rsid w:val="00CB4525"/>
    <w:rsid w:val="00CE14F1"/>
    <w:rsid w:val="00CE2914"/>
    <w:rsid w:val="00CF2580"/>
    <w:rsid w:val="00CF68E1"/>
    <w:rsid w:val="00CF778C"/>
    <w:rsid w:val="00D012C8"/>
    <w:rsid w:val="00D05B32"/>
    <w:rsid w:val="00D07BA2"/>
    <w:rsid w:val="00D07C14"/>
    <w:rsid w:val="00D12AE9"/>
    <w:rsid w:val="00D23E81"/>
    <w:rsid w:val="00D30457"/>
    <w:rsid w:val="00D31DFE"/>
    <w:rsid w:val="00D32596"/>
    <w:rsid w:val="00D36CDB"/>
    <w:rsid w:val="00D37F50"/>
    <w:rsid w:val="00D51A49"/>
    <w:rsid w:val="00D54D3F"/>
    <w:rsid w:val="00D60DD9"/>
    <w:rsid w:val="00D7522D"/>
    <w:rsid w:val="00D83E4F"/>
    <w:rsid w:val="00D8742B"/>
    <w:rsid w:val="00DA0923"/>
    <w:rsid w:val="00DA2085"/>
    <w:rsid w:val="00DA3183"/>
    <w:rsid w:val="00DC0BD4"/>
    <w:rsid w:val="00DC3FE1"/>
    <w:rsid w:val="00DD60F5"/>
    <w:rsid w:val="00DE4483"/>
    <w:rsid w:val="00E14D82"/>
    <w:rsid w:val="00E1609E"/>
    <w:rsid w:val="00E222D4"/>
    <w:rsid w:val="00E23ABA"/>
    <w:rsid w:val="00E240AD"/>
    <w:rsid w:val="00E268F6"/>
    <w:rsid w:val="00E27DCF"/>
    <w:rsid w:val="00E31CE5"/>
    <w:rsid w:val="00E32B3D"/>
    <w:rsid w:val="00E41634"/>
    <w:rsid w:val="00E507CB"/>
    <w:rsid w:val="00E537F0"/>
    <w:rsid w:val="00E54BB7"/>
    <w:rsid w:val="00E84814"/>
    <w:rsid w:val="00E85036"/>
    <w:rsid w:val="00EA0086"/>
    <w:rsid w:val="00EB0E86"/>
    <w:rsid w:val="00EB41C7"/>
    <w:rsid w:val="00EB4649"/>
    <w:rsid w:val="00EC0772"/>
    <w:rsid w:val="00EC427A"/>
    <w:rsid w:val="00ED5A12"/>
    <w:rsid w:val="00EF0014"/>
    <w:rsid w:val="00EF1E7F"/>
    <w:rsid w:val="00EF2AC9"/>
    <w:rsid w:val="00EF36F8"/>
    <w:rsid w:val="00EF4E59"/>
    <w:rsid w:val="00EF76D2"/>
    <w:rsid w:val="00F0615A"/>
    <w:rsid w:val="00F242C2"/>
    <w:rsid w:val="00F31810"/>
    <w:rsid w:val="00F35A8E"/>
    <w:rsid w:val="00F371FE"/>
    <w:rsid w:val="00F53CE7"/>
    <w:rsid w:val="00F55C7C"/>
    <w:rsid w:val="00F61BE4"/>
    <w:rsid w:val="00F6331A"/>
    <w:rsid w:val="00F7751D"/>
    <w:rsid w:val="00FA2310"/>
    <w:rsid w:val="00FA4086"/>
    <w:rsid w:val="00FA504F"/>
    <w:rsid w:val="00FB33BA"/>
    <w:rsid w:val="00FC0D01"/>
    <w:rsid w:val="00FC2D37"/>
    <w:rsid w:val="00FC3068"/>
    <w:rsid w:val="00FC3850"/>
    <w:rsid w:val="00FC3E55"/>
    <w:rsid w:val="00FE06D1"/>
    <w:rsid w:val="01037E18"/>
    <w:rsid w:val="016D6AC7"/>
    <w:rsid w:val="02C44BAF"/>
    <w:rsid w:val="04DC4D80"/>
    <w:rsid w:val="08514A4D"/>
    <w:rsid w:val="0AF51F2B"/>
    <w:rsid w:val="13652FA8"/>
    <w:rsid w:val="18CE20EA"/>
    <w:rsid w:val="228B1398"/>
    <w:rsid w:val="2BD414F9"/>
    <w:rsid w:val="31EE57A7"/>
    <w:rsid w:val="39170693"/>
    <w:rsid w:val="449C6E18"/>
    <w:rsid w:val="4B561CDE"/>
    <w:rsid w:val="4E0F451C"/>
    <w:rsid w:val="51787FD3"/>
    <w:rsid w:val="55A559A5"/>
    <w:rsid w:val="588A09D2"/>
    <w:rsid w:val="5DB669A1"/>
    <w:rsid w:val="651B533C"/>
    <w:rsid w:val="6F096513"/>
    <w:rsid w:val="6FA368EB"/>
    <w:rsid w:val="7D245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5"/>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4"/>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6"/>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7"/>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8"/>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4"/>
    <w:semiHidden/>
    <w:unhideWhenUsed/>
    <w:qFormat/>
    <w:uiPriority w:val="99"/>
    <w:pPr>
      <w:jc w:val="left"/>
    </w:pPr>
  </w:style>
  <w:style w:type="paragraph" w:styleId="12">
    <w:name w:val="footer"/>
    <w:basedOn w:val="1"/>
    <w:link w:val="41"/>
    <w:unhideWhenUsed/>
    <w:qFormat/>
    <w:uiPriority w:val="99"/>
    <w:pPr>
      <w:tabs>
        <w:tab w:val="center" w:pos="4153"/>
        <w:tab w:val="right" w:pos="8306"/>
      </w:tabs>
      <w:snapToGrid w:val="0"/>
      <w:jc w:val="left"/>
    </w:pPr>
    <w:rPr>
      <w:sz w:val="18"/>
      <w:szCs w:val="18"/>
    </w:rPr>
  </w:style>
  <w:style w:type="paragraph" w:styleId="13">
    <w:name w:val="header"/>
    <w:basedOn w:val="1"/>
    <w:link w:val="40"/>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2"/>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1"/>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45"/>
    <w:semiHidden/>
    <w:unhideWhenUsed/>
    <w:qFormat/>
    <w:uiPriority w:val="99"/>
    <w:rPr>
      <w:b/>
      <w:bCs/>
    </w:rPr>
  </w:style>
  <w:style w:type="character" w:styleId="19">
    <w:name w:val="Emphasis"/>
    <w:basedOn w:val="18"/>
    <w:qFormat/>
    <w:uiPriority w:val="20"/>
    <w:rPr>
      <w:i/>
      <w:iCs/>
    </w:rPr>
  </w:style>
  <w:style w:type="character" w:styleId="20">
    <w:name w:val="Hyperlink"/>
    <w:basedOn w:val="18"/>
    <w:unhideWhenUsed/>
    <w:uiPriority w:val="99"/>
    <w:rPr>
      <w:color w:val="467886" w:themeColor="hyperlink"/>
      <w:u w:val="single"/>
      <w14:textFill>
        <w14:solidFill>
          <w14:schemeClr w14:val="hlink"/>
        </w14:solidFill>
      </w14:textFill>
    </w:rPr>
  </w:style>
  <w:style w:type="character" w:styleId="21">
    <w:name w:val="annotation reference"/>
    <w:basedOn w:val="18"/>
    <w:semiHidden/>
    <w:unhideWhenUsed/>
    <w:qFormat/>
    <w:uiPriority w:val="99"/>
    <w:rPr>
      <w:sz w:val="21"/>
      <w:szCs w:val="21"/>
    </w:rPr>
  </w:style>
  <w:style w:type="character" w:customStyle="1" w:styleId="22">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3">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4">
    <w:name w:val="标题 4 字符"/>
    <w:basedOn w:val="18"/>
    <w:link w:val="5"/>
    <w:semiHidden/>
    <w:qFormat/>
    <w:uiPriority w:val="9"/>
    <w:rPr>
      <w:rFonts w:cstheme="majorBidi"/>
      <w:color w:val="104862" w:themeColor="accent1" w:themeShade="BF"/>
      <w:sz w:val="28"/>
      <w:szCs w:val="28"/>
    </w:rPr>
  </w:style>
  <w:style w:type="character" w:customStyle="1" w:styleId="25">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6">
    <w:name w:val="标题 5 字符"/>
    <w:basedOn w:val="18"/>
    <w:link w:val="6"/>
    <w:semiHidden/>
    <w:qFormat/>
    <w:uiPriority w:val="9"/>
    <w:rPr>
      <w:rFonts w:cstheme="majorBidi"/>
      <w:color w:val="104862" w:themeColor="accent1" w:themeShade="BF"/>
      <w:sz w:val="24"/>
      <w:szCs w:val="24"/>
    </w:rPr>
  </w:style>
  <w:style w:type="character" w:customStyle="1" w:styleId="27">
    <w:name w:val="标题 6 字符"/>
    <w:basedOn w:val="18"/>
    <w:link w:val="7"/>
    <w:semiHidden/>
    <w:qFormat/>
    <w:uiPriority w:val="9"/>
    <w:rPr>
      <w:rFonts w:cstheme="majorBidi"/>
      <w:b/>
      <w:bCs/>
      <w:color w:val="104862" w:themeColor="accent1" w:themeShade="BF"/>
    </w:rPr>
  </w:style>
  <w:style w:type="character" w:customStyle="1" w:styleId="28">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18"/>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18"/>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Intense Emphasis"/>
    <w:basedOn w:val="18"/>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8">
    <w:name w:val="明显引用 字符"/>
    <w:basedOn w:val="18"/>
    <w:link w:val="37"/>
    <w:qFormat/>
    <w:uiPriority w:val="30"/>
    <w:rPr>
      <w:i/>
      <w:iCs/>
      <w:color w:val="104862" w:themeColor="accent1" w:themeShade="BF"/>
    </w:rPr>
  </w:style>
  <w:style w:type="character" w:customStyle="1" w:styleId="39">
    <w:name w:val="Intense Reference"/>
    <w:basedOn w:val="18"/>
    <w:qFormat/>
    <w:uiPriority w:val="32"/>
    <w:rPr>
      <w:b/>
      <w:bCs/>
      <w:smallCaps/>
      <w:color w:val="104862" w:themeColor="accent1" w:themeShade="BF"/>
      <w:spacing w:val="5"/>
    </w:rPr>
  </w:style>
  <w:style w:type="character" w:customStyle="1" w:styleId="40">
    <w:name w:val="页眉 字符"/>
    <w:basedOn w:val="18"/>
    <w:link w:val="13"/>
    <w:qFormat/>
    <w:uiPriority w:val="99"/>
    <w:rPr>
      <w:sz w:val="18"/>
      <w:szCs w:val="18"/>
    </w:rPr>
  </w:style>
  <w:style w:type="character" w:customStyle="1" w:styleId="41">
    <w:name w:val="页脚 字符"/>
    <w:basedOn w:val="18"/>
    <w:link w:val="12"/>
    <w:qFormat/>
    <w:uiPriority w:val="99"/>
    <w:rPr>
      <w:sz w:val="18"/>
      <w:szCs w:val="18"/>
    </w:rPr>
  </w:style>
  <w:style w:type="paragraph" w:customStyle="1" w:styleId="42">
    <w:name w:val="EndNote Bibliography"/>
    <w:basedOn w:val="1"/>
    <w:link w:val="43"/>
    <w:uiPriority w:val="0"/>
    <w:rPr>
      <w:rFonts w:ascii="Calibri" w:hAnsi="Calibri" w:cs="Calibri"/>
      <w:sz w:val="20"/>
    </w:rPr>
  </w:style>
  <w:style w:type="character" w:customStyle="1" w:styleId="43">
    <w:name w:val="EndNote Bibliography Char"/>
    <w:basedOn w:val="18"/>
    <w:link w:val="42"/>
    <w:qFormat/>
    <w:uiPriority w:val="0"/>
    <w:rPr>
      <w:rFonts w:ascii="Calibri" w:hAnsi="Calibri" w:cs="Calibri"/>
      <w:sz w:val="20"/>
    </w:rPr>
  </w:style>
  <w:style w:type="character" w:customStyle="1" w:styleId="44">
    <w:name w:val="批注文字 字符"/>
    <w:basedOn w:val="18"/>
    <w:link w:val="11"/>
    <w:semiHidden/>
    <w:qFormat/>
    <w:uiPriority w:val="99"/>
  </w:style>
  <w:style w:type="character" w:customStyle="1" w:styleId="45">
    <w:name w:val="批注主题 字符"/>
    <w:basedOn w:val="44"/>
    <w:link w:val="16"/>
    <w:semiHidden/>
    <w:qFormat/>
    <w:uiPriority w:val="99"/>
    <w:rPr>
      <w:b/>
      <w:bCs/>
    </w:rPr>
  </w:style>
  <w:style w:type="paragraph" w:customStyle="1" w:styleId="46">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59656-1D2F-4D53-8708-C304888C4103}">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1487</Words>
  <Characters>9370</Characters>
  <Lines>107</Lines>
  <Paragraphs>30</Paragraphs>
  <TotalTime>1</TotalTime>
  <ScaleCrop>false</ScaleCrop>
  <LinksUpToDate>false</LinksUpToDate>
  <CharactersWithSpaces>10584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2025-04-24T10:34:00Z</dcterms:created>
  <dc:creator>Mian Li</dc:creator>
  <cp:lastModifiedBy>hj</cp:lastModifiedBy>
  <dcterms:modified xsi:type="dcterms:W3CDTF">2026-02-11T14:03:31Z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EAAFF2DDD3F241799ADD32B8149BBE4D_12</vt:lpwstr>
  </property>
</Properties>
</file>