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EA151">
      <w:pPr>
        <w:widowControl/>
        <w:numPr>
          <w:ilvl w:val="0"/>
          <w:numId w:val="0"/>
        </w:numPr>
        <w:spacing w:line="480" w:lineRule="auto"/>
        <w:ind w:firstLine="643" w:firstLineChars="200"/>
        <w:jc w:val="center"/>
        <w:rPr>
          <w:rFonts w:hint="eastAsia" w:ascii="Times New Roman" w:hAnsi="Times New Roman" w:cs="Times New Roman"/>
          <w:b/>
          <w:bCs/>
          <w:color w:val="auto"/>
          <w:kern w:val="2"/>
          <w:sz w:val="32"/>
          <w:szCs w:val="32"/>
          <w:highlight w:val="none"/>
          <w:lang w:val="en-US" w:eastAsia="zh-CN" w:bidi="ar-SA"/>
        </w:rPr>
      </w:pPr>
      <w:r>
        <w:rPr>
          <w:rFonts w:hint="eastAsia" w:ascii="Times New Roman" w:hAnsi="Times New Roman" w:cs="Times New Roman"/>
          <w:b/>
          <w:bCs/>
          <w:color w:val="auto"/>
          <w:kern w:val="2"/>
          <w:sz w:val="32"/>
          <w:szCs w:val="32"/>
          <w:highlight w:val="none"/>
          <w:lang w:val="en-US" w:eastAsia="zh-CN" w:bidi="ar-SA"/>
        </w:rPr>
        <w:t>Supplementary Materials</w:t>
      </w:r>
      <w:bookmarkStart w:id="0" w:name="_GoBack"/>
      <w:bookmarkEnd w:id="0"/>
    </w:p>
    <w:p w14:paraId="089710E9">
      <w:pPr>
        <w:widowControl/>
        <w:numPr>
          <w:ilvl w:val="0"/>
          <w:numId w:val="0"/>
        </w:numPr>
        <w:spacing w:line="480" w:lineRule="auto"/>
        <w:ind w:firstLine="643" w:firstLineChars="200"/>
        <w:jc w:val="center"/>
        <w:rPr>
          <w:rFonts w:hint="default" w:ascii="Times New Roman" w:hAnsi="Times New Roman" w:cs="Times New Roman"/>
          <w:b/>
          <w:bCs/>
          <w:color w:val="auto"/>
          <w:kern w:val="2"/>
          <w:sz w:val="32"/>
          <w:szCs w:val="32"/>
          <w:highlight w:val="none"/>
          <w:lang w:val="en-US" w:eastAsia="zh-CN" w:bidi="ar-SA"/>
        </w:rPr>
      </w:pPr>
    </w:p>
    <w:p w14:paraId="79F82B77">
      <w:pPr>
        <w:widowControl/>
        <w:numPr>
          <w:ilvl w:val="0"/>
          <w:numId w:val="0"/>
        </w:numPr>
        <w:spacing w:line="480" w:lineRule="auto"/>
        <w:ind w:firstLine="643" w:firstLineChars="200"/>
        <w:jc w:val="center"/>
        <w:rPr>
          <w:rFonts w:hint="eastAsia" w:ascii="Times New Roman" w:hAnsi="Times New Roman" w:cs="Times New Roman"/>
          <w:b/>
          <w:bCs/>
          <w:color w:val="auto"/>
          <w:kern w:val="2"/>
          <w:sz w:val="32"/>
          <w:szCs w:val="32"/>
          <w:highlight w:val="none"/>
          <w:lang w:val="en-US" w:eastAsia="zh-CN" w:bidi="ar-SA"/>
        </w:rPr>
      </w:pPr>
      <w:r>
        <w:rPr>
          <w:rFonts w:hint="eastAsia" w:ascii="Times New Roman" w:hAnsi="Times New Roman" w:cs="Times New Roman"/>
          <w:b/>
          <w:bCs/>
          <w:color w:val="auto"/>
          <w:kern w:val="2"/>
          <w:sz w:val="32"/>
          <w:szCs w:val="32"/>
          <w:highlight w:val="none"/>
          <w:lang w:val="en-US" w:eastAsia="zh-CN" w:bidi="ar-SA"/>
        </w:rPr>
        <w:t xml:space="preserve">Part A </w:t>
      </w:r>
    </w:p>
    <w:p w14:paraId="5BA41796">
      <w:pPr>
        <w:pStyle w:val="3"/>
        <w:keepNext w:val="0"/>
        <w:keepLines w:val="0"/>
        <w:widowControl/>
        <w:suppressLineNumbers w:val="0"/>
        <w:shd w:val="clear" w:fill="FFFFFF"/>
        <w:spacing w:before="0" w:beforeAutospacing="0" w:after="160" w:afterAutospacing="0" w:line="480" w:lineRule="auto"/>
        <w:ind w:left="0" w:right="0" w:firstLine="0"/>
        <w:jc w:val="both"/>
        <w:rPr>
          <w:rFonts w:hint="default" w:ascii="Times New Roman" w:hAnsi="Times New Roman" w:eastAsia="宋体" w:cs="Times New Roman"/>
          <w:i w:val="0"/>
          <w:iCs w:val="0"/>
          <w:caps w:val="0"/>
          <w:color w:val="0F1115"/>
          <w:spacing w:val="0"/>
          <w:sz w:val="28"/>
          <w:szCs w:val="28"/>
          <w:lang w:val="en-US" w:eastAsia="zh-CN"/>
        </w:rPr>
      </w:pPr>
      <w:r>
        <w:rPr>
          <w:rStyle w:val="7"/>
          <w:rFonts w:hint="default" w:ascii="Times New Roman" w:hAnsi="Times New Roman" w:eastAsia="Segoe UI" w:cs="Times New Roman"/>
          <w:b/>
          <w:bCs/>
          <w:i w:val="0"/>
          <w:iCs w:val="0"/>
          <w:caps w:val="0"/>
          <w:color w:val="0F1115"/>
          <w:spacing w:val="0"/>
          <w:sz w:val="28"/>
          <w:szCs w:val="28"/>
          <w:shd w:val="clear" w:fill="FFFFFF"/>
        </w:rPr>
        <w:t>Revision of the Perceived Positiv</w:t>
      </w:r>
      <w:r>
        <w:rPr>
          <w:rStyle w:val="7"/>
          <w:rFonts w:hint="eastAsia" w:ascii="Times New Roman" w:hAnsi="Times New Roman" w:eastAsia="宋体" w:cs="Times New Roman"/>
          <w:b/>
          <w:bCs/>
          <w:i w:val="0"/>
          <w:iCs w:val="0"/>
          <w:caps w:val="0"/>
          <w:color w:val="0F1115"/>
          <w:spacing w:val="0"/>
          <w:sz w:val="28"/>
          <w:szCs w:val="28"/>
          <w:shd w:val="clear" w:fill="FFFFFF"/>
          <w:lang w:val="en-US" w:eastAsia="zh-CN"/>
        </w:rPr>
        <w:t>ity</w:t>
      </w:r>
      <w:r>
        <w:rPr>
          <w:rStyle w:val="7"/>
          <w:rFonts w:hint="default" w:ascii="Times New Roman" w:hAnsi="Times New Roman" w:eastAsia="Segoe UI" w:cs="Times New Roman"/>
          <w:b/>
          <w:bCs/>
          <w:i w:val="0"/>
          <w:iCs w:val="0"/>
          <w:caps w:val="0"/>
          <w:color w:val="0F1115"/>
          <w:spacing w:val="0"/>
          <w:sz w:val="28"/>
          <w:szCs w:val="28"/>
          <w:shd w:val="clear" w:fill="FFFFFF"/>
        </w:rPr>
        <w:t xml:space="preserve"> Resonance Scale</w:t>
      </w:r>
      <w:r>
        <w:rPr>
          <w:rStyle w:val="7"/>
          <w:rFonts w:hint="eastAsia" w:ascii="Times New Roman" w:hAnsi="Times New Roman" w:eastAsia="宋体" w:cs="Times New Roman"/>
          <w:b/>
          <w:bCs/>
          <w:i w:val="0"/>
          <w:iCs w:val="0"/>
          <w:caps w:val="0"/>
          <w:color w:val="0F1115"/>
          <w:spacing w:val="0"/>
          <w:sz w:val="28"/>
          <w:szCs w:val="28"/>
          <w:shd w:val="clear" w:fill="FFFFFF"/>
          <w:lang w:val="en-US" w:eastAsia="zh-CN"/>
        </w:rPr>
        <w:t xml:space="preserve"> (PPRS)</w:t>
      </w:r>
    </w:p>
    <w:p w14:paraId="7B98EB98">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Style w:val="7"/>
          <w:rFonts w:hint="default" w:ascii="Times New Roman" w:hAnsi="Times New Roman" w:eastAsia="Segoe UI" w:cs="Times New Roman"/>
          <w:b/>
          <w:bCs/>
          <w:i w:val="0"/>
          <w:iCs w:val="0"/>
          <w:caps w:val="0"/>
          <w:color w:val="0F1115"/>
          <w:spacing w:val="0"/>
          <w:sz w:val="24"/>
          <w:szCs w:val="24"/>
          <w:shd w:val="clear" w:fill="FFFFFF"/>
        </w:rPr>
      </w:pPr>
      <w:r>
        <w:rPr>
          <w:rStyle w:val="7"/>
          <w:rFonts w:hint="default" w:ascii="Times New Roman" w:hAnsi="Times New Roman" w:eastAsia="Segoe UI" w:cs="Times New Roman"/>
          <w:b/>
          <w:bCs/>
          <w:i w:val="0"/>
          <w:iCs w:val="0"/>
          <w:caps w:val="0"/>
          <w:color w:val="0F1115"/>
          <w:spacing w:val="0"/>
          <w:sz w:val="24"/>
          <w:szCs w:val="24"/>
          <w:shd w:val="clear" w:fill="FFFFFF"/>
        </w:rPr>
        <w:t>Participants</w:t>
      </w:r>
    </w:p>
    <w:p w14:paraId="6A161BB9">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This study employed three independent samples to evaluate the reliability and validity of the scale. Sample 1 comprised 630 valid responses collected primarily through random sampling from university students in Shandong, Hebei, Tianjin, and other regions. This sample included 311 males and 319 females, with a mean age of 20.24 years (SD = 1.74). The distribution across academic years was as follows: 135 freshmen, 266 sophomores, 133 juniors, 60 seniors, and 60 graduate students. This sample was primarily used for item analysis, exploratory factor analysis, and assessments of internal consistency reliability.</w:t>
      </w:r>
    </w:p>
    <w:p w14:paraId="181711DB">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leftChars="0" w:right="0" w:rightChars="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Sample 2 consisted of 471 valid responses collected mainly through random sampling from university students in Shandong, Hebei, Xinjiang, and other regions. This sample included 220 males and 251 females, with a mean age of 20.37 years (SD = 1.40). The distribution across academic years was: 83 freshmen, 157 sophomores, 120 juniors, 94 seniors, and 17 graduate students. This sample was primarily used for confirmatory factor analysis and assessments of internal consistency reliability.</w:t>
      </w:r>
    </w:p>
    <w:p w14:paraId="3373990A">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leftChars="0" w:right="0" w:rightChars="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Sample 3 was drawn from a subset of participants in Sample 2. A total of 154 valid responses were collected in a follow-up test conducted four weeks later, comprising 82 males and 72 females, with a mean age of 20.31 years (SD = 1.74). The distribution across academic years was: 7 freshmen, 63 sophomores, 34 juniors, 45 seniors, and 5 graduate students. This sample was specifically used to evaluate test-retest reliability.</w:t>
      </w:r>
    </w:p>
    <w:p w14:paraId="42286BF7">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Style w:val="7"/>
          <w:rFonts w:hint="default" w:ascii="Times New Roman" w:hAnsi="Times New Roman" w:eastAsia="Segoe UI" w:cs="Times New Roman"/>
          <w:b/>
          <w:bCs/>
          <w:i w:val="0"/>
          <w:iCs w:val="0"/>
          <w:caps w:val="0"/>
          <w:color w:val="0F1115"/>
          <w:spacing w:val="0"/>
          <w:sz w:val="24"/>
          <w:szCs w:val="24"/>
          <w:shd w:val="clear" w:fill="FFFFFF"/>
        </w:rPr>
      </w:pPr>
      <w:r>
        <w:rPr>
          <w:rStyle w:val="7"/>
          <w:rFonts w:hint="default" w:ascii="Times New Roman" w:hAnsi="Times New Roman" w:eastAsia="Segoe UI" w:cs="Times New Roman"/>
          <w:b/>
          <w:bCs/>
          <w:i w:val="0"/>
          <w:iCs w:val="0"/>
          <w:caps w:val="0"/>
          <w:color w:val="0F1115"/>
          <w:spacing w:val="0"/>
          <w:sz w:val="24"/>
          <w:szCs w:val="24"/>
          <w:shd w:val="clear" w:fill="FFFFFF"/>
        </w:rPr>
        <w:t>Development of the Initial Questionnaire Items</w:t>
      </w:r>
    </w:p>
    <w:p w14:paraId="1BD9910B">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 xml:space="preserve">The initial questionnaire was derived from the </w:t>
      </w:r>
      <w:r>
        <w:rPr>
          <w:rFonts w:hint="eastAsia" w:ascii="Times New Roman" w:hAnsi="Times New Roman" w:eastAsia="宋体" w:cs="Times New Roman"/>
          <w:i w:val="0"/>
          <w:iCs w:val="0"/>
          <w:caps w:val="0"/>
          <w:color w:val="0F1115"/>
          <w:spacing w:val="0"/>
          <w:sz w:val="24"/>
          <w:szCs w:val="24"/>
          <w:shd w:val="clear" w:fill="FFFFFF"/>
          <w:lang w:val="en-US" w:eastAsia="zh-CN"/>
        </w:rPr>
        <w:t>PPRS</w:t>
      </w:r>
      <w:r>
        <w:rPr>
          <w:rFonts w:hint="default" w:ascii="Times New Roman" w:hAnsi="Times New Roman" w:eastAsia="Segoe UI" w:cs="Times New Roman"/>
          <w:i w:val="0"/>
          <w:iCs w:val="0"/>
          <w:caps w:val="0"/>
          <w:color w:val="0F1115"/>
          <w:spacing w:val="0"/>
          <w:sz w:val="24"/>
          <w:szCs w:val="24"/>
          <w:shd w:val="clear" w:fill="FFFFFF"/>
        </w:rPr>
        <w:t xml:space="preserve"> developed by Major et al. (2018), which consists of 7 items. With permission from the original authors, five doctoral students in psychology translated the original English version into Chinese. The initial Chinese items were determined through group discussions. Subsequently, a postgraduate student specializing in English translation conducted back-translation. Discrepancies between the back-translated version and the original English version were discussed and revised. Finally, a professor of psychology reviewed the questionnaire, resulting in the finalized Chinese version of the initial scale items.</w:t>
      </w:r>
    </w:p>
    <w:p w14:paraId="0425C644">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Style w:val="7"/>
          <w:rFonts w:hint="default" w:ascii="Times New Roman" w:hAnsi="Times New Roman" w:eastAsia="Segoe UI" w:cs="Times New Roman"/>
          <w:b/>
          <w:bCs/>
          <w:i w:val="0"/>
          <w:iCs w:val="0"/>
          <w:caps w:val="0"/>
          <w:color w:val="0F1115"/>
          <w:spacing w:val="0"/>
          <w:sz w:val="24"/>
          <w:szCs w:val="24"/>
          <w:shd w:val="clear" w:fill="FFFFFF"/>
        </w:rPr>
      </w:pPr>
      <w:r>
        <w:rPr>
          <w:rStyle w:val="7"/>
          <w:rFonts w:hint="default" w:ascii="Times New Roman" w:hAnsi="Times New Roman" w:eastAsia="Segoe UI" w:cs="Times New Roman"/>
          <w:b/>
          <w:bCs/>
          <w:i w:val="0"/>
          <w:iCs w:val="0"/>
          <w:caps w:val="0"/>
          <w:color w:val="0F1115"/>
          <w:spacing w:val="0"/>
          <w:sz w:val="24"/>
          <w:szCs w:val="24"/>
          <w:shd w:val="clear" w:fill="FFFFFF"/>
        </w:rPr>
        <w:t>Item Analysis</w:t>
      </w:r>
    </w:p>
    <w:p w14:paraId="6A2A3240">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An extreme group comparison method was employed. Based on the total scores of perceived positive resonance in Sample 1, participants were ranked, with the top 27% classified as the high-score group and the bottom 27% as the low-score group. Independent samples t-tests were conducted to compare the scores of each item between the two groups. The results indicated that all items of the Chinese version of the scale showed significant differences between the high-score and low-score groups (see Table 1). Additionally, corrected item-total correlation analysis was performed. The results showed that the scores of all items in the Chinese version of the Perceived Positive Resonance Scale were significantly correlated with the total scale score. The correlation coefficients are presented in Table 1.</w:t>
      </w:r>
    </w:p>
    <w:p w14:paraId="3F56EA2B">
      <w:pPr>
        <w:spacing w:line="480" w:lineRule="auto"/>
        <w:jc w:val="left"/>
        <w:rPr>
          <w:rFonts w:hint="default" w:ascii="Times New Roman" w:hAnsi="Times New Roman" w:eastAsia="Segoe UI" w:cs="Times New Roman"/>
          <w:b/>
          <w:bCs/>
          <w:i w:val="0"/>
          <w:iCs w:val="0"/>
          <w:caps w:val="0"/>
          <w:color w:val="0F1115"/>
          <w:spacing w:val="0"/>
          <w:kern w:val="0"/>
          <w:sz w:val="20"/>
          <w:szCs w:val="20"/>
          <w:shd w:val="clear" w:fill="FFFFFF"/>
          <w:lang w:val="en-US" w:eastAsia="zh-CN" w:bidi="ar-SA"/>
        </w:rPr>
      </w:pPr>
      <w:r>
        <w:rPr>
          <w:rFonts w:hint="default" w:ascii="Times New Roman" w:hAnsi="Times New Roman" w:eastAsia="Segoe UI" w:cs="Times New Roman"/>
          <w:b/>
          <w:bCs/>
          <w:i w:val="0"/>
          <w:iCs w:val="0"/>
          <w:caps w:val="0"/>
          <w:color w:val="0F1115"/>
          <w:spacing w:val="0"/>
          <w:kern w:val="0"/>
          <w:sz w:val="20"/>
          <w:szCs w:val="20"/>
          <w:shd w:val="clear" w:fill="FFFFFF"/>
          <w:lang w:val="en-US" w:eastAsia="zh-CN" w:bidi="ar-SA"/>
        </w:rPr>
        <w:t xml:space="preserve">Table 1. </w:t>
      </w:r>
      <w:r>
        <w:rPr>
          <w:rFonts w:hint="default" w:ascii="Times New Roman" w:hAnsi="Times New Roman" w:eastAsia="Segoe UI" w:cs="Times New Roman"/>
          <w:b w:val="0"/>
          <w:bCs w:val="0"/>
          <w:i/>
          <w:iCs/>
          <w:caps w:val="0"/>
          <w:color w:val="0F1115"/>
          <w:spacing w:val="0"/>
          <w:kern w:val="0"/>
          <w:sz w:val="20"/>
          <w:szCs w:val="20"/>
          <w:shd w:val="clear" w:fill="FFFFFF"/>
          <w:lang w:val="en-US" w:eastAsia="zh-CN" w:bidi="ar-SA"/>
        </w:rPr>
        <w:t>Item Analysis Results of the Chinese Version of the Perceived Positive Resonance Scale for University Students (n=630)</w:t>
      </w:r>
    </w:p>
    <w:tbl>
      <w:tblPr>
        <w:tblStyle w:val="5"/>
        <w:tblW w:w="7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36"/>
        <w:gridCol w:w="2390"/>
        <w:gridCol w:w="2890"/>
      </w:tblGrid>
      <w:tr w14:paraId="4B570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jc w:val="center"/>
        </w:trPr>
        <w:tc>
          <w:tcPr>
            <w:tcW w:w="2336" w:type="dxa"/>
            <w:tcBorders>
              <w:top w:val="single" w:color="000000" w:sz="12" w:space="0"/>
              <w:bottom w:val="single" w:color="000000" w:sz="12" w:space="0"/>
            </w:tcBorders>
            <w:vAlign w:val="center"/>
          </w:tcPr>
          <w:p w14:paraId="32726C30">
            <w:pPr>
              <w:spacing w:line="360" w:lineRule="auto"/>
              <w:jc w:val="center"/>
              <w:rPr>
                <w:rFonts w:hint="default" w:ascii="Times New Roman" w:hAnsi="Times New Roman" w:cs="Times New Roman" w:eastAsiaTheme="majorEastAsia"/>
                <w:b/>
                <w:bCs/>
                <w:color w:val="auto"/>
                <w:sz w:val="20"/>
                <w:szCs w:val="20"/>
                <w:lang w:val="en-US" w:eastAsia="zh-CN"/>
              </w:rPr>
            </w:pPr>
            <w:r>
              <w:rPr>
                <w:rFonts w:hint="eastAsia" w:ascii="Times New Roman" w:hAnsi="Times New Roman" w:cs="Times New Roman" w:eastAsiaTheme="majorEastAsia"/>
                <w:b/>
                <w:bCs/>
                <w:color w:val="auto"/>
                <w:sz w:val="20"/>
                <w:szCs w:val="20"/>
                <w:lang w:val="en-US" w:eastAsia="zh-CN"/>
              </w:rPr>
              <w:t>Items</w:t>
            </w:r>
          </w:p>
        </w:tc>
        <w:tc>
          <w:tcPr>
            <w:tcW w:w="2390" w:type="dxa"/>
            <w:tcBorders>
              <w:top w:val="single" w:color="000000" w:sz="12" w:space="0"/>
              <w:bottom w:val="single" w:color="000000" w:sz="12" w:space="0"/>
            </w:tcBorders>
            <w:vAlign w:val="center"/>
          </w:tcPr>
          <w:p w14:paraId="11E7A705">
            <w:pPr>
              <w:spacing w:line="360" w:lineRule="auto"/>
              <w:jc w:val="center"/>
              <w:rPr>
                <w:rFonts w:hint="default" w:ascii="Times New Roman" w:hAnsi="Times New Roman" w:cs="Times New Roman" w:eastAsiaTheme="majorEastAsia"/>
                <w:b/>
                <w:bCs/>
                <w:color w:val="auto"/>
                <w:sz w:val="20"/>
                <w:szCs w:val="20"/>
              </w:rPr>
            </w:pPr>
            <w:r>
              <w:rPr>
                <w:rFonts w:hint="eastAsia" w:ascii="Times New Roman" w:hAnsi="Times New Roman" w:cs="Times New Roman" w:eastAsiaTheme="majorEastAsia"/>
                <w:b/>
                <w:bCs/>
                <w:color w:val="auto"/>
                <w:sz w:val="20"/>
                <w:szCs w:val="20"/>
                <w:lang w:val="en-US" w:eastAsia="zh-CN"/>
              </w:rPr>
              <w:t>Critical Ratio (CR)</w:t>
            </w:r>
          </w:p>
        </w:tc>
        <w:tc>
          <w:tcPr>
            <w:tcW w:w="2890" w:type="dxa"/>
            <w:tcBorders>
              <w:top w:val="single" w:color="000000" w:sz="12" w:space="0"/>
              <w:bottom w:val="single" w:color="000000" w:sz="12" w:space="0"/>
            </w:tcBorders>
            <w:vAlign w:val="center"/>
          </w:tcPr>
          <w:p w14:paraId="4AF4576A">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b/>
                <w:bCs/>
                <w:i/>
                <w:iCs/>
                <w:color w:val="auto"/>
                <w:sz w:val="20"/>
                <w:szCs w:val="20"/>
              </w:rPr>
              <w:t>r</w:t>
            </w:r>
          </w:p>
        </w:tc>
      </w:tr>
      <w:tr w14:paraId="63518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2336" w:type="dxa"/>
            <w:tcBorders>
              <w:top w:val="single" w:color="000000" w:sz="12" w:space="0"/>
            </w:tcBorders>
            <w:vAlign w:val="center"/>
          </w:tcPr>
          <w:p w14:paraId="0087EF20">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color w:val="auto"/>
                <w:sz w:val="20"/>
                <w:szCs w:val="20"/>
              </w:rPr>
              <w:t>1</w:t>
            </w:r>
          </w:p>
        </w:tc>
        <w:tc>
          <w:tcPr>
            <w:tcW w:w="2390" w:type="dxa"/>
            <w:tcBorders>
              <w:top w:val="single" w:color="000000" w:sz="12" w:space="0"/>
            </w:tcBorders>
            <w:vAlign w:val="center"/>
          </w:tcPr>
          <w:p w14:paraId="02D8306C">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color w:val="auto"/>
                <w:sz w:val="20"/>
                <w:szCs w:val="20"/>
              </w:rPr>
              <w:t>-34.983</w:t>
            </w:r>
            <w:r>
              <w:rPr>
                <w:rFonts w:hint="default" w:ascii="Times New Roman" w:hAnsi="Times New Roman" w:cs="Times New Roman" w:eastAsiaTheme="majorEastAsia"/>
                <w:color w:val="auto"/>
                <w:sz w:val="20"/>
                <w:szCs w:val="20"/>
                <w:vertAlign w:val="superscript"/>
              </w:rPr>
              <w:t>***</w:t>
            </w:r>
          </w:p>
        </w:tc>
        <w:tc>
          <w:tcPr>
            <w:tcW w:w="2890" w:type="dxa"/>
            <w:tcBorders>
              <w:top w:val="single" w:color="000000" w:sz="12" w:space="0"/>
            </w:tcBorders>
            <w:vAlign w:val="center"/>
          </w:tcPr>
          <w:p w14:paraId="28C8E085">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color w:val="auto"/>
                <w:sz w:val="20"/>
                <w:szCs w:val="20"/>
              </w:rPr>
              <w:t>0.867</w:t>
            </w:r>
            <w:r>
              <w:rPr>
                <w:rFonts w:hint="default" w:ascii="Times New Roman" w:hAnsi="Times New Roman" w:cs="Times New Roman" w:eastAsiaTheme="majorEastAsia"/>
                <w:color w:val="auto"/>
                <w:sz w:val="20"/>
                <w:szCs w:val="20"/>
                <w:vertAlign w:val="superscript"/>
              </w:rPr>
              <w:t>**</w:t>
            </w:r>
          </w:p>
        </w:tc>
      </w:tr>
      <w:tr w14:paraId="18486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jc w:val="center"/>
        </w:trPr>
        <w:tc>
          <w:tcPr>
            <w:tcW w:w="2336" w:type="dxa"/>
            <w:vAlign w:val="center"/>
          </w:tcPr>
          <w:p w14:paraId="481FB4D5">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2</w:t>
            </w:r>
          </w:p>
        </w:tc>
        <w:tc>
          <w:tcPr>
            <w:tcW w:w="2390" w:type="dxa"/>
            <w:vAlign w:val="center"/>
          </w:tcPr>
          <w:p w14:paraId="7D613EB2">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-36.437</w:t>
            </w:r>
            <w:r>
              <w:rPr>
                <w:rFonts w:hint="default" w:ascii="Times New Roman" w:hAnsi="Times New Roman" w:cs="Times New Roman" w:eastAsiaTheme="majorEastAsia"/>
                <w:color w:val="auto"/>
                <w:sz w:val="20"/>
                <w:szCs w:val="20"/>
                <w:vertAlign w:val="superscript"/>
              </w:rPr>
              <w:t>***</w:t>
            </w:r>
          </w:p>
        </w:tc>
        <w:tc>
          <w:tcPr>
            <w:tcW w:w="2890" w:type="dxa"/>
            <w:vAlign w:val="center"/>
          </w:tcPr>
          <w:p w14:paraId="21A81706">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0.895</w:t>
            </w:r>
            <w:r>
              <w:rPr>
                <w:rFonts w:hint="default" w:ascii="Times New Roman" w:hAnsi="Times New Roman" w:cs="Times New Roman" w:eastAsiaTheme="majorEastAsia"/>
                <w:color w:val="auto"/>
                <w:sz w:val="20"/>
                <w:szCs w:val="20"/>
                <w:vertAlign w:val="superscript"/>
              </w:rPr>
              <w:t>**</w:t>
            </w:r>
          </w:p>
        </w:tc>
      </w:tr>
      <w:tr w14:paraId="607D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2336" w:type="dxa"/>
            <w:vAlign w:val="center"/>
          </w:tcPr>
          <w:p w14:paraId="2A3BE53A">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3</w:t>
            </w:r>
          </w:p>
        </w:tc>
        <w:tc>
          <w:tcPr>
            <w:tcW w:w="2390" w:type="dxa"/>
            <w:vAlign w:val="center"/>
          </w:tcPr>
          <w:p w14:paraId="770B9EC0">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-41.391</w:t>
            </w:r>
            <w:r>
              <w:rPr>
                <w:rFonts w:hint="default" w:ascii="Times New Roman" w:hAnsi="Times New Roman" w:cs="Times New Roman" w:eastAsiaTheme="majorEastAsia"/>
                <w:color w:val="auto"/>
                <w:sz w:val="20"/>
                <w:szCs w:val="20"/>
                <w:vertAlign w:val="superscript"/>
              </w:rPr>
              <w:t>***</w:t>
            </w:r>
          </w:p>
        </w:tc>
        <w:tc>
          <w:tcPr>
            <w:tcW w:w="2890" w:type="dxa"/>
            <w:vAlign w:val="center"/>
          </w:tcPr>
          <w:p w14:paraId="74A432B3">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0.906</w:t>
            </w:r>
            <w:r>
              <w:rPr>
                <w:rFonts w:hint="default" w:ascii="Times New Roman" w:hAnsi="Times New Roman" w:cs="Times New Roman" w:eastAsiaTheme="majorEastAsia"/>
                <w:color w:val="auto"/>
                <w:sz w:val="20"/>
                <w:szCs w:val="20"/>
                <w:vertAlign w:val="superscript"/>
              </w:rPr>
              <w:t>**</w:t>
            </w:r>
          </w:p>
        </w:tc>
      </w:tr>
      <w:tr w14:paraId="6DC47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2336" w:type="dxa"/>
            <w:vAlign w:val="center"/>
          </w:tcPr>
          <w:p w14:paraId="2B0364FD">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4</w:t>
            </w:r>
          </w:p>
        </w:tc>
        <w:tc>
          <w:tcPr>
            <w:tcW w:w="2390" w:type="dxa"/>
            <w:vAlign w:val="center"/>
          </w:tcPr>
          <w:p w14:paraId="5AA58A2D">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-35.431</w:t>
            </w:r>
            <w:r>
              <w:rPr>
                <w:rFonts w:hint="default" w:ascii="Times New Roman" w:hAnsi="Times New Roman" w:cs="Times New Roman" w:eastAsiaTheme="majorEastAsia"/>
                <w:color w:val="auto"/>
                <w:sz w:val="20"/>
                <w:szCs w:val="20"/>
                <w:vertAlign w:val="superscript"/>
              </w:rPr>
              <w:t>***</w:t>
            </w:r>
          </w:p>
        </w:tc>
        <w:tc>
          <w:tcPr>
            <w:tcW w:w="2890" w:type="dxa"/>
            <w:vAlign w:val="center"/>
          </w:tcPr>
          <w:p w14:paraId="32A7FD63">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0.877</w:t>
            </w:r>
            <w:r>
              <w:rPr>
                <w:rFonts w:hint="default" w:ascii="Times New Roman" w:hAnsi="Times New Roman" w:cs="Times New Roman" w:eastAsiaTheme="majorEastAsia"/>
                <w:color w:val="auto"/>
                <w:sz w:val="20"/>
                <w:szCs w:val="20"/>
                <w:vertAlign w:val="superscript"/>
              </w:rPr>
              <w:t>**</w:t>
            </w:r>
          </w:p>
        </w:tc>
      </w:tr>
      <w:tr w14:paraId="695F9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2336" w:type="dxa"/>
            <w:vAlign w:val="center"/>
          </w:tcPr>
          <w:p w14:paraId="593EE4B3">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5</w:t>
            </w:r>
          </w:p>
        </w:tc>
        <w:tc>
          <w:tcPr>
            <w:tcW w:w="2390" w:type="dxa"/>
            <w:vAlign w:val="center"/>
          </w:tcPr>
          <w:p w14:paraId="58732955">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-39.077</w:t>
            </w:r>
            <w:r>
              <w:rPr>
                <w:rFonts w:hint="default" w:ascii="Times New Roman" w:hAnsi="Times New Roman" w:cs="Times New Roman" w:eastAsiaTheme="majorEastAsia"/>
                <w:color w:val="auto"/>
                <w:sz w:val="20"/>
                <w:szCs w:val="20"/>
                <w:vertAlign w:val="superscript"/>
              </w:rPr>
              <w:t>***</w:t>
            </w:r>
          </w:p>
        </w:tc>
        <w:tc>
          <w:tcPr>
            <w:tcW w:w="2890" w:type="dxa"/>
            <w:vAlign w:val="center"/>
          </w:tcPr>
          <w:p w14:paraId="0E5045CF">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0.901</w:t>
            </w:r>
            <w:r>
              <w:rPr>
                <w:rFonts w:hint="default" w:ascii="Times New Roman" w:hAnsi="Times New Roman" w:cs="Times New Roman" w:eastAsiaTheme="majorEastAsia"/>
                <w:color w:val="auto"/>
                <w:sz w:val="20"/>
                <w:szCs w:val="20"/>
                <w:vertAlign w:val="superscript"/>
              </w:rPr>
              <w:t>**</w:t>
            </w:r>
          </w:p>
        </w:tc>
      </w:tr>
      <w:tr w14:paraId="0559A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2336" w:type="dxa"/>
            <w:vAlign w:val="center"/>
          </w:tcPr>
          <w:p w14:paraId="048D58EB">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6</w:t>
            </w:r>
          </w:p>
        </w:tc>
        <w:tc>
          <w:tcPr>
            <w:tcW w:w="2390" w:type="dxa"/>
            <w:vAlign w:val="center"/>
          </w:tcPr>
          <w:p w14:paraId="11A0735A">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-44.280</w:t>
            </w:r>
            <w:r>
              <w:rPr>
                <w:rFonts w:hint="default" w:ascii="Times New Roman" w:hAnsi="Times New Roman" w:cs="Times New Roman" w:eastAsiaTheme="majorEastAsia"/>
                <w:color w:val="auto"/>
                <w:sz w:val="20"/>
                <w:szCs w:val="20"/>
                <w:vertAlign w:val="superscript"/>
              </w:rPr>
              <w:t>***</w:t>
            </w:r>
          </w:p>
        </w:tc>
        <w:tc>
          <w:tcPr>
            <w:tcW w:w="2890" w:type="dxa"/>
            <w:vAlign w:val="center"/>
          </w:tcPr>
          <w:p w14:paraId="3FB37F88">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0.907</w:t>
            </w:r>
            <w:r>
              <w:rPr>
                <w:rFonts w:hint="default" w:ascii="Times New Roman" w:hAnsi="Times New Roman" w:cs="Times New Roman" w:eastAsiaTheme="majorEastAsia"/>
                <w:color w:val="auto"/>
                <w:sz w:val="20"/>
                <w:szCs w:val="20"/>
                <w:vertAlign w:val="superscript"/>
              </w:rPr>
              <w:t>**</w:t>
            </w:r>
          </w:p>
        </w:tc>
      </w:tr>
      <w:tr w14:paraId="60E3F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2336" w:type="dxa"/>
            <w:tcBorders>
              <w:bottom w:val="single" w:color="000000" w:sz="12" w:space="0"/>
            </w:tcBorders>
            <w:vAlign w:val="center"/>
          </w:tcPr>
          <w:p w14:paraId="215E24D9">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7</w:t>
            </w:r>
          </w:p>
        </w:tc>
        <w:tc>
          <w:tcPr>
            <w:tcW w:w="2390" w:type="dxa"/>
            <w:tcBorders>
              <w:bottom w:val="single" w:color="000000" w:sz="12" w:space="0"/>
            </w:tcBorders>
            <w:vAlign w:val="center"/>
          </w:tcPr>
          <w:p w14:paraId="00EF98CE">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-38.579</w:t>
            </w:r>
            <w:r>
              <w:rPr>
                <w:rFonts w:hint="default" w:ascii="Times New Roman" w:hAnsi="Times New Roman" w:cs="Times New Roman" w:eastAsiaTheme="majorEastAsia"/>
                <w:color w:val="auto"/>
                <w:sz w:val="20"/>
                <w:szCs w:val="20"/>
                <w:vertAlign w:val="superscript"/>
              </w:rPr>
              <w:t>***</w:t>
            </w:r>
          </w:p>
        </w:tc>
        <w:tc>
          <w:tcPr>
            <w:tcW w:w="2890" w:type="dxa"/>
            <w:tcBorders>
              <w:bottom w:val="single" w:color="000000" w:sz="12" w:space="0"/>
            </w:tcBorders>
            <w:vAlign w:val="center"/>
          </w:tcPr>
          <w:p w14:paraId="257E0452">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0.912</w:t>
            </w:r>
            <w:r>
              <w:rPr>
                <w:rFonts w:hint="default" w:ascii="Times New Roman" w:hAnsi="Times New Roman" w:cs="Times New Roman" w:eastAsiaTheme="majorEastAsia"/>
                <w:color w:val="auto"/>
                <w:sz w:val="20"/>
                <w:szCs w:val="20"/>
                <w:vertAlign w:val="superscript"/>
              </w:rPr>
              <w:t>**</w:t>
            </w:r>
          </w:p>
        </w:tc>
      </w:tr>
    </w:tbl>
    <w:p w14:paraId="386DF6E8">
      <w:pPr>
        <w:widowControl/>
        <w:numPr>
          <w:ilvl w:val="0"/>
          <w:numId w:val="0"/>
        </w:numPr>
        <w:spacing w:line="480" w:lineRule="auto"/>
        <w:ind w:firstLine="320" w:firstLineChars="200"/>
        <w:rPr>
          <w:rFonts w:hint="default" w:ascii="Times New Roman" w:hAnsi="Times New Roman" w:cs="Times New Roman"/>
          <w:b w:val="0"/>
          <w:bCs w:val="0"/>
          <w:i/>
          <w:iCs/>
          <w:color w:val="auto"/>
          <w:kern w:val="2"/>
          <w:sz w:val="16"/>
          <w:szCs w:val="16"/>
          <w:highlight w:val="none"/>
          <w:lang w:val="en-US" w:eastAsia="zh-CN" w:bidi="ar-SA"/>
        </w:rPr>
      </w:pPr>
      <w:r>
        <w:rPr>
          <w:rFonts w:hint="eastAsia" w:ascii="Times New Roman" w:hAnsi="Times New Roman" w:cs="Times New Roman"/>
          <w:b w:val="0"/>
          <w:bCs w:val="0"/>
          <w:i/>
          <w:iCs/>
          <w:color w:val="auto"/>
          <w:kern w:val="2"/>
          <w:sz w:val="16"/>
          <w:szCs w:val="16"/>
          <w:highlight w:val="none"/>
          <w:lang w:val="en-US" w:eastAsia="zh-CN" w:bidi="ar-SA"/>
        </w:rPr>
        <w:t>Note. *&lt;0.05，**P&lt;0.01，***P&lt;0.001.</w:t>
      </w:r>
    </w:p>
    <w:p w14:paraId="664F0519">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Style w:val="7"/>
          <w:rFonts w:hint="default" w:ascii="Times New Roman" w:hAnsi="Times New Roman" w:eastAsia="Segoe UI" w:cs="Times New Roman"/>
          <w:b/>
          <w:bCs/>
          <w:i w:val="0"/>
          <w:iCs w:val="0"/>
          <w:caps w:val="0"/>
          <w:color w:val="0F1115"/>
          <w:spacing w:val="0"/>
          <w:sz w:val="24"/>
          <w:szCs w:val="24"/>
          <w:shd w:val="clear" w:fill="FFFFFF"/>
        </w:rPr>
      </w:pPr>
      <w:r>
        <w:rPr>
          <w:rStyle w:val="7"/>
          <w:rFonts w:hint="default" w:ascii="Times New Roman" w:hAnsi="Times New Roman" w:eastAsia="Segoe UI" w:cs="Times New Roman"/>
          <w:b/>
          <w:bCs/>
          <w:i w:val="0"/>
          <w:iCs w:val="0"/>
          <w:caps w:val="0"/>
          <w:color w:val="0F1115"/>
          <w:spacing w:val="0"/>
          <w:sz w:val="24"/>
          <w:szCs w:val="24"/>
          <w:shd w:val="clear" w:fill="FFFFFF"/>
        </w:rPr>
        <w:t>Validity Testing</w:t>
      </w:r>
    </w:p>
    <w:p w14:paraId="769AC6AB">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b/>
          <w:bCs/>
          <w:i w:val="0"/>
          <w:iCs w:val="0"/>
          <w:caps w:val="0"/>
          <w:color w:val="0F1115"/>
          <w:spacing w:val="0"/>
          <w:sz w:val="24"/>
          <w:szCs w:val="24"/>
          <w:shd w:val="clear" w:fill="FFFFFF"/>
        </w:rPr>
      </w:pPr>
      <w:r>
        <w:rPr>
          <w:rFonts w:hint="default" w:ascii="Times New Roman" w:hAnsi="Times New Roman" w:eastAsia="Segoe UI" w:cs="Times New Roman"/>
          <w:b/>
          <w:bCs/>
          <w:i w:val="0"/>
          <w:iCs w:val="0"/>
          <w:caps w:val="0"/>
          <w:color w:val="0F1115"/>
          <w:spacing w:val="0"/>
          <w:sz w:val="24"/>
          <w:szCs w:val="24"/>
          <w:shd w:val="clear" w:fill="FFFFFF"/>
        </w:rPr>
        <w:t>Structural Validity</w:t>
      </w:r>
    </w:p>
    <w:p w14:paraId="58D31B1C">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b/>
          <w:bCs/>
          <w:i w:val="0"/>
          <w:iCs w:val="0"/>
          <w:caps w:val="0"/>
          <w:color w:val="0F1115"/>
          <w:spacing w:val="0"/>
          <w:sz w:val="24"/>
          <w:szCs w:val="24"/>
          <w:shd w:val="clear" w:fill="FFFFFF"/>
        </w:rPr>
        <w:t xml:space="preserve">Exploratory Factor Analysis (EFA). </w:t>
      </w:r>
      <w:r>
        <w:rPr>
          <w:rFonts w:hint="default" w:ascii="Times New Roman" w:hAnsi="Times New Roman" w:eastAsia="Segoe UI" w:cs="Times New Roman"/>
          <w:i w:val="0"/>
          <w:iCs w:val="0"/>
          <w:caps w:val="0"/>
          <w:color w:val="0F1115"/>
          <w:spacing w:val="0"/>
          <w:sz w:val="24"/>
          <w:szCs w:val="24"/>
          <w:shd w:val="clear" w:fill="FFFFFF"/>
        </w:rPr>
        <w:t>An exploratory factor analysis was conducted using data from Sample 1. The results showed that the Kaiser-Meyer-Olkin (KMO) measure of sampling adequacy was 0.946, and Bartlett</w:t>
      </w:r>
      <w:r>
        <w:rPr>
          <w:rFonts w:hint="default" w:ascii="Times New Roman" w:hAnsi="Times New Roman" w:eastAsia="宋体" w:cs="Times New Roman"/>
          <w:i w:val="0"/>
          <w:iCs w:val="0"/>
          <w:caps w:val="0"/>
          <w:color w:val="0F1115"/>
          <w:spacing w:val="0"/>
          <w:sz w:val="24"/>
          <w:szCs w:val="24"/>
          <w:shd w:val="clear" w:fill="FFFFFF"/>
          <w:lang w:val="en-US" w:eastAsia="zh-CN"/>
        </w:rPr>
        <w:t>’</w:t>
      </w:r>
      <w:r>
        <w:rPr>
          <w:rFonts w:hint="default" w:ascii="Times New Roman" w:hAnsi="Times New Roman" w:eastAsia="Segoe UI" w:cs="Times New Roman"/>
          <w:i w:val="0"/>
          <w:iCs w:val="0"/>
          <w:caps w:val="0"/>
          <w:color w:val="0F1115"/>
          <w:spacing w:val="0"/>
          <w:sz w:val="24"/>
          <w:szCs w:val="24"/>
          <w:shd w:val="clear" w:fill="FFFFFF"/>
        </w:rPr>
        <w:t xml:space="preserve">s test of sphericity was significant (χ² = 4542.694, </w:t>
      </w:r>
      <w:r>
        <w:rPr>
          <w:rFonts w:hint="default" w:ascii="Times New Roman" w:hAnsi="Times New Roman" w:eastAsia="Segoe UI" w:cs="Times New Roman"/>
          <w:i/>
          <w:iCs/>
          <w:caps w:val="0"/>
          <w:color w:val="0F1115"/>
          <w:spacing w:val="0"/>
          <w:sz w:val="24"/>
          <w:szCs w:val="24"/>
          <w:shd w:val="clear" w:fill="FFFFFF"/>
        </w:rPr>
        <w:t>p</w:t>
      </w:r>
      <w:r>
        <w:rPr>
          <w:rFonts w:hint="default" w:ascii="Times New Roman" w:hAnsi="Times New Roman" w:eastAsia="Segoe UI" w:cs="Times New Roman"/>
          <w:i w:val="0"/>
          <w:iCs w:val="0"/>
          <w:caps w:val="0"/>
          <w:color w:val="0F1115"/>
          <w:spacing w:val="0"/>
          <w:sz w:val="24"/>
          <w:szCs w:val="24"/>
          <w:shd w:val="clear" w:fill="FFFFFF"/>
        </w:rPr>
        <w:t xml:space="preserve"> &lt; </w:t>
      </w:r>
      <w:r>
        <w:rPr>
          <w:rFonts w:hint="eastAsia" w:ascii="Times New Roman" w:hAnsi="Times New Roman" w:eastAsia="宋体" w:cs="Times New Roman"/>
          <w:i w:val="0"/>
          <w:iCs w:val="0"/>
          <w:caps w:val="0"/>
          <w:color w:val="0F1115"/>
          <w:spacing w:val="0"/>
          <w:sz w:val="24"/>
          <w:szCs w:val="24"/>
          <w:shd w:val="clear" w:fill="FFFFFF"/>
          <w:lang w:val="en-US" w:eastAsia="zh-CN"/>
        </w:rPr>
        <w:t>0</w:t>
      </w:r>
      <w:r>
        <w:rPr>
          <w:rFonts w:hint="default" w:ascii="Times New Roman" w:hAnsi="Times New Roman" w:eastAsia="Segoe UI" w:cs="Times New Roman"/>
          <w:i w:val="0"/>
          <w:iCs w:val="0"/>
          <w:caps w:val="0"/>
          <w:color w:val="0F1115"/>
          <w:spacing w:val="0"/>
          <w:sz w:val="24"/>
          <w:szCs w:val="24"/>
          <w:shd w:val="clear" w:fill="FFFFFF"/>
        </w:rPr>
        <w:t>.0</w:t>
      </w:r>
      <w:r>
        <w:rPr>
          <w:rFonts w:hint="eastAsia" w:ascii="Times New Roman" w:hAnsi="Times New Roman" w:eastAsia="宋体" w:cs="Times New Roman"/>
          <w:i w:val="0"/>
          <w:iCs w:val="0"/>
          <w:caps w:val="0"/>
          <w:color w:val="0F1115"/>
          <w:spacing w:val="0"/>
          <w:sz w:val="24"/>
          <w:szCs w:val="24"/>
          <w:shd w:val="clear" w:fill="FFFFFF"/>
          <w:lang w:val="en-US" w:eastAsia="zh-CN"/>
        </w:rPr>
        <w:t>5</w:t>
      </w:r>
      <w:r>
        <w:rPr>
          <w:rFonts w:hint="default" w:ascii="Times New Roman" w:hAnsi="Times New Roman" w:eastAsia="Segoe UI" w:cs="Times New Roman"/>
          <w:i w:val="0"/>
          <w:iCs w:val="0"/>
          <w:caps w:val="0"/>
          <w:color w:val="0F1115"/>
          <w:spacing w:val="0"/>
          <w:sz w:val="24"/>
          <w:szCs w:val="24"/>
          <w:shd w:val="clear" w:fill="FFFFFF"/>
        </w:rPr>
        <w:t>), indicating that the data were suitable for EFA.</w:t>
      </w:r>
    </w:p>
    <w:p w14:paraId="41526AC4">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leftChars="0" w:right="0" w:rightChars="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Factor rotation was performed using the principal component analysis method with Varimax rotation. The analysis revealed one factor with an initial eigenvalue greater than 1, which cumulatively explained 80.149% of the total variance. The factor loadings for all items were above 0.8. For details, please refer to Table</w:t>
      </w:r>
      <w:r>
        <w:rPr>
          <w:rFonts w:hint="eastAsia" w:ascii="Times New Roman" w:hAnsi="Times New Roman" w:eastAsia="宋体" w:cs="Times New Roman"/>
          <w:i w:val="0"/>
          <w:iCs w:val="0"/>
          <w:caps w:val="0"/>
          <w:color w:val="0F1115"/>
          <w:spacing w:val="0"/>
          <w:sz w:val="24"/>
          <w:szCs w:val="24"/>
          <w:shd w:val="clear" w:fill="FFFFFF"/>
          <w:lang w:val="en-US" w:eastAsia="zh-CN"/>
        </w:rPr>
        <w:t xml:space="preserve"> 2</w:t>
      </w:r>
      <w:r>
        <w:rPr>
          <w:rFonts w:hint="default" w:ascii="Times New Roman" w:hAnsi="Times New Roman" w:eastAsia="Segoe UI" w:cs="Times New Roman"/>
          <w:i w:val="0"/>
          <w:iCs w:val="0"/>
          <w:caps w:val="0"/>
          <w:color w:val="0F1115"/>
          <w:spacing w:val="0"/>
          <w:sz w:val="24"/>
          <w:szCs w:val="24"/>
          <w:shd w:val="clear" w:fill="FFFFFF"/>
        </w:rPr>
        <w:t>.</w:t>
      </w:r>
    </w:p>
    <w:p w14:paraId="0D295D36">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leftChars="0" w:right="0" w:rightChars="0" w:firstLine="400" w:firstLineChars="200"/>
        <w:jc w:val="both"/>
        <w:textAlignment w:val="auto"/>
        <w:rPr>
          <w:rFonts w:hint="default" w:ascii="Times New Roman" w:hAnsi="Times New Roman" w:eastAsia="Segoe UI" w:cs="Times New Roman"/>
          <w:b w:val="0"/>
          <w:bCs w:val="0"/>
          <w:i/>
          <w:iCs/>
          <w:caps w:val="0"/>
          <w:color w:val="0F1115"/>
          <w:spacing w:val="0"/>
          <w:sz w:val="20"/>
          <w:szCs w:val="20"/>
          <w:shd w:val="clear" w:fill="FFFFFF"/>
        </w:rPr>
      </w:pPr>
      <w:r>
        <w:rPr>
          <w:rFonts w:hint="default" w:ascii="Times New Roman" w:hAnsi="Times New Roman" w:eastAsia="Segoe UI" w:cs="Times New Roman"/>
          <w:b/>
          <w:bCs/>
          <w:i w:val="0"/>
          <w:iCs w:val="0"/>
          <w:caps w:val="0"/>
          <w:color w:val="0F1115"/>
          <w:spacing w:val="0"/>
          <w:sz w:val="20"/>
          <w:szCs w:val="20"/>
          <w:shd w:val="clear" w:fill="FFFFFF"/>
        </w:rPr>
        <w:t xml:space="preserve">Table </w:t>
      </w:r>
      <w:r>
        <w:rPr>
          <w:rFonts w:hint="eastAsia" w:ascii="Times New Roman" w:hAnsi="Times New Roman" w:eastAsia="宋体" w:cs="Times New Roman"/>
          <w:b/>
          <w:bCs/>
          <w:i w:val="0"/>
          <w:iCs w:val="0"/>
          <w:caps w:val="0"/>
          <w:color w:val="0F1115"/>
          <w:spacing w:val="0"/>
          <w:sz w:val="20"/>
          <w:szCs w:val="20"/>
          <w:shd w:val="clear" w:fill="FFFFFF"/>
          <w:lang w:val="en-US" w:eastAsia="zh-CN"/>
        </w:rPr>
        <w:t>2</w:t>
      </w:r>
      <w:r>
        <w:rPr>
          <w:rFonts w:hint="default" w:ascii="Times New Roman" w:hAnsi="Times New Roman" w:eastAsia="Segoe UI" w:cs="Times New Roman"/>
          <w:b/>
          <w:bCs/>
          <w:i w:val="0"/>
          <w:iCs w:val="0"/>
          <w:caps w:val="0"/>
          <w:color w:val="0F1115"/>
          <w:spacing w:val="0"/>
          <w:sz w:val="20"/>
          <w:szCs w:val="20"/>
          <w:shd w:val="clear" w:fill="FFFFFF"/>
        </w:rPr>
        <w:t xml:space="preserve">. </w:t>
      </w:r>
      <w:r>
        <w:rPr>
          <w:rFonts w:hint="default" w:ascii="Times New Roman" w:hAnsi="Times New Roman" w:eastAsia="Segoe UI" w:cs="Times New Roman"/>
          <w:b w:val="0"/>
          <w:bCs w:val="0"/>
          <w:i/>
          <w:iCs/>
          <w:caps w:val="0"/>
          <w:color w:val="0F1115"/>
          <w:spacing w:val="0"/>
          <w:sz w:val="20"/>
          <w:szCs w:val="20"/>
          <w:shd w:val="clear" w:fill="FFFFFF"/>
        </w:rPr>
        <w:t xml:space="preserve">Factor Loadings for the Chinese Version of the </w:t>
      </w:r>
      <w:r>
        <w:rPr>
          <w:rFonts w:hint="eastAsia" w:ascii="Times New Roman" w:hAnsi="Times New Roman" w:eastAsia="宋体" w:cs="Times New Roman"/>
          <w:b w:val="0"/>
          <w:bCs w:val="0"/>
          <w:i/>
          <w:iCs/>
          <w:caps w:val="0"/>
          <w:color w:val="0F1115"/>
          <w:spacing w:val="0"/>
          <w:sz w:val="20"/>
          <w:szCs w:val="20"/>
          <w:shd w:val="clear" w:fill="FFFFFF"/>
          <w:lang w:val="en-US" w:eastAsia="zh-CN"/>
        </w:rPr>
        <w:t>PPRS</w:t>
      </w:r>
      <w:r>
        <w:rPr>
          <w:rFonts w:hint="default" w:ascii="Times New Roman" w:hAnsi="Times New Roman" w:eastAsia="Segoe UI" w:cs="Times New Roman"/>
          <w:b w:val="0"/>
          <w:bCs w:val="0"/>
          <w:i/>
          <w:iCs/>
          <w:caps w:val="0"/>
          <w:color w:val="0F1115"/>
          <w:spacing w:val="0"/>
          <w:sz w:val="20"/>
          <w:szCs w:val="20"/>
          <w:shd w:val="clear" w:fill="FFFFFF"/>
        </w:rPr>
        <w:t xml:space="preserve"> (n=630)</w:t>
      </w:r>
    </w:p>
    <w:tbl>
      <w:tblPr>
        <w:tblStyle w:val="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60"/>
        <w:gridCol w:w="5948"/>
      </w:tblGrid>
      <w:tr w14:paraId="032BB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5000" w:type="pct"/>
            <w:gridSpan w:val="2"/>
            <w:tcBorders>
              <w:top w:val="single" w:color="000000" w:sz="12" w:space="0"/>
              <w:bottom w:val="single" w:color="000000" w:sz="12" w:space="0"/>
            </w:tcBorders>
            <w:vAlign w:val="center"/>
          </w:tcPr>
          <w:p w14:paraId="36457A41">
            <w:pPr>
              <w:spacing w:line="360" w:lineRule="auto"/>
              <w:jc w:val="center"/>
              <w:rPr>
                <w:rFonts w:hint="default" w:ascii="Times New Roman" w:hAnsi="Times New Roman" w:cs="Times New Roman" w:eastAsiaTheme="majorEastAsia"/>
                <w:b/>
                <w:bCs/>
                <w:color w:val="auto"/>
                <w:sz w:val="20"/>
                <w:szCs w:val="20"/>
                <w:lang w:val="en-US" w:eastAsia="zh-CN"/>
              </w:rPr>
            </w:pPr>
            <w:r>
              <w:rPr>
                <w:rFonts w:hint="eastAsia" w:ascii="Times New Roman" w:hAnsi="Times New Roman" w:cs="Times New Roman" w:eastAsiaTheme="majorEastAsia"/>
                <w:b/>
                <w:bCs/>
                <w:color w:val="auto"/>
                <w:sz w:val="20"/>
                <w:szCs w:val="20"/>
                <w:lang w:val="en-US" w:eastAsia="zh-CN"/>
              </w:rPr>
              <w:t>Factors</w:t>
            </w:r>
          </w:p>
        </w:tc>
      </w:tr>
      <w:tr w14:paraId="72EE8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545" w:type="pct"/>
            <w:tcBorders>
              <w:top w:val="single" w:color="000000" w:sz="12" w:space="0"/>
            </w:tcBorders>
            <w:vAlign w:val="center"/>
          </w:tcPr>
          <w:p w14:paraId="4DCD025D">
            <w:pPr>
              <w:spacing w:line="360" w:lineRule="auto"/>
              <w:jc w:val="center"/>
              <w:rPr>
                <w:rFonts w:hint="default" w:ascii="Times New Roman" w:hAnsi="Times New Roman" w:cs="Times New Roman" w:eastAsiaTheme="majorEastAsia"/>
                <w:b/>
                <w:bCs/>
                <w:color w:val="auto"/>
                <w:sz w:val="20"/>
                <w:szCs w:val="20"/>
                <w:lang w:val="en-US" w:eastAsia="zh-CN"/>
              </w:rPr>
            </w:pPr>
            <w:r>
              <w:rPr>
                <w:rFonts w:hint="eastAsia" w:ascii="Times New Roman" w:hAnsi="Times New Roman" w:cs="Times New Roman" w:eastAsiaTheme="majorEastAsia"/>
                <w:b/>
                <w:bCs/>
                <w:color w:val="auto"/>
                <w:sz w:val="20"/>
                <w:szCs w:val="20"/>
                <w:lang w:val="en-US" w:eastAsia="zh-CN"/>
              </w:rPr>
              <w:t>Items</w:t>
            </w:r>
          </w:p>
        </w:tc>
        <w:tc>
          <w:tcPr>
            <w:tcW w:w="3454" w:type="pct"/>
            <w:tcBorders>
              <w:top w:val="single" w:color="000000" w:sz="12" w:space="0"/>
            </w:tcBorders>
            <w:vAlign w:val="center"/>
          </w:tcPr>
          <w:p w14:paraId="2E90843F">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eastAsia="Segoe UI" w:cs="Times New Roman"/>
                <w:b/>
                <w:bCs/>
                <w:i w:val="0"/>
                <w:iCs w:val="0"/>
                <w:caps w:val="0"/>
                <w:color w:val="0F1115"/>
                <w:spacing w:val="0"/>
                <w:sz w:val="20"/>
                <w:szCs w:val="20"/>
                <w:shd w:val="clear" w:fill="FFFFFF"/>
              </w:rPr>
              <w:t>Factor Loadings</w:t>
            </w:r>
          </w:p>
        </w:tc>
      </w:tr>
      <w:tr w14:paraId="5ECE8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545" w:type="pct"/>
            <w:vAlign w:val="center"/>
          </w:tcPr>
          <w:p w14:paraId="65A8D57D">
            <w:pPr>
              <w:spacing w:line="360" w:lineRule="auto"/>
              <w:jc w:val="center"/>
              <w:rPr>
                <w:rFonts w:hint="default" w:ascii="Times New Roman" w:hAnsi="Times New Roman" w:cs="Times New Roman" w:eastAsiaTheme="majorEastAsia"/>
                <w:color w:val="auto"/>
                <w:sz w:val="20"/>
                <w:szCs w:val="20"/>
                <w:lang w:val="en-US" w:eastAsia="zh-CN"/>
              </w:rPr>
            </w:pPr>
            <w:r>
              <w:rPr>
                <w:rFonts w:hint="default" w:ascii="Times New Roman" w:hAnsi="Times New Roman" w:cs="Times New Roman" w:eastAsiaTheme="majorEastAsia"/>
                <w:color w:val="auto"/>
                <w:sz w:val="20"/>
                <w:szCs w:val="20"/>
                <w:lang w:val="en-US" w:eastAsia="zh-CN"/>
              </w:rPr>
              <w:t>A1</w:t>
            </w:r>
          </w:p>
        </w:tc>
        <w:tc>
          <w:tcPr>
            <w:tcW w:w="3454" w:type="pct"/>
            <w:vAlign w:val="center"/>
          </w:tcPr>
          <w:p w14:paraId="25619FEE">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0.867</w:t>
            </w:r>
          </w:p>
        </w:tc>
      </w:tr>
      <w:tr w14:paraId="7776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545" w:type="pct"/>
            <w:vAlign w:val="center"/>
          </w:tcPr>
          <w:p w14:paraId="4057166C">
            <w:pPr>
              <w:spacing w:line="360" w:lineRule="auto"/>
              <w:jc w:val="center"/>
              <w:rPr>
                <w:rFonts w:hint="default" w:ascii="Times New Roman" w:hAnsi="Times New Roman" w:cs="Times New Roman" w:eastAsiaTheme="majorEastAsia"/>
                <w:color w:val="auto"/>
                <w:sz w:val="20"/>
                <w:szCs w:val="20"/>
                <w:lang w:val="en-US" w:eastAsia="zh-CN"/>
              </w:rPr>
            </w:pPr>
            <w:r>
              <w:rPr>
                <w:rFonts w:hint="default" w:ascii="Times New Roman" w:hAnsi="Times New Roman" w:cs="Times New Roman" w:eastAsiaTheme="majorEastAsia"/>
                <w:color w:val="auto"/>
                <w:sz w:val="20"/>
                <w:szCs w:val="20"/>
                <w:lang w:val="en-US" w:eastAsia="zh-CN"/>
              </w:rPr>
              <w:t>A2</w:t>
            </w:r>
          </w:p>
        </w:tc>
        <w:tc>
          <w:tcPr>
            <w:tcW w:w="3454" w:type="pct"/>
            <w:vAlign w:val="center"/>
          </w:tcPr>
          <w:p w14:paraId="22A507AF">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0.897</w:t>
            </w:r>
          </w:p>
        </w:tc>
      </w:tr>
      <w:tr w14:paraId="3CB9E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545" w:type="pct"/>
            <w:vAlign w:val="center"/>
          </w:tcPr>
          <w:p w14:paraId="127AC843">
            <w:pPr>
              <w:spacing w:line="360" w:lineRule="auto"/>
              <w:jc w:val="center"/>
              <w:rPr>
                <w:rFonts w:hint="default" w:ascii="Times New Roman" w:hAnsi="Times New Roman" w:cs="Times New Roman" w:eastAsiaTheme="majorEastAsia"/>
                <w:color w:val="auto"/>
                <w:sz w:val="20"/>
                <w:szCs w:val="20"/>
                <w:lang w:val="en-US" w:eastAsia="zh-CN"/>
              </w:rPr>
            </w:pPr>
            <w:r>
              <w:rPr>
                <w:rFonts w:hint="default" w:ascii="Times New Roman" w:hAnsi="Times New Roman" w:cs="Times New Roman" w:eastAsiaTheme="majorEastAsia"/>
                <w:color w:val="auto"/>
                <w:sz w:val="20"/>
                <w:szCs w:val="20"/>
                <w:lang w:val="en-US" w:eastAsia="zh-CN"/>
              </w:rPr>
              <w:t>A3</w:t>
            </w:r>
          </w:p>
        </w:tc>
        <w:tc>
          <w:tcPr>
            <w:tcW w:w="3454" w:type="pct"/>
            <w:vAlign w:val="center"/>
          </w:tcPr>
          <w:p w14:paraId="2CDC5365">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0.907</w:t>
            </w:r>
          </w:p>
        </w:tc>
      </w:tr>
      <w:tr w14:paraId="7BC2E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545" w:type="pct"/>
            <w:vAlign w:val="center"/>
          </w:tcPr>
          <w:p w14:paraId="53DAB86D">
            <w:pPr>
              <w:spacing w:line="360" w:lineRule="auto"/>
              <w:jc w:val="center"/>
              <w:rPr>
                <w:rFonts w:hint="default" w:ascii="Times New Roman" w:hAnsi="Times New Roman" w:cs="Times New Roman" w:eastAsiaTheme="majorEastAsia"/>
                <w:color w:val="auto"/>
                <w:sz w:val="20"/>
                <w:szCs w:val="20"/>
                <w:lang w:val="en-US" w:eastAsia="zh-CN"/>
              </w:rPr>
            </w:pPr>
            <w:r>
              <w:rPr>
                <w:rFonts w:hint="default" w:ascii="Times New Roman" w:hAnsi="Times New Roman" w:cs="Times New Roman" w:eastAsiaTheme="majorEastAsia"/>
                <w:color w:val="auto"/>
                <w:sz w:val="20"/>
                <w:szCs w:val="20"/>
                <w:lang w:val="en-US" w:eastAsia="zh-CN"/>
              </w:rPr>
              <w:t>A4</w:t>
            </w:r>
          </w:p>
        </w:tc>
        <w:tc>
          <w:tcPr>
            <w:tcW w:w="3454" w:type="pct"/>
            <w:vAlign w:val="center"/>
          </w:tcPr>
          <w:p w14:paraId="7365255A">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0.875</w:t>
            </w:r>
          </w:p>
        </w:tc>
      </w:tr>
      <w:tr w14:paraId="10513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545" w:type="pct"/>
            <w:vAlign w:val="center"/>
          </w:tcPr>
          <w:p w14:paraId="41B01198">
            <w:pPr>
              <w:spacing w:line="360" w:lineRule="auto"/>
              <w:jc w:val="center"/>
              <w:rPr>
                <w:rFonts w:hint="default" w:ascii="Times New Roman" w:hAnsi="Times New Roman" w:cs="Times New Roman" w:eastAsiaTheme="majorEastAsia"/>
                <w:color w:val="auto"/>
                <w:sz w:val="20"/>
                <w:szCs w:val="20"/>
                <w:lang w:val="en-US" w:eastAsia="zh-CN"/>
              </w:rPr>
            </w:pPr>
            <w:r>
              <w:rPr>
                <w:rFonts w:hint="default" w:ascii="Times New Roman" w:hAnsi="Times New Roman" w:cs="Times New Roman" w:eastAsiaTheme="majorEastAsia"/>
                <w:color w:val="auto"/>
                <w:sz w:val="20"/>
                <w:szCs w:val="20"/>
                <w:lang w:val="en-US" w:eastAsia="zh-CN"/>
              </w:rPr>
              <w:t>A5</w:t>
            </w:r>
          </w:p>
        </w:tc>
        <w:tc>
          <w:tcPr>
            <w:tcW w:w="3454" w:type="pct"/>
            <w:vAlign w:val="center"/>
          </w:tcPr>
          <w:p w14:paraId="634C825C">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0.902</w:t>
            </w:r>
          </w:p>
        </w:tc>
      </w:tr>
      <w:tr w14:paraId="50A84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545" w:type="pct"/>
            <w:vAlign w:val="center"/>
          </w:tcPr>
          <w:p w14:paraId="2EBF98AA">
            <w:pPr>
              <w:spacing w:line="360" w:lineRule="auto"/>
              <w:jc w:val="center"/>
              <w:rPr>
                <w:rFonts w:hint="default" w:ascii="Times New Roman" w:hAnsi="Times New Roman" w:cs="Times New Roman" w:eastAsiaTheme="majorEastAsia"/>
                <w:color w:val="auto"/>
                <w:sz w:val="20"/>
                <w:szCs w:val="20"/>
                <w:lang w:val="en-US" w:eastAsia="zh-CN"/>
              </w:rPr>
            </w:pPr>
            <w:r>
              <w:rPr>
                <w:rFonts w:hint="default" w:ascii="Times New Roman" w:hAnsi="Times New Roman" w:cs="Times New Roman" w:eastAsiaTheme="majorEastAsia"/>
                <w:color w:val="auto"/>
                <w:sz w:val="20"/>
                <w:szCs w:val="20"/>
                <w:lang w:val="en-US" w:eastAsia="zh-CN"/>
              </w:rPr>
              <w:t>A6</w:t>
            </w:r>
          </w:p>
        </w:tc>
        <w:tc>
          <w:tcPr>
            <w:tcW w:w="3454" w:type="pct"/>
            <w:vAlign w:val="center"/>
          </w:tcPr>
          <w:p w14:paraId="6B6EB6E8">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0.908</w:t>
            </w:r>
          </w:p>
        </w:tc>
      </w:tr>
      <w:tr w14:paraId="1F30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545" w:type="pct"/>
            <w:tcBorders>
              <w:bottom w:val="single" w:color="000000" w:sz="12" w:space="0"/>
            </w:tcBorders>
            <w:vAlign w:val="center"/>
          </w:tcPr>
          <w:p w14:paraId="14539A7C">
            <w:pPr>
              <w:spacing w:line="360" w:lineRule="auto"/>
              <w:jc w:val="center"/>
              <w:rPr>
                <w:rFonts w:hint="default" w:ascii="Times New Roman" w:hAnsi="Times New Roman" w:cs="Times New Roman" w:eastAsiaTheme="majorEastAsia"/>
                <w:color w:val="auto"/>
                <w:sz w:val="20"/>
                <w:szCs w:val="20"/>
                <w:lang w:val="en-US" w:eastAsia="zh-CN"/>
              </w:rPr>
            </w:pPr>
            <w:r>
              <w:rPr>
                <w:rFonts w:hint="default" w:ascii="Times New Roman" w:hAnsi="Times New Roman" w:cs="Times New Roman" w:eastAsiaTheme="majorEastAsia"/>
                <w:color w:val="auto"/>
                <w:sz w:val="20"/>
                <w:szCs w:val="20"/>
                <w:lang w:val="en-US" w:eastAsia="zh-CN"/>
              </w:rPr>
              <w:t>A7</w:t>
            </w:r>
          </w:p>
        </w:tc>
        <w:tc>
          <w:tcPr>
            <w:tcW w:w="3454" w:type="pct"/>
            <w:tcBorders>
              <w:bottom w:val="single" w:color="000000" w:sz="12" w:space="0"/>
            </w:tcBorders>
            <w:vAlign w:val="center"/>
          </w:tcPr>
          <w:p w14:paraId="72DCEBD4">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0.909</w:t>
            </w:r>
          </w:p>
        </w:tc>
      </w:tr>
    </w:tbl>
    <w:p w14:paraId="0898446C">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firstLine="480" w:firstLineChars="20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b/>
          <w:bCs/>
          <w:i w:val="0"/>
          <w:iCs w:val="0"/>
          <w:caps w:val="0"/>
          <w:color w:val="0F1115"/>
          <w:spacing w:val="0"/>
          <w:sz w:val="24"/>
          <w:szCs w:val="24"/>
          <w:shd w:val="clear" w:fill="FFFFFF"/>
        </w:rPr>
        <w:t>Confirmatory Factor Analysis</w:t>
      </w:r>
      <w:r>
        <w:rPr>
          <w:rFonts w:hint="eastAsia" w:ascii="Times New Roman" w:hAnsi="Times New Roman" w:eastAsia="宋体" w:cs="Times New Roman"/>
          <w:b/>
          <w:bCs/>
          <w:i w:val="0"/>
          <w:iCs w:val="0"/>
          <w:caps w:val="0"/>
          <w:color w:val="0F1115"/>
          <w:spacing w:val="0"/>
          <w:sz w:val="24"/>
          <w:szCs w:val="24"/>
          <w:shd w:val="clear" w:fill="FFFFFF"/>
          <w:lang w:val="en-US" w:eastAsia="zh-CN"/>
        </w:rPr>
        <w:t>(CFA)</w:t>
      </w:r>
      <w:r>
        <w:rPr>
          <w:rFonts w:hint="default" w:ascii="Times New Roman" w:hAnsi="Times New Roman" w:eastAsia="Segoe UI" w:cs="Times New Roman"/>
          <w:b/>
          <w:bCs/>
          <w:i w:val="0"/>
          <w:iCs w:val="0"/>
          <w:caps w:val="0"/>
          <w:color w:val="0F1115"/>
          <w:spacing w:val="0"/>
          <w:sz w:val="24"/>
          <w:szCs w:val="24"/>
          <w:shd w:val="clear" w:fill="FFFFFF"/>
        </w:rPr>
        <w:t>. </w:t>
      </w:r>
      <w:r>
        <w:rPr>
          <w:rFonts w:hint="default" w:ascii="Times New Roman" w:hAnsi="Times New Roman" w:eastAsia="Segoe UI" w:cs="Times New Roman"/>
          <w:i w:val="0"/>
          <w:iCs w:val="0"/>
          <w:caps w:val="0"/>
          <w:color w:val="0F1115"/>
          <w:spacing w:val="0"/>
          <w:sz w:val="24"/>
          <w:szCs w:val="24"/>
          <w:shd w:val="clear" w:fill="FFFFFF"/>
        </w:rPr>
        <w:t>Confirmatory factor analysis was performed on the data from Sample 2 (n = 471) using Mplus 7.</w:t>
      </w:r>
      <w:r>
        <w:rPr>
          <w:rFonts w:hint="eastAsia" w:ascii="Times New Roman" w:hAnsi="Times New Roman" w:eastAsia="宋体" w:cs="Times New Roman"/>
          <w:i w:val="0"/>
          <w:iCs w:val="0"/>
          <w:caps w:val="0"/>
          <w:color w:val="0F1115"/>
          <w:spacing w:val="0"/>
          <w:sz w:val="24"/>
          <w:szCs w:val="24"/>
          <w:shd w:val="clear" w:fill="FFFFFF"/>
          <w:lang w:val="en-US" w:eastAsia="zh-CN"/>
        </w:rPr>
        <w:t>0</w:t>
      </w:r>
      <w:r>
        <w:rPr>
          <w:rFonts w:hint="default" w:ascii="Times New Roman" w:hAnsi="Times New Roman" w:eastAsia="Segoe UI" w:cs="Times New Roman"/>
          <w:i w:val="0"/>
          <w:iCs w:val="0"/>
          <w:caps w:val="0"/>
          <w:color w:val="0F1115"/>
          <w:spacing w:val="0"/>
          <w:sz w:val="24"/>
          <w:szCs w:val="24"/>
          <w:shd w:val="clear" w:fill="FFFFFF"/>
        </w:rPr>
        <w:t>. Model fit was evaluated using standard goodness-of-fit indices. The results for the single-factor model were as follows: χ² = 26.081, df = 12, χ²/df = 2.173, TLI = 0.994, CFI = 0.996, RMSEA = 0.05 (90% CI: 0.023–0.076), SRMR = 0.007. These results indicate that the model demonstrates a good fit to the observed data, supporting the structural validity of the Perceived Positive Resonance Scale.</w:t>
      </w:r>
    </w:p>
    <w:p w14:paraId="6BD710C7">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b/>
          <w:bCs/>
          <w:i w:val="0"/>
          <w:iCs w:val="0"/>
          <w:caps w:val="0"/>
          <w:color w:val="0F1115"/>
          <w:spacing w:val="0"/>
          <w:sz w:val="24"/>
          <w:szCs w:val="24"/>
          <w:shd w:val="clear" w:fill="FFFFFF"/>
        </w:rPr>
      </w:pPr>
      <w:r>
        <w:rPr>
          <w:rFonts w:hint="default" w:ascii="Times New Roman" w:hAnsi="Times New Roman" w:eastAsia="Segoe UI" w:cs="Times New Roman"/>
          <w:b/>
          <w:bCs/>
          <w:i w:val="0"/>
          <w:iCs w:val="0"/>
          <w:caps w:val="0"/>
          <w:color w:val="0F1115"/>
          <w:spacing w:val="0"/>
          <w:sz w:val="24"/>
          <w:szCs w:val="24"/>
          <w:shd w:val="clear" w:fill="FFFFFF"/>
        </w:rPr>
        <w:t>Criterion-Related Validity</w:t>
      </w:r>
    </w:p>
    <w:p w14:paraId="14B68077">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 xml:space="preserve">Drawing on established literature, this study selected the following instruments as external criteria: the Positive Empathy Scale, the Positive Affect Scale, the Mental Health Continuum–Short Form, and the Relatedness Needs Scale. Correlation analyses were conducted between the total score of the Perceived Positive Resonance Scale and the total scores (including subscale scores where applicable) of the four criterion measures. The results of the criterion-related validity analysis are presented in Table </w:t>
      </w:r>
      <w:r>
        <w:rPr>
          <w:rFonts w:hint="eastAsia" w:ascii="Times New Roman" w:hAnsi="Times New Roman" w:eastAsia="宋体" w:cs="Times New Roman"/>
          <w:i w:val="0"/>
          <w:iCs w:val="0"/>
          <w:caps w:val="0"/>
          <w:color w:val="0F1115"/>
          <w:spacing w:val="0"/>
          <w:sz w:val="24"/>
          <w:szCs w:val="24"/>
          <w:shd w:val="clear" w:fill="FFFFFF"/>
          <w:lang w:val="en-US" w:eastAsia="zh-CN"/>
        </w:rPr>
        <w:t>3</w:t>
      </w:r>
      <w:r>
        <w:rPr>
          <w:rFonts w:hint="default" w:ascii="Times New Roman" w:hAnsi="Times New Roman" w:eastAsia="Segoe UI" w:cs="Times New Roman"/>
          <w:i w:val="0"/>
          <w:iCs w:val="0"/>
          <w:caps w:val="0"/>
          <w:color w:val="0F1115"/>
          <w:spacing w:val="0"/>
          <w:sz w:val="24"/>
          <w:szCs w:val="24"/>
          <w:shd w:val="clear" w:fill="FFFFFF"/>
        </w:rPr>
        <w:t xml:space="preserve">. The results indicate that the correlation coefficients between the </w:t>
      </w:r>
      <w:r>
        <w:rPr>
          <w:rFonts w:hint="eastAsia" w:ascii="Times New Roman" w:hAnsi="Times New Roman" w:eastAsia="宋体" w:cs="Times New Roman"/>
          <w:i w:val="0"/>
          <w:iCs w:val="0"/>
          <w:caps w:val="0"/>
          <w:color w:val="0F1115"/>
          <w:spacing w:val="0"/>
          <w:sz w:val="24"/>
          <w:szCs w:val="24"/>
          <w:shd w:val="clear" w:fill="FFFFFF"/>
          <w:lang w:val="en-US" w:eastAsia="zh-CN"/>
        </w:rPr>
        <w:t>PPRS</w:t>
      </w:r>
      <w:r>
        <w:rPr>
          <w:rFonts w:hint="default" w:ascii="Times New Roman" w:hAnsi="Times New Roman" w:eastAsia="Segoe UI" w:cs="Times New Roman"/>
          <w:i w:val="0"/>
          <w:iCs w:val="0"/>
          <w:caps w:val="0"/>
          <w:color w:val="0F1115"/>
          <w:spacing w:val="0"/>
          <w:sz w:val="24"/>
          <w:szCs w:val="24"/>
          <w:shd w:val="clear" w:fill="FFFFFF"/>
        </w:rPr>
        <w:t xml:space="preserve"> and all criterion measures exceeded 0.4 and were statistically significant, demonstrating good criterion validity of the scale.</w:t>
      </w:r>
    </w:p>
    <w:p w14:paraId="57A935E7">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center"/>
        <w:textAlignment w:val="auto"/>
        <w:rPr>
          <w:rFonts w:hint="default" w:ascii="Times New Roman" w:hAnsi="Times New Roman" w:eastAsia="Segoe UI" w:cs="Times New Roman"/>
          <w:i w:val="0"/>
          <w:iCs w:val="0"/>
          <w:caps w:val="0"/>
          <w:color w:val="0F1115"/>
          <w:spacing w:val="0"/>
          <w:sz w:val="20"/>
          <w:szCs w:val="20"/>
          <w:shd w:val="clear" w:fill="FFFFFF"/>
        </w:rPr>
      </w:pPr>
      <w:r>
        <w:rPr>
          <w:rFonts w:hint="default" w:ascii="Times New Roman" w:hAnsi="Times New Roman" w:eastAsia="Segoe UI" w:cs="Times New Roman"/>
          <w:b/>
          <w:bCs/>
          <w:i w:val="0"/>
          <w:iCs w:val="0"/>
          <w:caps w:val="0"/>
          <w:color w:val="0F1115"/>
          <w:spacing w:val="0"/>
          <w:sz w:val="20"/>
          <w:szCs w:val="20"/>
          <w:shd w:val="clear" w:fill="FFFFFF"/>
        </w:rPr>
        <w:t xml:space="preserve">Table </w:t>
      </w:r>
      <w:r>
        <w:rPr>
          <w:rFonts w:hint="eastAsia" w:ascii="Times New Roman" w:hAnsi="Times New Roman" w:eastAsia="宋体" w:cs="Times New Roman"/>
          <w:b/>
          <w:bCs/>
          <w:i w:val="0"/>
          <w:iCs w:val="0"/>
          <w:caps w:val="0"/>
          <w:color w:val="0F1115"/>
          <w:spacing w:val="0"/>
          <w:sz w:val="20"/>
          <w:szCs w:val="20"/>
          <w:shd w:val="clear" w:fill="FFFFFF"/>
          <w:lang w:val="en-US" w:eastAsia="zh-CN"/>
        </w:rPr>
        <w:t>3</w:t>
      </w:r>
      <w:r>
        <w:rPr>
          <w:rFonts w:hint="default" w:ascii="Times New Roman" w:hAnsi="Times New Roman" w:eastAsia="Segoe UI" w:cs="Times New Roman"/>
          <w:b/>
          <w:bCs/>
          <w:i w:val="0"/>
          <w:iCs w:val="0"/>
          <w:caps w:val="0"/>
          <w:color w:val="0F1115"/>
          <w:spacing w:val="0"/>
          <w:sz w:val="20"/>
          <w:szCs w:val="20"/>
          <w:shd w:val="clear" w:fill="FFFFFF"/>
        </w:rPr>
        <w:t xml:space="preserve">. </w:t>
      </w:r>
      <w:r>
        <w:rPr>
          <w:rFonts w:hint="default" w:ascii="Times New Roman" w:hAnsi="Times New Roman" w:eastAsia="Segoe UI" w:cs="Times New Roman"/>
          <w:i/>
          <w:iCs/>
          <w:caps w:val="0"/>
          <w:color w:val="0F1115"/>
          <w:spacing w:val="0"/>
          <w:sz w:val="20"/>
          <w:szCs w:val="20"/>
          <w:shd w:val="clear" w:fill="FFFFFF"/>
        </w:rPr>
        <w:t>Analysis of Criterion-Related Validity (n=471)</w:t>
      </w:r>
    </w:p>
    <w:tbl>
      <w:tblPr>
        <w:tblStyle w:val="5"/>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244"/>
        <w:gridCol w:w="1501"/>
        <w:gridCol w:w="1210"/>
        <w:gridCol w:w="1730"/>
        <w:gridCol w:w="1306"/>
        <w:gridCol w:w="1386"/>
      </w:tblGrid>
      <w:tr w14:paraId="4D31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57" w:type="dxa"/>
            <w:tcBorders>
              <w:top w:val="single" w:color="000000" w:sz="12" w:space="0"/>
              <w:left w:val="nil"/>
              <w:bottom w:val="single" w:color="000000" w:sz="12" w:space="0"/>
              <w:right w:val="nil"/>
            </w:tcBorders>
            <w:vAlign w:val="center"/>
          </w:tcPr>
          <w:p w14:paraId="2EA64704">
            <w:pPr>
              <w:spacing w:line="360" w:lineRule="auto"/>
              <w:jc w:val="center"/>
              <w:rPr>
                <w:rFonts w:hint="default"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Item</w:t>
            </w:r>
          </w:p>
        </w:tc>
        <w:tc>
          <w:tcPr>
            <w:tcW w:w="1244" w:type="dxa"/>
            <w:tcBorders>
              <w:top w:val="single" w:color="000000" w:sz="12" w:space="0"/>
              <w:left w:val="nil"/>
              <w:bottom w:val="single" w:color="000000" w:sz="12" w:space="0"/>
              <w:right w:val="nil"/>
            </w:tcBorders>
            <w:vAlign w:val="center"/>
          </w:tcPr>
          <w:p w14:paraId="29E59178">
            <w:pPr>
              <w:spacing w:line="360" w:lineRule="auto"/>
              <w:jc w:val="center"/>
              <w:rPr>
                <w:rFonts w:hint="eastAsia"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 xml:space="preserve">Positive </w:t>
            </w:r>
          </w:p>
          <w:p w14:paraId="3EF34C58">
            <w:pPr>
              <w:spacing w:line="360" w:lineRule="auto"/>
              <w:jc w:val="center"/>
              <w:rPr>
                <w:rFonts w:hint="default"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Empathy</w:t>
            </w:r>
          </w:p>
        </w:tc>
        <w:tc>
          <w:tcPr>
            <w:tcW w:w="1501" w:type="dxa"/>
            <w:tcBorders>
              <w:top w:val="single" w:color="000000" w:sz="12" w:space="0"/>
              <w:left w:val="nil"/>
              <w:bottom w:val="single" w:color="000000" w:sz="12" w:space="0"/>
              <w:right w:val="nil"/>
            </w:tcBorders>
            <w:vAlign w:val="center"/>
          </w:tcPr>
          <w:p w14:paraId="52979F81">
            <w:pPr>
              <w:spacing w:line="360" w:lineRule="auto"/>
              <w:jc w:val="center"/>
              <w:rPr>
                <w:rFonts w:hint="eastAsia"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 xml:space="preserve">Positive </w:t>
            </w:r>
          </w:p>
          <w:p w14:paraId="5E66E0FC">
            <w:pPr>
              <w:spacing w:line="360" w:lineRule="auto"/>
              <w:jc w:val="center"/>
              <w:rPr>
                <w:rFonts w:hint="default"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Affect</w:t>
            </w:r>
          </w:p>
        </w:tc>
        <w:tc>
          <w:tcPr>
            <w:tcW w:w="1210" w:type="dxa"/>
            <w:tcBorders>
              <w:top w:val="single" w:color="000000" w:sz="12" w:space="0"/>
              <w:left w:val="nil"/>
              <w:bottom w:val="single" w:color="000000" w:sz="12" w:space="0"/>
              <w:right w:val="nil"/>
            </w:tcBorders>
            <w:vAlign w:val="center"/>
          </w:tcPr>
          <w:p w14:paraId="40346ECA">
            <w:pPr>
              <w:spacing w:line="360" w:lineRule="auto"/>
              <w:jc w:val="center"/>
              <w:rPr>
                <w:rFonts w:hint="eastAsia"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 xml:space="preserve">Mental </w:t>
            </w:r>
          </w:p>
          <w:p w14:paraId="39F47711">
            <w:pPr>
              <w:spacing w:line="360" w:lineRule="auto"/>
              <w:jc w:val="center"/>
              <w:rPr>
                <w:rFonts w:hint="default"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Health</w:t>
            </w:r>
          </w:p>
        </w:tc>
        <w:tc>
          <w:tcPr>
            <w:tcW w:w="1730" w:type="dxa"/>
            <w:tcBorders>
              <w:top w:val="single" w:color="000000" w:sz="12" w:space="0"/>
              <w:left w:val="nil"/>
              <w:bottom w:val="single" w:color="000000" w:sz="12" w:space="0"/>
              <w:right w:val="nil"/>
            </w:tcBorders>
            <w:vAlign w:val="center"/>
          </w:tcPr>
          <w:p w14:paraId="3248E9B4">
            <w:pPr>
              <w:spacing w:line="360" w:lineRule="auto"/>
              <w:jc w:val="center"/>
              <w:rPr>
                <w:rFonts w:hint="eastAsia"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 xml:space="preserve">Emotional </w:t>
            </w:r>
          </w:p>
          <w:p w14:paraId="00B5AEAC">
            <w:pPr>
              <w:spacing w:line="360" w:lineRule="auto"/>
              <w:jc w:val="center"/>
              <w:rPr>
                <w:rFonts w:hint="default"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Well-being</w:t>
            </w:r>
          </w:p>
        </w:tc>
        <w:tc>
          <w:tcPr>
            <w:tcW w:w="1306" w:type="dxa"/>
            <w:tcBorders>
              <w:top w:val="single" w:color="000000" w:sz="12" w:space="0"/>
              <w:left w:val="nil"/>
              <w:bottom w:val="single" w:color="000000" w:sz="12" w:space="0"/>
              <w:right w:val="nil"/>
            </w:tcBorders>
            <w:vAlign w:val="center"/>
          </w:tcPr>
          <w:p w14:paraId="6594BCD5">
            <w:pPr>
              <w:spacing w:line="360" w:lineRule="auto"/>
              <w:jc w:val="center"/>
              <w:rPr>
                <w:rFonts w:hint="eastAsia"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 xml:space="preserve">Social </w:t>
            </w:r>
          </w:p>
          <w:p w14:paraId="115A5143">
            <w:pPr>
              <w:spacing w:line="360" w:lineRule="auto"/>
              <w:jc w:val="center"/>
              <w:rPr>
                <w:rFonts w:hint="default"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Well-being</w:t>
            </w:r>
          </w:p>
        </w:tc>
        <w:tc>
          <w:tcPr>
            <w:tcW w:w="1386" w:type="dxa"/>
            <w:tcBorders>
              <w:top w:val="single" w:color="000000" w:sz="12" w:space="0"/>
              <w:left w:val="nil"/>
              <w:bottom w:val="single" w:color="000000" w:sz="12" w:space="0"/>
              <w:right w:val="nil"/>
            </w:tcBorders>
            <w:vAlign w:val="center"/>
          </w:tcPr>
          <w:p w14:paraId="77D4D254">
            <w:pPr>
              <w:spacing w:line="360" w:lineRule="auto"/>
              <w:jc w:val="center"/>
              <w:rPr>
                <w:rFonts w:hint="eastAsia"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 xml:space="preserve">Psychological </w:t>
            </w:r>
          </w:p>
          <w:p w14:paraId="05B82C62">
            <w:pPr>
              <w:spacing w:line="360" w:lineRule="auto"/>
              <w:jc w:val="center"/>
              <w:rPr>
                <w:rFonts w:hint="default" w:ascii="Times New Roman" w:hAnsi="Times New Roman" w:eastAsia="宋体" w:cs="Times New Roman"/>
                <w:b w:val="0"/>
                <w:bCs w:val="0"/>
                <w:color w:val="auto"/>
                <w:sz w:val="20"/>
                <w:szCs w:val="20"/>
                <w:lang w:val="en-US" w:eastAsia="zh-CN"/>
              </w:rPr>
            </w:pPr>
            <w:r>
              <w:rPr>
                <w:rFonts w:hint="eastAsia" w:ascii="Times New Roman" w:hAnsi="Times New Roman" w:eastAsia="宋体" w:cs="Times New Roman"/>
                <w:b w:val="0"/>
                <w:bCs w:val="0"/>
                <w:color w:val="auto"/>
                <w:sz w:val="20"/>
                <w:szCs w:val="20"/>
                <w:lang w:val="en-US" w:eastAsia="zh-CN"/>
              </w:rPr>
              <w:t>Well-being</w:t>
            </w:r>
          </w:p>
        </w:tc>
      </w:tr>
      <w:tr w14:paraId="37DD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57" w:type="dxa"/>
            <w:tcBorders>
              <w:top w:val="single" w:color="000000" w:sz="12" w:space="0"/>
              <w:left w:val="nil"/>
              <w:bottom w:val="single" w:color="000000" w:sz="12" w:space="0"/>
              <w:right w:val="nil"/>
            </w:tcBorders>
            <w:vAlign w:val="center"/>
          </w:tcPr>
          <w:p w14:paraId="0B9E9999">
            <w:pPr>
              <w:spacing w:line="360" w:lineRule="auto"/>
              <w:jc w:val="center"/>
              <w:rPr>
                <w:rFonts w:hint="eastAsia" w:ascii="Times New Roman" w:hAnsi="Times New Roman" w:cs="Times New Roman" w:eastAsiaTheme="majorEastAsia"/>
                <w:b w:val="0"/>
                <w:bCs w:val="0"/>
                <w:color w:val="auto"/>
                <w:sz w:val="20"/>
                <w:szCs w:val="20"/>
                <w:lang w:val="en-US" w:eastAsia="zh-CN"/>
              </w:rPr>
            </w:pPr>
            <w:r>
              <w:rPr>
                <w:rFonts w:hint="eastAsia" w:ascii="Times New Roman" w:hAnsi="Times New Roman" w:cs="Times New Roman" w:eastAsiaTheme="majorEastAsia"/>
                <w:b w:val="0"/>
                <w:bCs w:val="0"/>
                <w:color w:val="auto"/>
                <w:sz w:val="20"/>
                <w:szCs w:val="20"/>
                <w:lang w:val="en-US" w:eastAsia="zh-CN"/>
              </w:rPr>
              <w:t xml:space="preserve">Positive </w:t>
            </w:r>
          </w:p>
          <w:p w14:paraId="300B4CCB">
            <w:pPr>
              <w:spacing w:line="360" w:lineRule="auto"/>
              <w:jc w:val="center"/>
              <w:rPr>
                <w:rFonts w:hint="default" w:ascii="Times New Roman" w:hAnsi="Times New Roman" w:cs="Times New Roman" w:eastAsiaTheme="majorEastAsia"/>
                <w:b w:val="0"/>
                <w:bCs w:val="0"/>
                <w:color w:val="auto"/>
                <w:sz w:val="20"/>
                <w:szCs w:val="20"/>
                <w:lang w:val="en-US" w:eastAsia="zh-CN"/>
              </w:rPr>
            </w:pPr>
            <w:r>
              <w:rPr>
                <w:rFonts w:hint="eastAsia" w:ascii="Times New Roman" w:hAnsi="Times New Roman" w:cs="Times New Roman" w:eastAsiaTheme="majorEastAsia"/>
                <w:b w:val="0"/>
                <w:bCs w:val="0"/>
                <w:color w:val="auto"/>
                <w:sz w:val="20"/>
                <w:szCs w:val="20"/>
                <w:lang w:val="en-US" w:eastAsia="zh-CN"/>
              </w:rPr>
              <w:t>Resonance</w:t>
            </w:r>
          </w:p>
        </w:tc>
        <w:tc>
          <w:tcPr>
            <w:tcW w:w="1244" w:type="dxa"/>
            <w:tcBorders>
              <w:top w:val="single" w:color="000000" w:sz="12" w:space="0"/>
              <w:left w:val="nil"/>
              <w:bottom w:val="single" w:color="000000" w:sz="12" w:space="0"/>
              <w:right w:val="nil"/>
            </w:tcBorders>
            <w:vAlign w:val="center"/>
          </w:tcPr>
          <w:p w14:paraId="13BACBD4">
            <w:pPr>
              <w:spacing w:line="360" w:lineRule="auto"/>
              <w:jc w:val="center"/>
              <w:rPr>
                <w:rFonts w:hint="default" w:ascii="Times New Roman" w:hAnsi="Times New Roman" w:cs="Times New Roman" w:eastAsiaTheme="majorEastAsia"/>
                <w:b w:val="0"/>
                <w:bCs w:val="0"/>
                <w:color w:val="auto"/>
                <w:sz w:val="20"/>
                <w:szCs w:val="20"/>
              </w:rPr>
            </w:pPr>
            <w:r>
              <w:rPr>
                <w:rFonts w:hint="default" w:ascii="Times New Roman" w:hAnsi="Times New Roman" w:cs="Times New Roman" w:eastAsiaTheme="majorEastAsia"/>
                <w:b w:val="0"/>
                <w:bCs w:val="0"/>
                <w:color w:val="auto"/>
                <w:sz w:val="20"/>
                <w:szCs w:val="20"/>
              </w:rPr>
              <w:t>0.43**</w:t>
            </w:r>
          </w:p>
        </w:tc>
        <w:tc>
          <w:tcPr>
            <w:tcW w:w="1501" w:type="dxa"/>
            <w:tcBorders>
              <w:top w:val="single" w:color="000000" w:sz="12" w:space="0"/>
              <w:left w:val="nil"/>
              <w:bottom w:val="single" w:color="000000" w:sz="12" w:space="0"/>
              <w:right w:val="nil"/>
            </w:tcBorders>
            <w:vAlign w:val="center"/>
          </w:tcPr>
          <w:p w14:paraId="1620208E">
            <w:pPr>
              <w:spacing w:line="360" w:lineRule="auto"/>
              <w:jc w:val="center"/>
              <w:rPr>
                <w:rFonts w:hint="default" w:ascii="Times New Roman" w:hAnsi="Times New Roman" w:cs="Times New Roman" w:eastAsiaTheme="majorEastAsia"/>
                <w:b w:val="0"/>
                <w:bCs w:val="0"/>
                <w:color w:val="auto"/>
                <w:sz w:val="20"/>
                <w:szCs w:val="20"/>
              </w:rPr>
            </w:pPr>
            <w:r>
              <w:rPr>
                <w:rFonts w:hint="default" w:ascii="Times New Roman" w:hAnsi="Times New Roman" w:cs="Times New Roman" w:eastAsiaTheme="majorEastAsia"/>
                <w:b w:val="0"/>
                <w:bCs w:val="0"/>
                <w:color w:val="auto"/>
                <w:sz w:val="20"/>
                <w:szCs w:val="20"/>
              </w:rPr>
              <w:t>0.65**</w:t>
            </w:r>
          </w:p>
        </w:tc>
        <w:tc>
          <w:tcPr>
            <w:tcW w:w="1210" w:type="dxa"/>
            <w:tcBorders>
              <w:top w:val="single" w:color="000000" w:sz="12" w:space="0"/>
              <w:left w:val="nil"/>
              <w:bottom w:val="single" w:color="000000" w:sz="12" w:space="0"/>
              <w:right w:val="nil"/>
            </w:tcBorders>
            <w:vAlign w:val="center"/>
          </w:tcPr>
          <w:p w14:paraId="1A83EEB9">
            <w:pPr>
              <w:spacing w:line="360" w:lineRule="auto"/>
              <w:jc w:val="center"/>
              <w:rPr>
                <w:rFonts w:hint="default" w:ascii="Times New Roman" w:hAnsi="Times New Roman" w:cs="Times New Roman" w:eastAsiaTheme="majorEastAsia"/>
                <w:b w:val="0"/>
                <w:bCs w:val="0"/>
                <w:color w:val="auto"/>
                <w:sz w:val="20"/>
                <w:szCs w:val="20"/>
              </w:rPr>
            </w:pPr>
            <w:r>
              <w:rPr>
                <w:rFonts w:hint="default" w:ascii="Times New Roman" w:hAnsi="Times New Roman" w:cs="Times New Roman" w:eastAsiaTheme="majorEastAsia"/>
                <w:b w:val="0"/>
                <w:bCs w:val="0"/>
                <w:color w:val="auto"/>
                <w:sz w:val="20"/>
                <w:szCs w:val="20"/>
              </w:rPr>
              <w:t>0.68**</w:t>
            </w:r>
          </w:p>
        </w:tc>
        <w:tc>
          <w:tcPr>
            <w:tcW w:w="1730" w:type="dxa"/>
            <w:tcBorders>
              <w:top w:val="single" w:color="000000" w:sz="12" w:space="0"/>
              <w:left w:val="nil"/>
              <w:bottom w:val="single" w:color="000000" w:sz="12" w:space="0"/>
              <w:right w:val="nil"/>
            </w:tcBorders>
            <w:vAlign w:val="center"/>
          </w:tcPr>
          <w:p w14:paraId="4F6EA4E6">
            <w:pPr>
              <w:spacing w:line="360" w:lineRule="auto"/>
              <w:jc w:val="center"/>
              <w:rPr>
                <w:rFonts w:hint="default" w:ascii="Times New Roman" w:hAnsi="Times New Roman" w:cs="Times New Roman" w:eastAsiaTheme="majorEastAsia"/>
                <w:b w:val="0"/>
                <w:bCs w:val="0"/>
                <w:color w:val="auto"/>
                <w:sz w:val="20"/>
                <w:szCs w:val="20"/>
              </w:rPr>
            </w:pPr>
            <w:r>
              <w:rPr>
                <w:rFonts w:hint="default" w:ascii="Times New Roman" w:hAnsi="Times New Roman" w:cs="Times New Roman" w:eastAsiaTheme="majorEastAsia"/>
                <w:b w:val="0"/>
                <w:bCs w:val="0"/>
                <w:color w:val="auto"/>
                <w:sz w:val="20"/>
                <w:szCs w:val="20"/>
              </w:rPr>
              <w:t>0.59*</w:t>
            </w:r>
          </w:p>
        </w:tc>
        <w:tc>
          <w:tcPr>
            <w:tcW w:w="1306" w:type="dxa"/>
            <w:tcBorders>
              <w:top w:val="single" w:color="000000" w:sz="12" w:space="0"/>
              <w:left w:val="nil"/>
              <w:bottom w:val="single" w:color="000000" w:sz="12" w:space="0"/>
              <w:right w:val="nil"/>
            </w:tcBorders>
            <w:vAlign w:val="center"/>
          </w:tcPr>
          <w:p w14:paraId="2959B63F">
            <w:pPr>
              <w:spacing w:line="360" w:lineRule="auto"/>
              <w:jc w:val="center"/>
              <w:rPr>
                <w:rFonts w:hint="default" w:ascii="Times New Roman" w:hAnsi="Times New Roman" w:cs="Times New Roman" w:eastAsiaTheme="majorEastAsia"/>
                <w:b w:val="0"/>
                <w:bCs w:val="0"/>
                <w:color w:val="auto"/>
                <w:sz w:val="20"/>
                <w:szCs w:val="20"/>
              </w:rPr>
            </w:pPr>
            <w:r>
              <w:rPr>
                <w:rFonts w:hint="default" w:ascii="Times New Roman" w:hAnsi="Times New Roman" w:cs="Times New Roman" w:eastAsiaTheme="majorEastAsia"/>
                <w:b w:val="0"/>
                <w:bCs w:val="0"/>
                <w:color w:val="auto"/>
                <w:sz w:val="20"/>
                <w:szCs w:val="20"/>
              </w:rPr>
              <w:t>0.66**</w:t>
            </w:r>
          </w:p>
        </w:tc>
        <w:tc>
          <w:tcPr>
            <w:tcW w:w="1386" w:type="dxa"/>
            <w:tcBorders>
              <w:top w:val="single" w:color="000000" w:sz="12" w:space="0"/>
              <w:left w:val="nil"/>
              <w:bottom w:val="single" w:color="000000" w:sz="12" w:space="0"/>
              <w:right w:val="nil"/>
            </w:tcBorders>
            <w:vAlign w:val="center"/>
          </w:tcPr>
          <w:p w14:paraId="6CB2A8CD">
            <w:pPr>
              <w:spacing w:line="360" w:lineRule="auto"/>
              <w:jc w:val="center"/>
              <w:rPr>
                <w:rFonts w:hint="default" w:ascii="Times New Roman" w:hAnsi="Times New Roman" w:cs="Times New Roman" w:eastAsiaTheme="majorEastAsia"/>
                <w:b w:val="0"/>
                <w:bCs w:val="0"/>
                <w:color w:val="auto"/>
                <w:sz w:val="20"/>
                <w:szCs w:val="20"/>
              </w:rPr>
            </w:pPr>
            <w:r>
              <w:rPr>
                <w:rFonts w:hint="default" w:ascii="Times New Roman" w:hAnsi="Times New Roman" w:cs="Times New Roman" w:eastAsiaTheme="majorEastAsia"/>
                <w:b w:val="0"/>
                <w:bCs w:val="0"/>
                <w:color w:val="auto"/>
                <w:sz w:val="20"/>
                <w:szCs w:val="20"/>
              </w:rPr>
              <w:t>0.63</w:t>
            </w:r>
            <w:r>
              <w:rPr>
                <w:rFonts w:hint="default" w:ascii="Times New Roman" w:hAnsi="Times New Roman" w:cs="Times New Roman" w:eastAsiaTheme="majorEastAsia"/>
                <w:b w:val="0"/>
                <w:bCs w:val="0"/>
                <w:color w:val="auto"/>
                <w:sz w:val="20"/>
                <w:szCs w:val="20"/>
                <w:vertAlign w:val="superscript"/>
              </w:rPr>
              <w:t>**</w:t>
            </w:r>
          </w:p>
        </w:tc>
      </w:tr>
    </w:tbl>
    <w:p w14:paraId="434185E1">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b/>
          <w:bCs/>
          <w:i w:val="0"/>
          <w:iCs w:val="0"/>
          <w:caps w:val="0"/>
          <w:color w:val="0F1115"/>
          <w:spacing w:val="0"/>
          <w:sz w:val="24"/>
          <w:szCs w:val="24"/>
          <w:shd w:val="clear" w:fill="FFFFFF"/>
        </w:rPr>
      </w:pPr>
      <w:r>
        <w:rPr>
          <w:rFonts w:hint="default" w:ascii="Times New Roman" w:hAnsi="Times New Roman" w:eastAsia="Segoe UI" w:cs="Times New Roman"/>
          <w:b/>
          <w:bCs/>
          <w:i w:val="0"/>
          <w:iCs w:val="0"/>
          <w:caps w:val="0"/>
          <w:color w:val="0F1115"/>
          <w:spacing w:val="0"/>
          <w:sz w:val="24"/>
          <w:szCs w:val="24"/>
          <w:shd w:val="clear" w:fill="FFFFFF"/>
        </w:rPr>
        <w:t>Reliability Analysis</w:t>
      </w:r>
    </w:p>
    <w:p w14:paraId="4BF5F8FF">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 xml:space="preserve">This study assessed the stability of the </w:t>
      </w:r>
      <w:r>
        <w:rPr>
          <w:rFonts w:hint="eastAsia" w:ascii="Times New Roman" w:hAnsi="Times New Roman" w:eastAsia="宋体" w:cs="Times New Roman"/>
          <w:i w:val="0"/>
          <w:iCs w:val="0"/>
          <w:caps w:val="0"/>
          <w:color w:val="0F1115"/>
          <w:spacing w:val="0"/>
          <w:sz w:val="24"/>
          <w:szCs w:val="24"/>
          <w:shd w:val="clear" w:fill="FFFFFF"/>
          <w:lang w:val="en-US" w:eastAsia="zh-CN"/>
        </w:rPr>
        <w:t>PPRS</w:t>
      </w:r>
      <w:r>
        <w:rPr>
          <w:rFonts w:hint="default" w:ascii="Times New Roman" w:hAnsi="Times New Roman" w:eastAsia="Segoe UI" w:cs="Times New Roman"/>
          <w:i w:val="0"/>
          <w:iCs w:val="0"/>
          <w:caps w:val="0"/>
          <w:color w:val="0F1115"/>
          <w:spacing w:val="0"/>
          <w:sz w:val="24"/>
          <w:szCs w:val="24"/>
          <w:shd w:val="clear" w:fill="FFFFFF"/>
        </w:rPr>
        <w:t xml:space="preserve"> for </w:t>
      </w:r>
      <w:r>
        <w:rPr>
          <w:rFonts w:hint="eastAsia" w:ascii="Times New Roman" w:hAnsi="Times New Roman" w:eastAsia="宋体" w:cs="Times New Roman"/>
          <w:i w:val="0"/>
          <w:iCs w:val="0"/>
          <w:caps w:val="0"/>
          <w:color w:val="0F1115"/>
          <w:spacing w:val="0"/>
          <w:sz w:val="24"/>
          <w:szCs w:val="24"/>
          <w:shd w:val="clear" w:fill="FFFFFF"/>
          <w:lang w:val="en-US" w:eastAsia="zh-CN"/>
        </w:rPr>
        <w:t>u</w:t>
      </w:r>
      <w:r>
        <w:rPr>
          <w:rFonts w:hint="default" w:ascii="Times New Roman" w:hAnsi="Times New Roman" w:eastAsia="Segoe UI" w:cs="Times New Roman"/>
          <w:i w:val="0"/>
          <w:iCs w:val="0"/>
          <w:caps w:val="0"/>
          <w:color w:val="0F1115"/>
          <w:spacing w:val="0"/>
          <w:sz w:val="24"/>
          <w:szCs w:val="24"/>
          <w:shd w:val="clear" w:fill="FFFFFF"/>
        </w:rPr>
        <w:t xml:space="preserve">niversity </w:t>
      </w:r>
      <w:r>
        <w:rPr>
          <w:rFonts w:hint="eastAsia" w:ascii="Times New Roman" w:hAnsi="Times New Roman" w:eastAsia="宋体" w:cs="Times New Roman"/>
          <w:i w:val="0"/>
          <w:iCs w:val="0"/>
          <w:caps w:val="0"/>
          <w:color w:val="0F1115"/>
          <w:spacing w:val="0"/>
          <w:sz w:val="24"/>
          <w:szCs w:val="24"/>
          <w:shd w:val="clear" w:fill="FFFFFF"/>
          <w:lang w:val="en-US" w:eastAsia="zh-CN"/>
        </w:rPr>
        <w:t>s</w:t>
      </w:r>
      <w:r>
        <w:rPr>
          <w:rFonts w:hint="default" w:ascii="Times New Roman" w:hAnsi="Times New Roman" w:eastAsia="Segoe UI" w:cs="Times New Roman"/>
          <w:i w:val="0"/>
          <w:iCs w:val="0"/>
          <w:caps w:val="0"/>
          <w:color w:val="0F1115"/>
          <w:spacing w:val="0"/>
          <w:sz w:val="24"/>
          <w:szCs w:val="24"/>
          <w:shd w:val="clear" w:fill="FFFFFF"/>
        </w:rPr>
        <w:t xml:space="preserve">tudents using measures of internal consistency reliability and test-retest reliability. As shown in Table </w:t>
      </w:r>
      <w:r>
        <w:rPr>
          <w:rFonts w:hint="eastAsia" w:ascii="Times New Roman" w:hAnsi="Times New Roman" w:eastAsia="宋体" w:cs="Times New Roman"/>
          <w:i w:val="0"/>
          <w:iCs w:val="0"/>
          <w:caps w:val="0"/>
          <w:color w:val="0F1115"/>
          <w:spacing w:val="0"/>
          <w:sz w:val="24"/>
          <w:szCs w:val="24"/>
          <w:shd w:val="clear" w:fill="FFFFFF"/>
          <w:lang w:val="en-US" w:eastAsia="zh-CN"/>
        </w:rPr>
        <w:t>4</w:t>
      </w:r>
      <w:r>
        <w:rPr>
          <w:rFonts w:hint="default" w:ascii="Times New Roman" w:hAnsi="Times New Roman" w:eastAsia="Segoe UI" w:cs="Times New Roman"/>
          <w:i w:val="0"/>
          <w:iCs w:val="0"/>
          <w:caps w:val="0"/>
          <w:color w:val="0F1115"/>
          <w:spacing w:val="0"/>
          <w:sz w:val="24"/>
          <w:szCs w:val="24"/>
          <w:shd w:val="clear" w:fill="FFFFFF"/>
        </w:rPr>
        <w:t>, the Cronbach’s α coefficients for both Sample 1 and Sample 2 exceeded 0.9, indicating excellent internal consistency reliability for the scale. A subsample of participants from Sample 2 (n = 154) completed the scale again after a four-week interval. The test-retest correlation coefficient was r = 0.946, demonstrating good test-retest reliability for the scale.</w:t>
      </w:r>
    </w:p>
    <w:p w14:paraId="0C3D97CF">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firstLine="1401" w:firstLineChars="700"/>
        <w:jc w:val="both"/>
        <w:textAlignment w:val="auto"/>
        <w:rPr>
          <w:rFonts w:hint="default" w:ascii="Times New Roman" w:hAnsi="Times New Roman" w:eastAsia="Segoe UI" w:cs="Times New Roman"/>
          <w:i/>
          <w:iCs/>
          <w:caps w:val="0"/>
          <w:color w:val="0F1115"/>
          <w:spacing w:val="0"/>
          <w:sz w:val="20"/>
          <w:szCs w:val="20"/>
          <w:shd w:val="clear" w:fill="FFFFFF"/>
        </w:rPr>
      </w:pPr>
      <w:r>
        <w:rPr>
          <w:rFonts w:hint="default" w:ascii="Times New Roman" w:hAnsi="Times New Roman" w:eastAsia="Segoe UI" w:cs="Times New Roman"/>
          <w:b/>
          <w:bCs/>
          <w:i w:val="0"/>
          <w:iCs w:val="0"/>
          <w:caps w:val="0"/>
          <w:color w:val="0F1115"/>
          <w:spacing w:val="0"/>
          <w:sz w:val="20"/>
          <w:szCs w:val="20"/>
          <w:shd w:val="clear" w:fill="FFFFFF"/>
        </w:rPr>
        <w:t xml:space="preserve">Table </w:t>
      </w:r>
      <w:r>
        <w:rPr>
          <w:rFonts w:hint="eastAsia" w:ascii="Times New Roman" w:hAnsi="Times New Roman" w:eastAsia="宋体" w:cs="Times New Roman"/>
          <w:b/>
          <w:bCs/>
          <w:i w:val="0"/>
          <w:iCs w:val="0"/>
          <w:caps w:val="0"/>
          <w:color w:val="0F1115"/>
          <w:spacing w:val="0"/>
          <w:sz w:val="20"/>
          <w:szCs w:val="20"/>
          <w:shd w:val="clear" w:fill="FFFFFF"/>
          <w:lang w:val="en-US" w:eastAsia="zh-CN"/>
        </w:rPr>
        <w:t>4</w:t>
      </w:r>
      <w:r>
        <w:rPr>
          <w:rFonts w:hint="default" w:ascii="Times New Roman" w:hAnsi="Times New Roman" w:eastAsia="Segoe UI" w:cs="Times New Roman"/>
          <w:b/>
          <w:bCs/>
          <w:i w:val="0"/>
          <w:iCs w:val="0"/>
          <w:caps w:val="0"/>
          <w:color w:val="0F1115"/>
          <w:spacing w:val="0"/>
          <w:sz w:val="20"/>
          <w:szCs w:val="20"/>
          <w:shd w:val="clear" w:fill="FFFFFF"/>
        </w:rPr>
        <w:t>.</w:t>
      </w:r>
      <w:r>
        <w:rPr>
          <w:rFonts w:hint="default" w:ascii="Times New Roman" w:hAnsi="Times New Roman" w:eastAsia="Segoe UI" w:cs="Times New Roman"/>
          <w:b/>
          <w:bCs/>
          <w:i/>
          <w:iCs/>
          <w:caps w:val="0"/>
          <w:color w:val="0F1115"/>
          <w:spacing w:val="0"/>
          <w:sz w:val="20"/>
          <w:szCs w:val="20"/>
          <w:shd w:val="clear" w:fill="FFFFFF"/>
        </w:rPr>
        <w:t xml:space="preserve"> </w:t>
      </w:r>
      <w:r>
        <w:rPr>
          <w:rFonts w:hint="default" w:ascii="Times New Roman" w:hAnsi="Times New Roman" w:eastAsia="Segoe UI" w:cs="Times New Roman"/>
          <w:i/>
          <w:iCs/>
          <w:caps w:val="0"/>
          <w:color w:val="0F1115"/>
          <w:spacing w:val="0"/>
          <w:sz w:val="20"/>
          <w:szCs w:val="20"/>
          <w:shd w:val="clear" w:fill="FFFFFF"/>
        </w:rPr>
        <w:t xml:space="preserve">Cronbach's α Coefficients for the </w:t>
      </w:r>
      <w:r>
        <w:rPr>
          <w:rFonts w:hint="eastAsia" w:ascii="Times New Roman" w:hAnsi="Times New Roman" w:eastAsia="宋体" w:cs="Times New Roman"/>
          <w:i/>
          <w:iCs/>
          <w:caps w:val="0"/>
          <w:color w:val="0F1115"/>
          <w:spacing w:val="0"/>
          <w:sz w:val="20"/>
          <w:szCs w:val="20"/>
          <w:shd w:val="clear" w:fill="FFFFFF"/>
          <w:lang w:val="en-US" w:eastAsia="zh-CN"/>
        </w:rPr>
        <w:t>PPRS</w:t>
      </w:r>
      <w:r>
        <w:rPr>
          <w:rFonts w:hint="default" w:ascii="Times New Roman" w:hAnsi="Times New Roman" w:eastAsia="Segoe UI" w:cs="Times New Roman"/>
          <w:i/>
          <w:iCs/>
          <w:caps w:val="0"/>
          <w:color w:val="0F1115"/>
          <w:spacing w:val="0"/>
          <w:sz w:val="20"/>
          <w:szCs w:val="20"/>
          <w:shd w:val="clear" w:fill="FFFFFF"/>
        </w:rPr>
        <w:t xml:space="preserve"> for University Students</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2902"/>
      </w:tblGrid>
      <w:tr w14:paraId="3212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9" w:type="dxa"/>
            <w:tcBorders>
              <w:top w:val="single" w:color="000000" w:sz="12" w:space="0"/>
              <w:left w:val="nil"/>
              <w:bottom w:val="single" w:color="000000" w:sz="12" w:space="0"/>
              <w:right w:val="nil"/>
            </w:tcBorders>
          </w:tcPr>
          <w:p w14:paraId="7608D4D4">
            <w:pPr>
              <w:spacing w:line="360" w:lineRule="auto"/>
              <w:jc w:val="center"/>
              <w:rPr>
                <w:rFonts w:hint="default" w:ascii="Times New Roman" w:hAnsi="Times New Roman" w:eastAsia="宋体" w:cs="Times New Roman"/>
                <w:b/>
                <w:bCs/>
                <w:color w:val="auto"/>
                <w:sz w:val="20"/>
                <w:szCs w:val="20"/>
                <w:lang w:val="en-US" w:eastAsia="zh-CN"/>
              </w:rPr>
            </w:pPr>
            <w:r>
              <w:rPr>
                <w:rFonts w:hint="eastAsia" w:ascii="Times New Roman" w:hAnsi="Times New Roman" w:eastAsia="宋体" w:cs="Times New Roman"/>
                <w:b/>
                <w:bCs/>
                <w:color w:val="auto"/>
                <w:sz w:val="20"/>
                <w:szCs w:val="20"/>
                <w:lang w:val="en-US" w:eastAsia="zh-CN"/>
              </w:rPr>
              <w:t>Item</w:t>
            </w:r>
          </w:p>
        </w:tc>
        <w:tc>
          <w:tcPr>
            <w:tcW w:w="2902" w:type="dxa"/>
            <w:tcBorders>
              <w:top w:val="single" w:color="000000" w:sz="12" w:space="0"/>
              <w:left w:val="nil"/>
              <w:bottom w:val="single" w:color="000000" w:sz="12" w:space="0"/>
              <w:right w:val="nil"/>
            </w:tcBorders>
          </w:tcPr>
          <w:p w14:paraId="48356B71">
            <w:pPr>
              <w:spacing w:line="360" w:lineRule="auto"/>
              <w:jc w:val="center"/>
              <w:rPr>
                <w:rFonts w:hint="default" w:ascii="Times New Roman" w:hAnsi="Times New Roman" w:eastAsia="宋体" w:cs="Times New Roman"/>
                <w:b/>
                <w:bCs/>
                <w:color w:val="auto"/>
                <w:sz w:val="20"/>
                <w:szCs w:val="20"/>
                <w:lang w:val="en-US" w:eastAsia="zh-CN"/>
              </w:rPr>
            </w:pPr>
            <w:r>
              <w:rPr>
                <w:rFonts w:hint="eastAsia" w:ascii="Times New Roman" w:hAnsi="Times New Roman" w:eastAsia="宋体" w:cs="Times New Roman"/>
                <w:b/>
                <w:bCs/>
                <w:color w:val="auto"/>
                <w:sz w:val="20"/>
                <w:szCs w:val="20"/>
                <w:lang w:val="en-US" w:eastAsia="zh-CN"/>
              </w:rPr>
              <w:t>Positive Resonance</w:t>
            </w:r>
          </w:p>
        </w:tc>
      </w:tr>
      <w:tr w14:paraId="2A9A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9" w:type="dxa"/>
            <w:tcBorders>
              <w:top w:val="single" w:color="000000" w:sz="12" w:space="0"/>
              <w:left w:val="nil"/>
              <w:bottom w:val="nil"/>
              <w:right w:val="nil"/>
            </w:tcBorders>
          </w:tcPr>
          <w:p w14:paraId="2453DF40">
            <w:pPr>
              <w:spacing w:line="360" w:lineRule="auto"/>
              <w:jc w:val="center"/>
              <w:rPr>
                <w:rFonts w:hint="default" w:ascii="Times New Roman" w:hAnsi="Times New Roman" w:eastAsia="宋体" w:cs="Times New Roman"/>
                <w:color w:val="auto"/>
                <w:sz w:val="20"/>
                <w:szCs w:val="20"/>
              </w:rPr>
            </w:pPr>
            <w:r>
              <w:rPr>
                <w:rFonts w:hint="default" w:ascii="Times New Roman" w:hAnsi="Times New Roman" w:eastAsia="Segoe UI" w:cs="Times New Roman"/>
                <w:i w:val="0"/>
                <w:iCs w:val="0"/>
                <w:caps w:val="0"/>
                <w:color w:val="0F1115"/>
                <w:spacing w:val="0"/>
                <w:sz w:val="20"/>
                <w:szCs w:val="20"/>
                <w:shd w:val="clear" w:fill="FFFFFF"/>
              </w:rPr>
              <w:t>Sample</w:t>
            </w:r>
            <w:r>
              <w:rPr>
                <w:rFonts w:hint="default" w:ascii="Times New Roman" w:hAnsi="Times New Roman" w:eastAsia="宋体" w:cs="Times New Roman"/>
                <w:color w:val="auto"/>
                <w:sz w:val="20"/>
                <w:szCs w:val="20"/>
              </w:rPr>
              <w:t>1（n=630）</w:t>
            </w:r>
          </w:p>
        </w:tc>
        <w:tc>
          <w:tcPr>
            <w:tcW w:w="2902" w:type="dxa"/>
            <w:tcBorders>
              <w:top w:val="single" w:color="000000" w:sz="12" w:space="0"/>
              <w:left w:val="nil"/>
              <w:bottom w:val="nil"/>
              <w:right w:val="nil"/>
            </w:tcBorders>
          </w:tcPr>
          <w:p w14:paraId="7B420C23">
            <w:pPr>
              <w:spacing w:line="360" w:lineRule="auto"/>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0.958</w:t>
            </w:r>
          </w:p>
        </w:tc>
      </w:tr>
      <w:tr w14:paraId="273F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9" w:type="dxa"/>
            <w:tcBorders>
              <w:top w:val="nil"/>
              <w:left w:val="nil"/>
              <w:bottom w:val="nil"/>
              <w:right w:val="nil"/>
            </w:tcBorders>
          </w:tcPr>
          <w:p w14:paraId="2E3E93A5">
            <w:pPr>
              <w:spacing w:line="360" w:lineRule="auto"/>
              <w:jc w:val="center"/>
              <w:rPr>
                <w:rFonts w:hint="default" w:ascii="Times New Roman" w:hAnsi="Times New Roman" w:eastAsia="宋体" w:cs="Times New Roman"/>
                <w:color w:val="auto"/>
                <w:sz w:val="20"/>
                <w:szCs w:val="20"/>
              </w:rPr>
            </w:pPr>
            <w:r>
              <w:rPr>
                <w:rFonts w:hint="default" w:ascii="Times New Roman" w:hAnsi="Times New Roman" w:eastAsia="Segoe UI" w:cs="Times New Roman"/>
                <w:i w:val="0"/>
                <w:iCs w:val="0"/>
                <w:caps w:val="0"/>
                <w:color w:val="0F1115"/>
                <w:spacing w:val="0"/>
                <w:sz w:val="20"/>
                <w:szCs w:val="20"/>
                <w:shd w:val="clear" w:fill="FFFFFF"/>
              </w:rPr>
              <w:t>Sample</w:t>
            </w:r>
            <w:r>
              <w:rPr>
                <w:rFonts w:hint="default" w:ascii="Times New Roman" w:hAnsi="Times New Roman" w:eastAsia="宋体" w:cs="Times New Roman"/>
                <w:color w:val="auto"/>
                <w:sz w:val="20"/>
                <w:szCs w:val="20"/>
              </w:rPr>
              <w:t>2（n=471）</w:t>
            </w:r>
          </w:p>
        </w:tc>
        <w:tc>
          <w:tcPr>
            <w:tcW w:w="2902" w:type="dxa"/>
            <w:tcBorders>
              <w:top w:val="nil"/>
              <w:left w:val="nil"/>
              <w:bottom w:val="nil"/>
              <w:right w:val="nil"/>
            </w:tcBorders>
          </w:tcPr>
          <w:p w14:paraId="651B4770">
            <w:pPr>
              <w:spacing w:line="360" w:lineRule="auto"/>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0.967</w:t>
            </w:r>
          </w:p>
        </w:tc>
      </w:tr>
      <w:tr w14:paraId="64DF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9" w:type="dxa"/>
            <w:tcBorders>
              <w:top w:val="nil"/>
              <w:left w:val="nil"/>
              <w:bottom w:val="single" w:color="000000" w:sz="12" w:space="0"/>
              <w:right w:val="nil"/>
            </w:tcBorders>
          </w:tcPr>
          <w:p w14:paraId="6062AAA2">
            <w:pPr>
              <w:spacing w:line="360" w:lineRule="auto"/>
              <w:jc w:val="center"/>
              <w:rPr>
                <w:rFonts w:hint="default" w:ascii="Times New Roman" w:hAnsi="Times New Roman" w:eastAsia="宋体" w:cs="Times New Roman"/>
                <w:color w:val="auto"/>
                <w:sz w:val="20"/>
                <w:szCs w:val="20"/>
              </w:rPr>
            </w:pPr>
            <w:r>
              <w:rPr>
                <w:rFonts w:hint="default" w:ascii="Times New Roman" w:hAnsi="Times New Roman" w:eastAsia="Segoe UI" w:cs="Times New Roman"/>
                <w:i w:val="0"/>
                <w:iCs w:val="0"/>
                <w:caps w:val="0"/>
                <w:color w:val="0F1115"/>
                <w:spacing w:val="0"/>
                <w:sz w:val="20"/>
                <w:szCs w:val="20"/>
                <w:shd w:val="clear" w:fill="FFFFFF"/>
              </w:rPr>
              <w:t>Sample</w:t>
            </w:r>
            <w:r>
              <w:rPr>
                <w:rFonts w:hint="default" w:ascii="Times New Roman" w:hAnsi="Times New Roman" w:eastAsia="宋体" w:cs="Times New Roman"/>
                <w:color w:val="auto"/>
                <w:sz w:val="20"/>
                <w:szCs w:val="20"/>
              </w:rPr>
              <w:t>3（n=154）</w:t>
            </w:r>
          </w:p>
        </w:tc>
        <w:tc>
          <w:tcPr>
            <w:tcW w:w="2902" w:type="dxa"/>
            <w:tcBorders>
              <w:top w:val="nil"/>
              <w:left w:val="nil"/>
              <w:bottom w:val="single" w:color="000000" w:sz="12" w:space="0"/>
              <w:right w:val="nil"/>
            </w:tcBorders>
          </w:tcPr>
          <w:p w14:paraId="2B2A4EDE">
            <w:pPr>
              <w:spacing w:line="360" w:lineRule="auto"/>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0.946</w:t>
            </w:r>
          </w:p>
        </w:tc>
      </w:tr>
    </w:tbl>
    <w:p w14:paraId="6800C154">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leftChars="0" w:right="0" w:rightChars="0" w:firstLine="320" w:firstLineChars="200"/>
        <w:jc w:val="both"/>
        <w:textAlignment w:val="auto"/>
        <w:rPr>
          <w:rFonts w:hint="default" w:ascii="Times New Roman" w:hAnsi="Times New Roman" w:eastAsia="Segoe UI" w:cs="Times New Roman"/>
          <w:i w:val="0"/>
          <w:iCs w:val="0"/>
          <w:caps w:val="0"/>
          <w:color w:val="0F1115"/>
          <w:spacing w:val="0"/>
          <w:sz w:val="16"/>
          <w:szCs w:val="16"/>
          <w:shd w:val="clear" w:fill="FFFFFF"/>
        </w:rPr>
      </w:pPr>
    </w:p>
    <w:p w14:paraId="1DEAB144">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b/>
          <w:bCs/>
          <w:i w:val="0"/>
          <w:iCs w:val="0"/>
          <w:caps w:val="0"/>
          <w:color w:val="0F1115"/>
          <w:spacing w:val="0"/>
          <w:sz w:val="24"/>
          <w:szCs w:val="24"/>
          <w:shd w:val="clear" w:fill="FFFFFF"/>
        </w:rPr>
      </w:pPr>
      <w:r>
        <w:rPr>
          <w:rFonts w:hint="default" w:ascii="Times New Roman" w:hAnsi="Times New Roman" w:eastAsia="Segoe UI" w:cs="Times New Roman"/>
          <w:b/>
          <w:bCs/>
          <w:i w:val="0"/>
          <w:iCs w:val="0"/>
          <w:caps w:val="0"/>
          <w:color w:val="0F1115"/>
          <w:spacing w:val="0"/>
          <w:sz w:val="24"/>
          <w:szCs w:val="24"/>
          <w:shd w:val="clear" w:fill="FFFFFF"/>
        </w:rPr>
        <w:t>Measurement Invariance Test</w:t>
      </w:r>
    </w:p>
    <w:p w14:paraId="08D3D0D6">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To examine whether the Perceived Positive Resonance Scale is equally applicable to both male and female students, a test of measurement invariance across genders was conducted using the Chinese version of the scale. The model fit indices for each step are presented in Table</w:t>
      </w:r>
      <w:r>
        <w:rPr>
          <w:rFonts w:hint="eastAsia" w:ascii="Times New Roman" w:hAnsi="Times New Roman" w:eastAsia="宋体" w:cs="Times New Roman"/>
          <w:i w:val="0"/>
          <w:iCs w:val="0"/>
          <w:caps w:val="0"/>
          <w:color w:val="0F1115"/>
          <w:spacing w:val="0"/>
          <w:sz w:val="24"/>
          <w:szCs w:val="24"/>
          <w:shd w:val="clear" w:fill="FFFFFF"/>
          <w:lang w:val="en-US" w:eastAsia="zh-CN"/>
        </w:rPr>
        <w:t xml:space="preserve"> 5</w:t>
      </w:r>
      <w:r>
        <w:rPr>
          <w:rFonts w:hint="default" w:ascii="Times New Roman" w:hAnsi="Times New Roman" w:eastAsia="Segoe UI" w:cs="Times New Roman"/>
          <w:i w:val="0"/>
          <w:iCs w:val="0"/>
          <w:caps w:val="0"/>
          <w:color w:val="0F1115"/>
          <w:spacing w:val="0"/>
          <w:sz w:val="24"/>
          <w:szCs w:val="24"/>
          <w:shd w:val="clear" w:fill="FFFFFF"/>
        </w:rPr>
        <w:t>.</w:t>
      </w:r>
      <w:r>
        <w:rPr>
          <w:rFonts w:hint="eastAsia" w:ascii="Times New Roman" w:hAnsi="Times New Roman" w:eastAsia="宋体" w:cs="Times New Roman"/>
          <w:i w:val="0"/>
          <w:iCs w:val="0"/>
          <w:caps w:val="0"/>
          <w:color w:val="0F1115"/>
          <w:spacing w:val="0"/>
          <w:sz w:val="24"/>
          <w:szCs w:val="24"/>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The analysis was performed using Mplus 7.</w:t>
      </w:r>
      <w:r>
        <w:rPr>
          <w:rFonts w:hint="eastAsia" w:ascii="Times New Roman" w:hAnsi="Times New Roman" w:eastAsia="宋体" w:cs="Times New Roman"/>
          <w:i w:val="0"/>
          <w:iCs w:val="0"/>
          <w:caps w:val="0"/>
          <w:color w:val="0F1115"/>
          <w:spacing w:val="0"/>
          <w:sz w:val="24"/>
          <w:szCs w:val="24"/>
          <w:shd w:val="clear" w:fill="FFFFFF"/>
          <w:lang w:val="en-US" w:eastAsia="zh-CN"/>
        </w:rPr>
        <w:t>0</w:t>
      </w:r>
      <w:r>
        <w:rPr>
          <w:rFonts w:hint="default" w:ascii="Times New Roman" w:hAnsi="Times New Roman" w:eastAsia="Segoe UI" w:cs="Times New Roman"/>
          <w:i w:val="0"/>
          <w:iCs w:val="0"/>
          <w:caps w:val="0"/>
          <w:color w:val="0F1115"/>
          <w:spacing w:val="0"/>
          <w:sz w:val="24"/>
          <w:szCs w:val="24"/>
          <w:shd w:val="clear" w:fill="FFFFFF"/>
        </w:rPr>
        <w:t>. In the first step, a configural invariance model was established based on the modified confirmatory factor analysis model of the Chinese version of the scale. The fit indices for this model were acceptable, confirming the establishment of configural invariance across genders. In the second step, metric invariance was tested by constraining factor loadings to be equal across genders. Compared to the configural invariance model, the changes in fit indices were minimal, with differences in CFI, TLI, and RMSEA all below 0.01. Additionally, Δχ²/Δdf = 6.128/6, </w:t>
      </w:r>
      <w:r>
        <w:rPr>
          <w:rFonts w:hint="default" w:ascii="Times New Roman" w:hAnsi="Times New Roman" w:eastAsia="Segoe UI" w:cs="Times New Roman"/>
          <w:i/>
          <w:iCs/>
          <w:caps w:val="0"/>
          <w:color w:val="0F1115"/>
          <w:spacing w:val="0"/>
          <w:sz w:val="24"/>
          <w:szCs w:val="24"/>
          <w:shd w:val="clear" w:fill="FFFFFF"/>
        </w:rPr>
        <w:t>p</w:t>
      </w:r>
      <w:r>
        <w:rPr>
          <w:rFonts w:hint="default" w:ascii="Times New Roman" w:hAnsi="Times New Roman" w:eastAsia="Segoe UI" w:cs="Times New Roman"/>
          <w:i w:val="0"/>
          <w:iCs w:val="0"/>
          <w:caps w:val="0"/>
          <w:color w:val="0F1115"/>
          <w:spacing w:val="0"/>
          <w:sz w:val="24"/>
          <w:szCs w:val="24"/>
          <w:shd w:val="clear" w:fill="FFFFFF"/>
        </w:rPr>
        <w:t> &gt; 0.05, supporting the establishment of metric invariance across genders.</w:t>
      </w:r>
      <w:r>
        <w:rPr>
          <w:rFonts w:hint="eastAsia" w:ascii="Times New Roman" w:hAnsi="Times New Roman" w:eastAsia="宋体" w:cs="Times New Roman"/>
          <w:i w:val="0"/>
          <w:iCs w:val="0"/>
          <w:caps w:val="0"/>
          <w:color w:val="0F1115"/>
          <w:spacing w:val="0"/>
          <w:sz w:val="24"/>
          <w:szCs w:val="24"/>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In the third step, scalar invariance was examined by constraining item intercepts to be equal across genders. Compared to the metric invariance model, the changes in fit indices were again minimal, with differences in CFI, TLI, and RMSEA all below 0.01. Moreover, Δχ²/Δdf = 5.936/6, </w:t>
      </w:r>
      <w:r>
        <w:rPr>
          <w:rFonts w:hint="default" w:ascii="Times New Roman" w:hAnsi="Times New Roman" w:eastAsia="Segoe UI" w:cs="Times New Roman"/>
          <w:i/>
          <w:iCs/>
          <w:caps w:val="0"/>
          <w:color w:val="0F1115"/>
          <w:spacing w:val="0"/>
          <w:sz w:val="24"/>
          <w:szCs w:val="24"/>
          <w:shd w:val="clear" w:fill="FFFFFF"/>
        </w:rPr>
        <w:t>p</w:t>
      </w:r>
      <w:r>
        <w:rPr>
          <w:rFonts w:hint="default" w:ascii="Times New Roman" w:hAnsi="Times New Roman" w:eastAsia="Segoe UI" w:cs="Times New Roman"/>
          <w:i w:val="0"/>
          <w:iCs w:val="0"/>
          <w:caps w:val="0"/>
          <w:color w:val="0F1115"/>
          <w:spacing w:val="0"/>
          <w:sz w:val="24"/>
          <w:szCs w:val="24"/>
          <w:shd w:val="clear" w:fill="FFFFFF"/>
        </w:rPr>
        <w:t> &gt; 0.05, confirming the establishment of scalar invariance across genders.</w:t>
      </w:r>
      <w:r>
        <w:rPr>
          <w:rFonts w:hint="eastAsia" w:ascii="Times New Roman" w:hAnsi="Times New Roman" w:eastAsia="宋体" w:cs="Times New Roman"/>
          <w:i w:val="0"/>
          <w:iCs w:val="0"/>
          <w:caps w:val="0"/>
          <w:color w:val="0F1115"/>
          <w:spacing w:val="0"/>
          <w:sz w:val="24"/>
          <w:szCs w:val="24"/>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In the fourth step, residual invariance was tested by constraining error variances to be equal across genders. Compared to the scalar invariance model, the changes in fit indices remained minor, with differences in CFI, TLI, and RMSEA all below 0.01. Furthermore, Δχ²/Δdf = 27.656/7, </w:t>
      </w:r>
      <w:r>
        <w:rPr>
          <w:rFonts w:hint="default" w:ascii="Times New Roman" w:hAnsi="Times New Roman" w:eastAsia="Segoe UI" w:cs="Times New Roman"/>
          <w:i/>
          <w:iCs/>
          <w:caps w:val="0"/>
          <w:color w:val="0F1115"/>
          <w:spacing w:val="0"/>
          <w:sz w:val="24"/>
          <w:szCs w:val="24"/>
          <w:shd w:val="clear" w:fill="FFFFFF"/>
        </w:rPr>
        <w:t>p</w:t>
      </w:r>
      <w:r>
        <w:rPr>
          <w:rFonts w:hint="default" w:ascii="Times New Roman" w:hAnsi="Times New Roman" w:eastAsia="Segoe UI" w:cs="Times New Roman"/>
          <w:i w:val="0"/>
          <w:iCs w:val="0"/>
          <w:caps w:val="0"/>
          <w:color w:val="0F1115"/>
          <w:spacing w:val="0"/>
          <w:sz w:val="24"/>
          <w:szCs w:val="24"/>
          <w:shd w:val="clear" w:fill="FFFFFF"/>
        </w:rPr>
        <w:t> &gt; 0.05, supporting the establishment of residual invariance across genders.</w:t>
      </w:r>
    </w:p>
    <w:p w14:paraId="6CFD9585">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240" w:lineRule="auto"/>
        <w:ind w:right="0" w:rightChars="0"/>
        <w:jc w:val="both"/>
        <w:textAlignment w:val="auto"/>
        <w:rPr>
          <w:rFonts w:hint="default" w:ascii="Times New Roman" w:hAnsi="Times New Roman" w:eastAsia="Segoe UI" w:cs="Times New Roman"/>
          <w:i w:val="0"/>
          <w:iCs w:val="0"/>
          <w:caps w:val="0"/>
          <w:color w:val="0F1115"/>
          <w:spacing w:val="0"/>
          <w:sz w:val="20"/>
          <w:szCs w:val="20"/>
          <w:shd w:val="clear" w:fill="FFFFFF"/>
        </w:rPr>
      </w:pPr>
      <w:r>
        <w:rPr>
          <w:rFonts w:hint="default" w:ascii="Times New Roman" w:hAnsi="Times New Roman" w:eastAsia="Segoe UI" w:cs="Times New Roman"/>
          <w:b/>
          <w:bCs/>
          <w:i w:val="0"/>
          <w:iCs w:val="0"/>
          <w:caps w:val="0"/>
          <w:color w:val="0F1115"/>
          <w:spacing w:val="0"/>
          <w:sz w:val="20"/>
          <w:szCs w:val="20"/>
          <w:shd w:val="clear" w:fill="FFFFFF"/>
        </w:rPr>
        <w:t xml:space="preserve">Table </w:t>
      </w:r>
      <w:r>
        <w:rPr>
          <w:rFonts w:hint="eastAsia" w:ascii="Times New Roman" w:hAnsi="Times New Roman" w:eastAsia="宋体" w:cs="Times New Roman"/>
          <w:b/>
          <w:bCs/>
          <w:i w:val="0"/>
          <w:iCs w:val="0"/>
          <w:caps w:val="0"/>
          <w:color w:val="0F1115"/>
          <w:spacing w:val="0"/>
          <w:sz w:val="20"/>
          <w:szCs w:val="20"/>
          <w:shd w:val="clear" w:fill="FFFFFF"/>
          <w:lang w:val="en-US" w:eastAsia="zh-CN"/>
        </w:rPr>
        <w:t>5</w:t>
      </w:r>
      <w:r>
        <w:rPr>
          <w:rFonts w:hint="default" w:ascii="Times New Roman" w:hAnsi="Times New Roman" w:eastAsia="Segoe UI" w:cs="Times New Roman"/>
          <w:b/>
          <w:bCs/>
          <w:i w:val="0"/>
          <w:iCs w:val="0"/>
          <w:caps w:val="0"/>
          <w:color w:val="0F1115"/>
          <w:spacing w:val="0"/>
          <w:sz w:val="20"/>
          <w:szCs w:val="20"/>
          <w:shd w:val="clear" w:fill="FFFFFF"/>
        </w:rPr>
        <w:t>.</w:t>
      </w:r>
      <w:r>
        <w:rPr>
          <w:rFonts w:hint="default" w:ascii="Times New Roman" w:hAnsi="Times New Roman" w:eastAsia="Segoe UI" w:cs="Times New Roman"/>
          <w:i w:val="0"/>
          <w:iCs w:val="0"/>
          <w:caps w:val="0"/>
          <w:color w:val="0F1115"/>
          <w:spacing w:val="0"/>
          <w:sz w:val="20"/>
          <w:szCs w:val="20"/>
          <w:shd w:val="clear" w:fill="FFFFFF"/>
        </w:rPr>
        <w:t xml:space="preserve"> </w:t>
      </w:r>
      <w:r>
        <w:rPr>
          <w:rFonts w:hint="default" w:ascii="Times New Roman" w:hAnsi="Times New Roman" w:eastAsia="Segoe UI" w:cs="Times New Roman"/>
          <w:i/>
          <w:iCs/>
          <w:caps w:val="0"/>
          <w:color w:val="0F1115"/>
          <w:spacing w:val="0"/>
          <w:sz w:val="20"/>
          <w:szCs w:val="20"/>
          <w:shd w:val="clear" w:fill="FFFFFF"/>
        </w:rPr>
        <w:t xml:space="preserve">Fit Indices and Model Comparisons for Measurement Invariance Across Genders for the </w:t>
      </w:r>
      <w:r>
        <w:rPr>
          <w:rFonts w:hint="eastAsia" w:ascii="Times New Roman" w:hAnsi="Times New Roman" w:eastAsia="宋体" w:cs="Times New Roman"/>
          <w:i/>
          <w:iCs/>
          <w:caps w:val="0"/>
          <w:color w:val="0F1115"/>
          <w:spacing w:val="0"/>
          <w:sz w:val="20"/>
          <w:szCs w:val="20"/>
          <w:shd w:val="clear" w:fill="FFFFFF"/>
          <w:lang w:val="en-US" w:eastAsia="zh-CN"/>
        </w:rPr>
        <w:t>PPRS</w:t>
      </w:r>
      <w:r>
        <w:rPr>
          <w:rFonts w:hint="default" w:ascii="Times New Roman" w:hAnsi="Times New Roman" w:eastAsia="Segoe UI" w:cs="Times New Roman"/>
          <w:i/>
          <w:iCs/>
          <w:caps w:val="0"/>
          <w:color w:val="0F1115"/>
          <w:spacing w:val="0"/>
          <w:sz w:val="20"/>
          <w:szCs w:val="20"/>
          <w:shd w:val="clear" w:fill="FFFFFF"/>
        </w:rPr>
        <w:t xml:space="preserve"> (n=471)</w:t>
      </w:r>
    </w:p>
    <w:tbl>
      <w:tblPr>
        <w:tblStyle w:val="5"/>
        <w:tblW w:w="10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1258"/>
        <w:gridCol w:w="730"/>
        <w:gridCol w:w="682"/>
        <w:gridCol w:w="847"/>
        <w:gridCol w:w="1897"/>
        <w:gridCol w:w="770"/>
        <w:gridCol w:w="550"/>
        <w:gridCol w:w="700"/>
        <w:gridCol w:w="1118"/>
      </w:tblGrid>
      <w:tr w14:paraId="7889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533" w:type="dxa"/>
            <w:tcBorders>
              <w:top w:val="single" w:color="000000" w:sz="12" w:space="0"/>
              <w:left w:val="nil"/>
              <w:bottom w:val="single" w:color="000000" w:sz="12" w:space="0"/>
              <w:right w:val="nil"/>
            </w:tcBorders>
            <w:vAlign w:val="center"/>
          </w:tcPr>
          <w:p w14:paraId="48D05AE2">
            <w:pPr>
              <w:spacing w:line="360" w:lineRule="auto"/>
              <w:jc w:val="center"/>
              <w:rPr>
                <w:rFonts w:hint="default" w:ascii="Times New Roman" w:hAnsi="Times New Roman" w:cs="Times New Roman" w:eastAsiaTheme="majorEastAsia"/>
                <w:b/>
                <w:bCs/>
                <w:color w:val="auto"/>
                <w:sz w:val="20"/>
                <w:szCs w:val="20"/>
                <w:lang w:val="en-US" w:eastAsia="zh-CN"/>
              </w:rPr>
            </w:pPr>
            <w:r>
              <w:rPr>
                <w:rFonts w:hint="eastAsia" w:ascii="Times New Roman" w:hAnsi="Times New Roman" w:cs="Times New Roman" w:eastAsiaTheme="majorEastAsia"/>
                <w:b/>
                <w:bCs/>
                <w:color w:val="auto"/>
                <w:sz w:val="20"/>
                <w:szCs w:val="20"/>
                <w:lang w:val="en-US" w:eastAsia="zh-CN"/>
              </w:rPr>
              <w:t>Model</w:t>
            </w:r>
          </w:p>
        </w:tc>
        <w:tc>
          <w:tcPr>
            <w:tcW w:w="1258" w:type="dxa"/>
            <w:tcBorders>
              <w:top w:val="single" w:color="000000" w:sz="12" w:space="0"/>
              <w:left w:val="nil"/>
              <w:bottom w:val="single" w:color="000000" w:sz="12" w:space="0"/>
              <w:right w:val="nil"/>
            </w:tcBorders>
            <w:vAlign w:val="center"/>
          </w:tcPr>
          <w:p w14:paraId="438052D9">
            <w:pPr>
              <w:spacing w:line="360" w:lineRule="auto"/>
              <w:jc w:val="center"/>
              <w:rPr>
                <w:rFonts w:hint="default" w:ascii="Times New Roman" w:hAnsi="Times New Roman" w:cs="Times New Roman" w:eastAsiaTheme="majorEastAsia"/>
                <w:b/>
                <w:bCs/>
                <w:i/>
                <w:iCs/>
                <w:color w:val="auto"/>
                <w:sz w:val="20"/>
                <w:szCs w:val="20"/>
              </w:rPr>
            </w:pPr>
            <w:r>
              <w:rPr>
                <w:rFonts w:hint="default" w:ascii="Times New Roman" w:hAnsi="Times New Roman" w:cs="Times New Roman" w:eastAsiaTheme="majorEastAsia"/>
                <w:b/>
                <w:bCs/>
                <w:i/>
                <w:iCs/>
                <w:color w:val="auto"/>
                <w:sz w:val="20"/>
                <w:szCs w:val="20"/>
              </w:rPr>
              <w:t>χ</w:t>
            </w:r>
            <w:r>
              <w:rPr>
                <w:rFonts w:hint="default" w:ascii="Times New Roman" w:hAnsi="Times New Roman" w:cs="Times New Roman" w:eastAsiaTheme="majorEastAsia"/>
                <w:b/>
                <w:bCs/>
                <w:i/>
                <w:iCs/>
                <w:color w:val="auto"/>
                <w:sz w:val="20"/>
                <w:szCs w:val="20"/>
                <w:vertAlign w:val="superscript"/>
              </w:rPr>
              <w:t>2</w:t>
            </w:r>
            <w:r>
              <w:rPr>
                <w:rFonts w:hint="default" w:ascii="Times New Roman" w:hAnsi="Times New Roman" w:cs="Times New Roman" w:eastAsiaTheme="majorEastAsia"/>
                <w:b/>
                <w:bCs/>
                <w:i/>
                <w:iCs/>
                <w:color w:val="auto"/>
                <w:sz w:val="20"/>
                <w:szCs w:val="20"/>
              </w:rPr>
              <w:t>（df）</w:t>
            </w:r>
          </w:p>
        </w:tc>
        <w:tc>
          <w:tcPr>
            <w:tcW w:w="730" w:type="dxa"/>
            <w:tcBorders>
              <w:top w:val="single" w:color="000000" w:sz="12" w:space="0"/>
              <w:left w:val="nil"/>
              <w:bottom w:val="single" w:color="000000" w:sz="12" w:space="0"/>
              <w:right w:val="nil"/>
            </w:tcBorders>
            <w:vAlign w:val="center"/>
          </w:tcPr>
          <w:p w14:paraId="34040BA4">
            <w:pPr>
              <w:spacing w:line="360" w:lineRule="auto"/>
              <w:jc w:val="center"/>
              <w:rPr>
                <w:rFonts w:hint="default" w:ascii="Times New Roman" w:hAnsi="Times New Roman" w:cs="Times New Roman" w:eastAsiaTheme="majorEastAsia"/>
                <w:b/>
                <w:bCs/>
                <w:i/>
                <w:iCs/>
                <w:color w:val="auto"/>
                <w:sz w:val="20"/>
                <w:szCs w:val="20"/>
              </w:rPr>
            </w:pPr>
            <w:r>
              <w:rPr>
                <w:rFonts w:hint="default" w:ascii="Times New Roman" w:hAnsi="Times New Roman" w:cs="Times New Roman" w:eastAsiaTheme="majorEastAsia"/>
                <w:b/>
                <w:bCs/>
                <w:i/>
                <w:iCs/>
                <w:color w:val="auto"/>
                <w:sz w:val="20"/>
                <w:szCs w:val="20"/>
              </w:rPr>
              <w:t>χ</w:t>
            </w:r>
            <w:r>
              <w:rPr>
                <w:rFonts w:hint="default" w:ascii="Times New Roman" w:hAnsi="Times New Roman" w:cs="Times New Roman" w:eastAsiaTheme="majorEastAsia"/>
                <w:b/>
                <w:bCs/>
                <w:i/>
                <w:iCs/>
                <w:color w:val="auto"/>
                <w:sz w:val="20"/>
                <w:szCs w:val="20"/>
                <w:vertAlign w:val="superscript"/>
              </w:rPr>
              <w:t>2</w:t>
            </w:r>
            <w:r>
              <w:rPr>
                <w:rFonts w:hint="default" w:ascii="Times New Roman" w:hAnsi="Times New Roman" w:cs="Times New Roman" w:eastAsiaTheme="majorEastAsia"/>
                <w:b/>
                <w:bCs/>
                <w:i/>
                <w:iCs/>
                <w:color w:val="auto"/>
                <w:sz w:val="20"/>
                <w:szCs w:val="20"/>
              </w:rPr>
              <w:t>/df</w:t>
            </w:r>
          </w:p>
        </w:tc>
        <w:tc>
          <w:tcPr>
            <w:tcW w:w="682" w:type="dxa"/>
            <w:tcBorders>
              <w:top w:val="single" w:color="000000" w:sz="12" w:space="0"/>
              <w:left w:val="nil"/>
              <w:bottom w:val="single" w:color="000000" w:sz="12" w:space="0"/>
              <w:right w:val="nil"/>
            </w:tcBorders>
            <w:vAlign w:val="center"/>
          </w:tcPr>
          <w:p w14:paraId="46838D98">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b/>
                <w:bCs/>
                <w:color w:val="auto"/>
                <w:sz w:val="20"/>
                <w:szCs w:val="20"/>
              </w:rPr>
              <w:t>CFI</w:t>
            </w:r>
          </w:p>
        </w:tc>
        <w:tc>
          <w:tcPr>
            <w:tcW w:w="847" w:type="dxa"/>
            <w:tcBorders>
              <w:top w:val="single" w:color="000000" w:sz="12" w:space="0"/>
              <w:left w:val="nil"/>
              <w:bottom w:val="single" w:color="000000" w:sz="12" w:space="0"/>
              <w:right w:val="nil"/>
            </w:tcBorders>
            <w:vAlign w:val="center"/>
          </w:tcPr>
          <w:p w14:paraId="58204522">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b/>
                <w:bCs/>
                <w:color w:val="auto"/>
                <w:sz w:val="20"/>
                <w:szCs w:val="20"/>
              </w:rPr>
              <w:t>TLI</w:t>
            </w:r>
          </w:p>
        </w:tc>
        <w:tc>
          <w:tcPr>
            <w:tcW w:w="1897" w:type="dxa"/>
            <w:tcBorders>
              <w:top w:val="single" w:color="000000" w:sz="12" w:space="0"/>
              <w:left w:val="nil"/>
              <w:bottom w:val="single" w:color="000000" w:sz="12" w:space="0"/>
              <w:right w:val="nil"/>
            </w:tcBorders>
            <w:vAlign w:val="center"/>
          </w:tcPr>
          <w:p w14:paraId="32067AA8">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b/>
                <w:bCs/>
                <w:color w:val="auto"/>
                <w:sz w:val="20"/>
                <w:szCs w:val="20"/>
              </w:rPr>
              <w:t>RMSEA（90% CI）</w:t>
            </w:r>
          </w:p>
        </w:tc>
        <w:tc>
          <w:tcPr>
            <w:tcW w:w="770" w:type="dxa"/>
            <w:tcBorders>
              <w:top w:val="single" w:color="000000" w:sz="12" w:space="0"/>
              <w:left w:val="nil"/>
              <w:bottom w:val="single" w:color="000000" w:sz="12" w:space="0"/>
              <w:right w:val="nil"/>
            </w:tcBorders>
            <w:vAlign w:val="center"/>
          </w:tcPr>
          <w:p w14:paraId="382E94F7">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b/>
                <w:bCs/>
                <w:color w:val="auto"/>
                <w:sz w:val="20"/>
                <w:szCs w:val="20"/>
              </w:rPr>
              <w:t>Δ</w:t>
            </w:r>
            <w:r>
              <w:rPr>
                <w:rFonts w:hint="default" w:ascii="Times New Roman" w:hAnsi="Times New Roman" w:cs="Times New Roman" w:eastAsiaTheme="majorEastAsia"/>
                <w:b/>
                <w:bCs/>
                <w:i/>
                <w:iCs/>
                <w:color w:val="auto"/>
                <w:sz w:val="20"/>
                <w:szCs w:val="20"/>
              </w:rPr>
              <w:t>χ</w:t>
            </w:r>
            <w:r>
              <w:rPr>
                <w:rFonts w:hint="default" w:ascii="Times New Roman" w:hAnsi="Times New Roman" w:cs="Times New Roman" w:eastAsiaTheme="majorEastAsia"/>
                <w:b/>
                <w:bCs/>
                <w:i/>
                <w:iCs/>
                <w:color w:val="auto"/>
                <w:sz w:val="20"/>
                <w:szCs w:val="20"/>
                <w:vertAlign w:val="superscript"/>
              </w:rPr>
              <w:t>2</w:t>
            </w:r>
          </w:p>
        </w:tc>
        <w:tc>
          <w:tcPr>
            <w:tcW w:w="550" w:type="dxa"/>
            <w:tcBorders>
              <w:top w:val="single" w:color="000000" w:sz="12" w:space="0"/>
              <w:left w:val="nil"/>
              <w:bottom w:val="single" w:color="000000" w:sz="12" w:space="0"/>
              <w:right w:val="nil"/>
            </w:tcBorders>
            <w:vAlign w:val="center"/>
          </w:tcPr>
          <w:p w14:paraId="48B83E33">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b/>
                <w:bCs/>
                <w:color w:val="auto"/>
                <w:sz w:val="20"/>
                <w:szCs w:val="20"/>
              </w:rPr>
              <w:t>Δ</w:t>
            </w:r>
            <w:r>
              <w:rPr>
                <w:rFonts w:hint="default" w:ascii="Times New Roman" w:hAnsi="Times New Roman" w:cs="Times New Roman" w:eastAsiaTheme="majorEastAsia"/>
                <w:b/>
                <w:bCs/>
                <w:i/>
                <w:iCs/>
                <w:color w:val="auto"/>
                <w:sz w:val="20"/>
                <w:szCs w:val="20"/>
              </w:rPr>
              <w:t>df</w:t>
            </w:r>
          </w:p>
        </w:tc>
        <w:tc>
          <w:tcPr>
            <w:tcW w:w="700" w:type="dxa"/>
            <w:tcBorders>
              <w:top w:val="single" w:color="000000" w:sz="12" w:space="0"/>
              <w:left w:val="nil"/>
              <w:bottom w:val="single" w:color="000000" w:sz="12" w:space="0"/>
              <w:right w:val="nil"/>
            </w:tcBorders>
            <w:vAlign w:val="center"/>
          </w:tcPr>
          <w:p w14:paraId="21E162FD">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b/>
                <w:bCs/>
                <w:color w:val="auto"/>
                <w:sz w:val="20"/>
                <w:szCs w:val="20"/>
              </w:rPr>
              <w:t>ΔCFI</w:t>
            </w:r>
          </w:p>
        </w:tc>
        <w:tc>
          <w:tcPr>
            <w:tcW w:w="1118" w:type="dxa"/>
            <w:tcBorders>
              <w:top w:val="single" w:color="000000" w:sz="12" w:space="0"/>
              <w:left w:val="nil"/>
              <w:bottom w:val="single" w:color="000000" w:sz="12" w:space="0"/>
              <w:right w:val="nil"/>
            </w:tcBorders>
            <w:vAlign w:val="center"/>
          </w:tcPr>
          <w:p w14:paraId="7E7CA2E2">
            <w:pPr>
              <w:spacing w:line="360" w:lineRule="auto"/>
              <w:jc w:val="center"/>
              <w:rPr>
                <w:rFonts w:hint="default" w:ascii="Times New Roman" w:hAnsi="Times New Roman" w:cs="Times New Roman" w:eastAsiaTheme="majorEastAsia"/>
                <w:b/>
                <w:bCs/>
                <w:color w:val="auto"/>
                <w:sz w:val="20"/>
                <w:szCs w:val="20"/>
              </w:rPr>
            </w:pPr>
            <w:r>
              <w:rPr>
                <w:rFonts w:hint="default" w:ascii="Times New Roman" w:hAnsi="Times New Roman" w:cs="Times New Roman" w:eastAsiaTheme="majorEastAsia"/>
                <w:b/>
                <w:bCs/>
                <w:color w:val="auto"/>
                <w:sz w:val="20"/>
                <w:szCs w:val="20"/>
              </w:rPr>
              <w:t>ΔRMSEA</w:t>
            </w:r>
          </w:p>
        </w:tc>
      </w:tr>
      <w:tr w14:paraId="7844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3" w:type="dxa"/>
            <w:tcBorders>
              <w:top w:val="single" w:color="000000" w:sz="12" w:space="0"/>
              <w:left w:val="nil"/>
              <w:bottom w:val="nil"/>
              <w:right w:val="nil"/>
            </w:tcBorders>
            <w:vAlign w:val="center"/>
          </w:tcPr>
          <w:p w14:paraId="01551BC7">
            <w:pPr>
              <w:spacing w:line="360" w:lineRule="auto"/>
              <w:jc w:val="center"/>
              <w:rPr>
                <w:rFonts w:hint="default" w:ascii="Times New Roman" w:hAnsi="Times New Roman" w:eastAsia="Segoe UI" w:cs="Times New Roman"/>
                <w:i w:val="0"/>
                <w:iCs w:val="0"/>
                <w:caps w:val="0"/>
                <w:color w:val="0F1115"/>
                <w:spacing w:val="0"/>
                <w:kern w:val="0"/>
                <w:sz w:val="20"/>
                <w:szCs w:val="20"/>
                <w:shd w:val="clear" w:fill="FFFFFF"/>
                <w:lang w:val="en-US" w:eastAsia="zh-CN" w:bidi="ar-SA"/>
              </w:rPr>
            </w:pPr>
            <w:r>
              <w:rPr>
                <w:rFonts w:hint="default" w:ascii="Times New Roman" w:hAnsi="Times New Roman" w:eastAsia="Segoe UI" w:cs="Times New Roman"/>
                <w:i w:val="0"/>
                <w:iCs w:val="0"/>
                <w:caps w:val="0"/>
                <w:color w:val="0F1115"/>
                <w:spacing w:val="0"/>
                <w:kern w:val="0"/>
                <w:sz w:val="20"/>
                <w:szCs w:val="20"/>
                <w:shd w:val="clear" w:fill="FFFFFF"/>
                <w:lang w:val="en-US" w:eastAsia="zh-CN" w:bidi="ar-SA"/>
              </w:rPr>
              <w:t>Configural Invariance</w:t>
            </w:r>
          </w:p>
        </w:tc>
        <w:tc>
          <w:tcPr>
            <w:tcW w:w="1258" w:type="dxa"/>
            <w:tcBorders>
              <w:top w:val="single" w:color="000000" w:sz="12" w:space="0"/>
              <w:left w:val="nil"/>
              <w:bottom w:val="nil"/>
              <w:right w:val="nil"/>
            </w:tcBorders>
            <w:vAlign w:val="center"/>
          </w:tcPr>
          <w:p w14:paraId="1CBDC67F">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41.227（22）</w:t>
            </w:r>
          </w:p>
        </w:tc>
        <w:tc>
          <w:tcPr>
            <w:tcW w:w="730" w:type="dxa"/>
            <w:tcBorders>
              <w:top w:val="single" w:color="000000" w:sz="12" w:space="0"/>
              <w:left w:val="nil"/>
              <w:bottom w:val="nil"/>
              <w:right w:val="nil"/>
            </w:tcBorders>
            <w:vAlign w:val="center"/>
          </w:tcPr>
          <w:p w14:paraId="575FE5B8">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1.874</w:t>
            </w:r>
          </w:p>
        </w:tc>
        <w:tc>
          <w:tcPr>
            <w:tcW w:w="682" w:type="dxa"/>
            <w:tcBorders>
              <w:top w:val="single" w:color="000000" w:sz="12" w:space="0"/>
              <w:left w:val="nil"/>
              <w:bottom w:val="nil"/>
              <w:right w:val="nil"/>
            </w:tcBorders>
            <w:vAlign w:val="center"/>
          </w:tcPr>
          <w:p w14:paraId="68E253A1">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0.995</w:t>
            </w:r>
          </w:p>
        </w:tc>
        <w:tc>
          <w:tcPr>
            <w:tcW w:w="847" w:type="dxa"/>
            <w:tcBorders>
              <w:top w:val="single" w:color="000000" w:sz="12" w:space="0"/>
              <w:left w:val="nil"/>
              <w:bottom w:val="nil"/>
              <w:right w:val="nil"/>
            </w:tcBorders>
            <w:vAlign w:val="center"/>
          </w:tcPr>
          <w:p w14:paraId="13C6AA6A">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0.991</w:t>
            </w:r>
          </w:p>
        </w:tc>
        <w:tc>
          <w:tcPr>
            <w:tcW w:w="1897" w:type="dxa"/>
            <w:tcBorders>
              <w:top w:val="single" w:color="000000" w:sz="12" w:space="0"/>
              <w:left w:val="nil"/>
              <w:bottom w:val="nil"/>
              <w:right w:val="nil"/>
            </w:tcBorders>
            <w:vAlign w:val="center"/>
          </w:tcPr>
          <w:p w14:paraId="1981CB58">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0.061（0.031, 0.089）</w:t>
            </w:r>
          </w:p>
        </w:tc>
        <w:tc>
          <w:tcPr>
            <w:tcW w:w="770" w:type="dxa"/>
            <w:tcBorders>
              <w:top w:val="single" w:color="000000" w:sz="12" w:space="0"/>
              <w:left w:val="nil"/>
              <w:bottom w:val="nil"/>
              <w:right w:val="nil"/>
            </w:tcBorders>
            <w:vAlign w:val="center"/>
          </w:tcPr>
          <w:p w14:paraId="37752BC2">
            <w:pPr>
              <w:spacing w:line="360" w:lineRule="auto"/>
              <w:jc w:val="center"/>
              <w:rPr>
                <w:rFonts w:hint="default" w:ascii="Times New Roman" w:hAnsi="Times New Roman" w:cs="Times New Roman" w:eastAsiaTheme="majorEastAsia"/>
                <w:color w:val="auto"/>
                <w:sz w:val="20"/>
                <w:szCs w:val="20"/>
              </w:rPr>
            </w:pPr>
          </w:p>
        </w:tc>
        <w:tc>
          <w:tcPr>
            <w:tcW w:w="550" w:type="dxa"/>
            <w:tcBorders>
              <w:top w:val="single" w:color="000000" w:sz="12" w:space="0"/>
              <w:left w:val="nil"/>
              <w:bottom w:val="nil"/>
              <w:right w:val="nil"/>
            </w:tcBorders>
            <w:vAlign w:val="center"/>
          </w:tcPr>
          <w:p w14:paraId="34C11B4D">
            <w:pPr>
              <w:spacing w:line="360" w:lineRule="auto"/>
              <w:jc w:val="center"/>
              <w:rPr>
                <w:rFonts w:hint="default" w:ascii="Times New Roman" w:hAnsi="Times New Roman" w:cs="Times New Roman" w:eastAsiaTheme="majorEastAsia"/>
                <w:color w:val="auto"/>
                <w:sz w:val="20"/>
                <w:szCs w:val="20"/>
              </w:rPr>
            </w:pPr>
          </w:p>
        </w:tc>
        <w:tc>
          <w:tcPr>
            <w:tcW w:w="700" w:type="dxa"/>
            <w:tcBorders>
              <w:top w:val="single" w:color="000000" w:sz="12" w:space="0"/>
              <w:left w:val="nil"/>
              <w:bottom w:val="nil"/>
              <w:right w:val="nil"/>
            </w:tcBorders>
            <w:vAlign w:val="center"/>
          </w:tcPr>
          <w:p w14:paraId="7CFB3E4B">
            <w:pPr>
              <w:spacing w:line="360" w:lineRule="auto"/>
              <w:jc w:val="center"/>
              <w:rPr>
                <w:rFonts w:hint="default" w:ascii="Times New Roman" w:hAnsi="Times New Roman" w:cs="Times New Roman" w:eastAsiaTheme="majorEastAsia"/>
                <w:color w:val="auto"/>
                <w:sz w:val="20"/>
                <w:szCs w:val="20"/>
              </w:rPr>
            </w:pPr>
          </w:p>
        </w:tc>
        <w:tc>
          <w:tcPr>
            <w:tcW w:w="1118" w:type="dxa"/>
            <w:tcBorders>
              <w:top w:val="single" w:color="000000" w:sz="12" w:space="0"/>
              <w:left w:val="nil"/>
              <w:bottom w:val="nil"/>
              <w:right w:val="nil"/>
            </w:tcBorders>
            <w:vAlign w:val="center"/>
          </w:tcPr>
          <w:p w14:paraId="6B224EBD">
            <w:pPr>
              <w:spacing w:line="360" w:lineRule="auto"/>
              <w:jc w:val="center"/>
              <w:rPr>
                <w:rFonts w:hint="default" w:ascii="Times New Roman" w:hAnsi="Times New Roman" w:cs="Times New Roman" w:eastAsiaTheme="majorEastAsia"/>
                <w:color w:val="auto"/>
                <w:sz w:val="20"/>
                <w:szCs w:val="20"/>
              </w:rPr>
            </w:pPr>
          </w:p>
        </w:tc>
      </w:tr>
      <w:tr w14:paraId="6D28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3" w:type="dxa"/>
            <w:tcBorders>
              <w:top w:val="nil"/>
              <w:left w:val="nil"/>
              <w:bottom w:val="nil"/>
              <w:right w:val="nil"/>
            </w:tcBorders>
            <w:vAlign w:val="center"/>
          </w:tcPr>
          <w:p w14:paraId="397B38FA">
            <w:pPr>
              <w:spacing w:line="360" w:lineRule="auto"/>
              <w:jc w:val="center"/>
              <w:rPr>
                <w:rFonts w:hint="default" w:ascii="Times New Roman" w:hAnsi="Times New Roman" w:eastAsia="Segoe UI" w:cs="Times New Roman"/>
                <w:i w:val="0"/>
                <w:iCs w:val="0"/>
                <w:caps w:val="0"/>
                <w:color w:val="0F1115"/>
                <w:spacing w:val="0"/>
                <w:kern w:val="0"/>
                <w:sz w:val="20"/>
                <w:szCs w:val="20"/>
                <w:shd w:val="clear" w:fill="FFFFFF"/>
                <w:lang w:val="en-US" w:eastAsia="zh-CN" w:bidi="ar-SA"/>
              </w:rPr>
            </w:pPr>
            <w:r>
              <w:rPr>
                <w:rFonts w:hint="default" w:ascii="Times New Roman" w:hAnsi="Times New Roman" w:eastAsia="Segoe UI" w:cs="Times New Roman"/>
                <w:i w:val="0"/>
                <w:iCs w:val="0"/>
                <w:caps w:val="0"/>
                <w:color w:val="0F1115"/>
                <w:spacing w:val="0"/>
                <w:kern w:val="0"/>
                <w:sz w:val="20"/>
                <w:szCs w:val="20"/>
                <w:shd w:val="clear" w:fill="FFFFFF"/>
                <w:lang w:val="en-US" w:eastAsia="zh-CN" w:bidi="ar-SA"/>
              </w:rPr>
              <w:t>Metric Invariance</w:t>
            </w:r>
          </w:p>
        </w:tc>
        <w:tc>
          <w:tcPr>
            <w:tcW w:w="1258" w:type="dxa"/>
            <w:tcBorders>
              <w:top w:val="nil"/>
              <w:left w:val="nil"/>
              <w:bottom w:val="nil"/>
              <w:right w:val="nil"/>
            </w:tcBorders>
            <w:vAlign w:val="center"/>
          </w:tcPr>
          <w:p w14:paraId="6195ECA7">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47.355（28）</w:t>
            </w:r>
          </w:p>
        </w:tc>
        <w:tc>
          <w:tcPr>
            <w:tcW w:w="730" w:type="dxa"/>
            <w:tcBorders>
              <w:top w:val="nil"/>
              <w:left w:val="nil"/>
              <w:bottom w:val="nil"/>
              <w:right w:val="nil"/>
            </w:tcBorders>
            <w:vAlign w:val="center"/>
          </w:tcPr>
          <w:p w14:paraId="4F6336CD">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1.691</w:t>
            </w:r>
          </w:p>
        </w:tc>
        <w:tc>
          <w:tcPr>
            <w:tcW w:w="682" w:type="dxa"/>
            <w:tcBorders>
              <w:top w:val="nil"/>
              <w:left w:val="nil"/>
              <w:bottom w:val="nil"/>
              <w:right w:val="nil"/>
            </w:tcBorders>
            <w:vAlign w:val="center"/>
          </w:tcPr>
          <w:p w14:paraId="30DD3222">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0.995</w:t>
            </w:r>
          </w:p>
        </w:tc>
        <w:tc>
          <w:tcPr>
            <w:tcW w:w="847" w:type="dxa"/>
            <w:tcBorders>
              <w:top w:val="nil"/>
              <w:left w:val="nil"/>
              <w:bottom w:val="nil"/>
              <w:right w:val="nil"/>
            </w:tcBorders>
            <w:vAlign w:val="center"/>
          </w:tcPr>
          <w:p w14:paraId="235D468B">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0.993</w:t>
            </w:r>
          </w:p>
        </w:tc>
        <w:tc>
          <w:tcPr>
            <w:tcW w:w="1897" w:type="dxa"/>
            <w:tcBorders>
              <w:top w:val="nil"/>
              <w:left w:val="nil"/>
              <w:bottom w:val="nil"/>
              <w:right w:val="nil"/>
            </w:tcBorders>
            <w:vAlign w:val="center"/>
          </w:tcPr>
          <w:p w14:paraId="70D2435A">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0.054（0.025, 0.080）</w:t>
            </w:r>
          </w:p>
        </w:tc>
        <w:tc>
          <w:tcPr>
            <w:tcW w:w="770" w:type="dxa"/>
            <w:tcBorders>
              <w:top w:val="nil"/>
              <w:left w:val="nil"/>
              <w:bottom w:val="nil"/>
              <w:right w:val="nil"/>
            </w:tcBorders>
            <w:vAlign w:val="center"/>
          </w:tcPr>
          <w:p w14:paraId="48C1F494">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6.128</w:t>
            </w:r>
          </w:p>
        </w:tc>
        <w:tc>
          <w:tcPr>
            <w:tcW w:w="550" w:type="dxa"/>
            <w:tcBorders>
              <w:top w:val="nil"/>
              <w:left w:val="nil"/>
              <w:bottom w:val="nil"/>
              <w:right w:val="nil"/>
            </w:tcBorders>
            <w:vAlign w:val="center"/>
          </w:tcPr>
          <w:p w14:paraId="629D4AE4">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6</w:t>
            </w:r>
          </w:p>
        </w:tc>
        <w:tc>
          <w:tcPr>
            <w:tcW w:w="700" w:type="dxa"/>
            <w:tcBorders>
              <w:top w:val="nil"/>
              <w:left w:val="nil"/>
              <w:bottom w:val="nil"/>
              <w:right w:val="nil"/>
            </w:tcBorders>
            <w:vAlign w:val="center"/>
          </w:tcPr>
          <w:p w14:paraId="2215B756">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0.000</w:t>
            </w:r>
          </w:p>
        </w:tc>
        <w:tc>
          <w:tcPr>
            <w:tcW w:w="1118" w:type="dxa"/>
            <w:tcBorders>
              <w:top w:val="nil"/>
              <w:left w:val="nil"/>
              <w:bottom w:val="nil"/>
              <w:right w:val="nil"/>
            </w:tcBorders>
            <w:vAlign w:val="center"/>
          </w:tcPr>
          <w:p w14:paraId="03C3B928">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0.007</w:t>
            </w:r>
          </w:p>
        </w:tc>
      </w:tr>
      <w:tr w14:paraId="7EFC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3" w:type="dxa"/>
            <w:tcBorders>
              <w:top w:val="nil"/>
              <w:left w:val="nil"/>
              <w:bottom w:val="single" w:color="000000" w:sz="12" w:space="0"/>
              <w:right w:val="nil"/>
            </w:tcBorders>
            <w:vAlign w:val="center"/>
          </w:tcPr>
          <w:p w14:paraId="177D7356">
            <w:pPr>
              <w:spacing w:line="360" w:lineRule="auto"/>
              <w:jc w:val="center"/>
              <w:rPr>
                <w:rFonts w:hint="default" w:ascii="Times New Roman" w:hAnsi="Times New Roman" w:eastAsia="Segoe UI" w:cs="Times New Roman"/>
                <w:i w:val="0"/>
                <w:iCs w:val="0"/>
                <w:caps w:val="0"/>
                <w:color w:val="0F1115"/>
                <w:spacing w:val="0"/>
                <w:kern w:val="0"/>
                <w:sz w:val="20"/>
                <w:szCs w:val="20"/>
                <w:shd w:val="clear" w:fill="FFFFFF"/>
                <w:lang w:val="en-US" w:eastAsia="zh-CN" w:bidi="ar-SA"/>
              </w:rPr>
            </w:pPr>
            <w:r>
              <w:rPr>
                <w:rFonts w:hint="default" w:ascii="Times New Roman" w:hAnsi="Times New Roman" w:eastAsia="Segoe UI" w:cs="Times New Roman"/>
                <w:i w:val="0"/>
                <w:iCs w:val="0"/>
                <w:caps w:val="0"/>
                <w:color w:val="0F1115"/>
                <w:spacing w:val="0"/>
                <w:kern w:val="0"/>
                <w:sz w:val="20"/>
                <w:szCs w:val="20"/>
                <w:shd w:val="clear" w:fill="FFFFFF"/>
                <w:lang w:val="en-US" w:eastAsia="zh-CN" w:bidi="ar-SA"/>
              </w:rPr>
              <w:t>Scalar Invariance</w:t>
            </w:r>
          </w:p>
        </w:tc>
        <w:tc>
          <w:tcPr>
            <w:tcW w:w="1258" w:type="dxa"/>
            <w:tcBorders>
              <w:top w:val="nil"/>
              <w:left w:val="nil"/>
              <w:bottom w:val="single" w:color="000000" w:sz="12" w:space="0"/>
              <w:right w:val="nil"/>
            </w:tcBorders>
            <w:vAlign w:val="center"/>
          </w:tcPr>
          <w:p w14:paraId="4350DE8B">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53.291（34）</w:t>
            </w:r>
          </w:p>
        </w:tc>
        <w:tc>
          <w:tcPr>
            <w:tcW w:w="730" w:type="dxa"/>
            <w:tcBorders>
              <w:top w:val="nil"/>
              <w:left w:val="nil"/>
              <w:bottom w:val="single" w:color="000000" w:sz="12" w:space="0"/>
              <w:right w:val="nil"/>
            </w:tcBorders>
            <w:vAlign w:val="center"/>
          </w:tcPr>
          <w:p w14:paraId="7AE8AF8E">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1.567</w:t>
            </w:r>
          </w:p>
        </w:tc>
        <w:tc>
          <w:tcPr>
            <w:tcW w:w="682" w:type="dxa"/>
            <w:tcBorders>
              <w:top w:val="nil"/>
              <w:left w:val="nil"/>
              <w:bottom w:val="single" w:color="000000" w:sz="12" w:space="0"/>
              <w:right w:val="nil"/>
            </w:tcBorders>
            <w:vAlign w:val="center"/>
          </w:tcPr>
          <w:p w14:paraId="04A87551">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0.995</w:t>
            </w:r>
          </w:p>
        </w:tc>
        <w:tc>
          <w:tcPr>
            <w:tcW w:w="847" w:type="dxa"/>
            <w:tcBorders>
              <w:top w:val="nil"/>
              <w:left w:val="nil"/>
              <w:bottom w:val="single" w:color="000000" w:sz="12" w:space="0"/>
              <w:right w:val="nil"/>
            </w:tcBorders>
            <w:vAlign w:val="center"/>
          </w:tcPr>
          <w:p w14:paraId="1EB66490">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0.994</w:t>
            </w:r>
          </w:p>
        </w:tc>
        <w:tc>
          <w:tcPr>
            <w:tcW w:w="1897" w:type="dxa"/>
            <w:tcBorders>
              <w:top w:val="nil"/>
              <w:left w:val="nil"/>
              <w:bottom w:val="single" w:color="000000" w:sz="12" w:space="0"/>
              <w:right w:val="nil"/>
            </w:tcBorders>
            <w:vAlign w:val="center"/>
          </w:tcPr>
          <w:p w14:paraId="064CA875">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0.049（0.020, 0.073）</w:t>
            </w:r>
          </w:p>
        </w:tc>
        <w:tc>
          <w:tcPr>
            <w:tcW w:w="770" w:type="dxa"/>
            <w:tcBorders>
              <w:top w:val="nil"/>
              <w:left w:val="nil"/>
              <w:bottom w:val="single" w:color="000000" w:sz="12" w:space="0"/>
              <w:right w:val="nil"/>
            </w:tcBorders>
            <w:vAlign w:val="center"/>
          </w:tcPr>
          <w:p w14:paraId="79F2A190">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5.936</w:t>
            </w:r>
          </w:p>
        </w:tc>
        <w:tc>
          <w:tcPr>
            <w:tcW w:w="550" w:type="dxa"/>
            <w:tcBorders>
              <w:top w:val="nil"/>
              <w:left w:val="nil"/>
              <w:bottom w:val="single" w:color="000000" w:sz="12" w:space="0"/>
              <w:right w:val="nil"/>
            </w:tcBorders>
            <w:vAlign w:val="center"/>
          </w:tcPr>
          <w:p w14:paraId="31E7A100">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6</w:t>
            </w:r>
          </w:p>
        </w:tc>
        <w:tc>
          <w:tcPr>
            <w:tcW w:w="700" w:type="dxa"/>
            <w:tcBorders>
              <w:top w:val="nil"/>
              <w:left w:val="nil"/>
              <w:bottom w:val="single" w:color="000000" w:sz="12" w:space="0"/>
              <w:right w:val="nil"/>
            </w:tcBorders>
            <w:vAlign w:val="center"/>
          </w:tcPr>
          <w:p w14:paraId="78900A71">
            <w:pPr>
              <w:spacing w:line="360" w:lineRule="auto"/>
              <w:jc w:val="center"/>
              <w:rPr>
                <w:rFonts w:hint="default" w:ascii="Times New Roman" w:hAnsi="Times New Roman" w:cs="Times New Roman" w:eastAsiaTheme="majorEastAsia"/>
                <w:color w:val="auto"/>
                <w:sz w:val="20"/>
                <w:szCs w:val="20"/>
                <w:lang w:val="en-US" w:eastAsia="zh-CN"/>
              </w:rPr>
            </w:pPr>
            <w:r>
              <w:rPr>
                <w:rFonts w:hint="default" w:ascii="Times New Roman" w:hAnsi="Times New Roman" w:cs="Times New Roman" w:eastAsiaTheme="majorEastAsia"/>
                <w:color w:val="auto"/>
                <w:sz w:val="20"/>
                <w:szCs w:val="20"/>
              </w:rPr>
              <w:t>0</w:t>
            </w:r>
            <w:r>
              <w:rPr>
                <w:rFonts w:hint="default" w:ascii="Times New Roman" w:hAnsi="Times New Roman" w:cs="Times New Roman" w:eastAsiaTheme="majorEastAsia"/>
                <w:color w:val="auto"/>
                <w:sz w:val="20"/>
                <w:szCs w:val="20"/>
                <w:lang w:eastAsia="zh-CN"/>
              </w:rPr>
              <w:t>.</w:t>
            </w:r>
            <w:r>
              <w:rPr>
                <w:rFonts w:hint="default" w:ascii="Times New Roman" w:hAnsi="Times New Roman" w:cs="Times New Roman" w:eastAsiaTheme="majorEastAsia"/>
                <w:color w:val="auto"/>
                <w:sz w:val="20"/>
                <w:szCs w:val="20"/>
                <w:lang w:val="en-US" w:eastAsia="zh-CN"/>
              </w:rPr>
              <w:t>000</w:t>
            </w:r>
          </w:p>
        </w:tc>
        <w:tc>
          <w:tcPr>
            <w:tcW w:w="1118" w:type="dxa"/>
            <w:tcBorders>
              <w:top w:val="nil"/>
              <w:left w:val="nil"/>
              <w:bottom w:val="single" w:color="000000" w:sz="12" w:space="0"/>
              <w:right w:val="nil"/>
            </w:tcBorders>
            <w:vAlign w:val="center"/>
          </w:tcPr>
          <w:p w14:paraId="228C561F">
            <w:pPr>
              <w:spacing w:line="360" w:lineRule="auto"/>
              <w:jc w:val="center"/>
              <w:rPr>
                <w:rFonts w:hint="default" w:ascii="Times New Roman" w:hAnsi="Times New Roman" w:cs="Times New Roman" w:eastAsiaTheme="majorEastAsia"/>
                <w:color w:val="auto"/>
                <w:sz w:val="20"/>
                <w:szCs w:val="20"/>
              </w:rPr>
            </w:pPr>
            <w:r>
              <w:rPr>
                <w:rFonts w:hint="default" w:ascii="Times New Roman" w:hAnsi="Times New Roman" w:cs="Times New Roman" w:eastAsiaTheme="majorEastAsia"/>
                <w:color w:val="auto"/>
                <w:sz w:val="20"/>
                <w:szCs w:val="20"/>
              </w:rPr>
              <w:t>0.005</w:t>
            </w:r>
          </w:p>
        </w:tc>
      </w:tr>
    </w:tbl>
    <w:p w14:paraId="473B34C8">
      <w:pPr>
        <w:spacing w:line="480" w:lineRule="auto"/>
        <w:jc w:val="both"/>
      </w:pPr>
    </w:p>
    <w:p w14:paraId="416D47DF">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480" w:lineRule="auto"/>
        <w:ind w:left="0" w:right="0" w:firstLine="643" w:firstLineChars="200"/>
        <w:jc w:val="center"/>
        <w:textAlignment w:val="auto"/>
        <w:rPr>
          <w:rFonts w:hint="eastAsia" w:ascii="Times New Roman" w:hAnsi="Times New Roman" w:cs="Times New Roman" w:eastAsiaTheme="minorEastAsia"/>
          <w:b/>
          <w:bCs/>
          <w:color w:val="auto"/>
          <w:kern w:val="2"/>
          <w:sz w:val="32"/>
          <w:szCs w:val="32"/>
          <w:lang w:val="en-US" w:eastAsia="zh-CN" w:bidi="ar-SA"/>
        </w:rPr>
      </w:pPr>
      <w:r>
        <w:rPr>
          <w:rFonts w:hint="eastAsia" w:ascii="Times New Roman" w:hAnsi="Times New Roman" w:cs="Times New Roman" w:eastAsiaTheme="minorEastAsia"/>
          <w:b/>
          <w:bCs/>
          <w:color w:val="auto"/>
          <w:kern w:val="2"/>
          <w:sz w:val="32"/>
          <w:szCs w:val="32"/>
          <w:lang w:val="en-US" w:eastAsia="zh-CN" w:bidi="ar-SA"/>
        </w:rPr>
        <w:t xml:space="preserve">Part B </w:t>
      </w:r>
    </w:p>
    <w:p w14:paraId="67BFA45B">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Style w:val="7"/>
          <w:rFonts w:hint="default" w:ascii="Times New Roman" w:hAnsi="Times New Roman" w:eastAsia="Segoe UI" w:cs="Times New Roman"/>
          <w:b/>
          <w:bCs/>
          <w:i w:val="0"/>
          <w:iCs w:val="0"/>
          <w:caps w:val="0"/>
          <w:color w:val="0F1115"/>
          <w:spacing w:val="0"/>
          <w:sz w:val="28"/>
          <w:szCs w:val="28"/>
          <w:shd w:val="clear" w:fill="FFFFFF"/>
        </w:rPr>
      </w:pPr>
      <w:r>
        <w:rPr>
          <w:rStyle w:val="7"/>
          <w:rFonts w:hint="default" w:ascii="Times New Roman" w:hAnsi="Times New Roman" w:eastAsia="Segoe UI" w:cs="Times New Roman"/>
          <w:b/>
          <w:bCs/>
          <w:i w:val="0"/>
          <w:iCs w:val="0"/>
          <w:caps w:val="0"/>
          <w:color w:val="0F1115"/>
          <w:spacing w:val="0"/>
          <w:sz w:val="28"/>
          <w:szCs w:val="28"/>
          <w:shd w:val="clear" w:fill="FFFFFF"/>
        </w:rPr>
        <w:t>Complete Parameter Estimation of the RI-CLPM</w:t>
      </w:r>
    </w:p>
    <w:p w14:paraId="76ADBF0E">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b w:val="0"/>
          <w:bCs w:val="0"/>
          <w:i w:val="0"/>
          <w:iCs w:val="0"/>
          <w:caps w:val="0"/>
          <w:color w:val="0F1115"/>
          <w:spacing w:val="0"/>
          <w:sz w:val="24"/>
          <w:szCs w:val="24"/>
          <w:shd w:val="clear" w:fill="FFFFFF"/>
        </w:rPr>
      </w:pPr>
      <w:r>
        <w:rPr>
          <w:rFonts w:hint="default" w:ascii="Times New Roman" w:hAnsi="Times New Roman" w:eastAsia="Segoe UI" w:cs="Times New Roman"/>
          <w:b w:val="0"/>
          <w:bCs w:val="0"/>
          <w:i w:val="0"/>
          <w:iCs w:val="0"/>
          <w:caps w:val="0"/>
          <w:color w:val="0F1115"/>
          <w:spacing w:val="0"/>
          <w:sz w:val="24"/>
          <w:szCs w:val="24"/>
          <w:shd w:val="clear" w:fill="FFFFFF"/>
        </w:rPr>
        <w:t>Table 6 summarizes all parameters of the Random Intercept Cross-Lagged Panel analysis, including autoregressive paths, cross-lagged paths, variances and correlations, variances, and residual variances.</w:t>
      </w:r>
    </w:p>
    <w:p w14:paraId="1E30606D">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240" w:lineRule="auto"/>
        <w:ind w:right="0" w:rightChars="0"/>
        <w:jc w:val="both"/>
        <w:textAlignment w:val="auto"/>
        <w:rPr>
          <w:rFonts w:hint="default" w:ascii="Times New Roman" w:hAnsi="Times New Roman" w:eastAsia="宋体" w:cs="Times New Roman"/>
          <w:b/>
          <w:bCs/>
          <w:i w:val="0"/>
          <w:iCs w:val="0"/>
          <w:caps w:val="0"/>
          <w:color w:val="0F1115"/>
          <w:spacing w:val="0"/>
          <w:sz w:val="20"/>
          <w:szCs w:val="20"/>
          <w:shd w:val="clear" w:fill="FFFFFF"/>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 xml:space="preserve">Table </w:t>
      </w:r>
      <w:r>
        <w:rPr>
          <w:rFonts w:hint="eastAsia" w:ascii="Times New Roman" w:hAnsi="Times New Roman" w:eastAsia="Segoe UI" w:cs="Times New Roman"/>
          <w:b/>
          <w:bCs/>
          <w:i w:val="0"/>
          <w:iCs w:val="0"/>
          <w:caps w:val="0"/>
          <w:color w:val="0F1115"/>
          <w:spacing w:val="0"/>
          <w:sz w:val="20"/>
          <w:szCs w:val="20"/>
          <w:shd w:val="clear" w:fill="FFFFFF"/>
          <w:lang w:val="en-US" w:eastAsia="zh-CN"/>
        </w:rPr>
        <w:t>6</w:t>
      </w:r>
      <w:r>
        <w:rPr>
          <w:rFonts w:hint="default" w:ascii="Times New Roman" w:hAnsi="Times New Roman" w:eastAsia="Segoe UI" w:cs="Times New Roman"/>
          <w:b/>
          <w:bCs/>
          <w:i w:val="0"/>
          <w:iCs w:val="0"/>
          <w:caps w:val="0"/>
          <w:color w:val="0F1115"/>
          <w:spacing w:val="0"/>
          <w:sz w:val="20"/>
          <w:szCs w:val="20"/>
          <w:shd w:val="clear" w:fill="FFFFFF"/>
        </w:rPr>
        <w:t xml:space="preserve">. </w:t>
      </w:r>
      <w:r>
        <w:rPr>
          <w:rFonts w:hint="default" w:ascii="Times New Roman" w:hAnsi="Times New Roman" w:eastAsia="Segoe UI" w:cs="Times New Roman"/>
          <w:b w:val="0"/>
          <w:bCs w:val="0"/>
          <w:i/>
          <w:iCs/>
          <w:caps w:val="0"/>
          <w:color w:val="0F1115"/>
          <w:spacing w:val="0"/>
          <w:sz w:val="20"/>
          <w:szCs w:val="20"/>
          <w:shd w:val="clear" w:fill="FFFFFF"/>
        </w:rPr>
        <w:t xml:space="preserve">Unstandardized and Standardized Parameter Estimates for the </w:t>
      </w:r>
      <w:r>
        <w:rPr>
          <w:rFonts w:hint="eastAsia" w:ascii="Times New Roman" w:hAnsi="Times New Roman" w:eastAsia="宋体" w:cs="Times New Roman"/>
          <w:b w:val="0"/>
          <w:bCs w:val="0"/>
          <w:i/>
          <w:iCs/>
          <w:caps w:val="0"/>
          <w:color w:val="0F1115"/>
          <w:spacing w:val="0"/>
          <w:sz w:val="20"/>
          <w:szCs w:val="20"/>
          <w:shd w:val="clear" w:fill="FFFFFF"/>
          <w:lang w:val="en-US" w:eastAsia="zh-CN"/>
        </w:rPr>
        <w:t>RI-CLPM</w:t>
      </w:r>
    </w:p>
    <w:tbl>
      <w:tblPr>
        <w:tblStyle w:val="5"/>
        <w:tblpPr w:leftFromText="180" w:rightFromText="180" w:vertAnchor="text" w:horzAnchor="page" w:tblpXSpec="center" w:tblpY="239"/>
        <w:tblOverlap w:val="never"/>
        <w:tblW w:w="8445"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27"/>
        <w:gridCol w:w="1622"/>
        <w:gridCol w:w="1300"/>
        <w:gridCol w:w="1525"/>
        <w:gridCol w:w="1671"/>
      </w:tblGrid>
      <w:tr w14:paraId="68C63DC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tcBorders>
              <w:bottom w:val="single" w:color="auto" w:sz="4" w:space="0"/>
            </w:tcBorders>
            <w:vAlign w:val="center"/>
          </w:tcPr>
          <w:p w14:paraId="6941EF4C">
            <w:pPr>
              <w:keepNext w:val="0"/>
              <w:keepLines w:val="0"/>
              <w:pageBreakBefore w:val="0"/>
              <w:kinsoku/>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sz w:val="20"/>
                <w:szCs w:val="20"/>
                <w:vertAlign w:val="baseline"/>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Path</w:t>
            </w:r>
            <w:r>
              <w:rPr>
                <w:rFonts w:hint="eastAsia" w:ascii="Times New Roman" w:hAnsi="Times New Roman" w:eastAsia="宋体" w:cs="Times New Roman"/>
                <w:b/>
                <w:bCs/>
                <w:i w:val="0"/>
                <w:iCs w:val="0"/>
                <w:caps w:val="0"/>
                <w:color w:val="0F1115"/>
                <w:spacing w:val="0"/>
                <w:sz w:val="20"/>
                <w:szCs w:val="20"/>
                <w:shd w:val="clear" w:fill="FFFFFF"/>
                <w:lang w:val="en-US" w:eastAsia="zh-CN"/>
              </w:rPr>
              <w:t>s</w:t>
            </w:r>
          </w:p>
        </w:tc>
        <w:tc>
          <w:tcPr>
            <w:tcW w:w="1622" w:type="dxa"/>
            <w:tcBorders>
              <w:bottom w:val="single" w:color="auto" w:sz="4" w:space="0"/>
            </w:tcBorders>
            <w:vAlign w:val="center"/>
          </w:tcPr>
          <w:p w14:paraId="5B41492B">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eastAsia="Segoe UI" w:cs="Times New Roman"/>
                <w:b/>
                <w:bCs/>
                <w:i w:val="0"/>
                <w:iCs w:val="0"/>
                <w:caps w:val="0"/>
                <w:color w:val="0F1115"/>
                <w:spacing w:val="0"/>
                <w:sz w:val="20"/>
                <w:szCs w:val="20"/>
                <w:shd w:val="clear" w:fill="FFFFFF"/>
              </w:rPr>
            </w:pPr>
            <w:r>
              <w:rPr>
                <w:rFonts w:hint="default" w:ascii="Times New Roman" w:hAnsi="Times New Roman" w:eastAsia="Segoe UI" w:cs="Times New Roman"/>
                <w:b/>
                <w:bCs/>
                <w:i w:val="0"/>
                <w:iCs w:val="0"/>
                <w:caps w:val="0"/>
                <w:color w:val="0F1115"/>
                <w:spacing w:val="0"/>
                <w:sz w:val="20"/>
                <w:szCs w:val="20"/>
                <w:shd w:val="clear" w:fill="FFFFFF"/>
              </w:rPr>
              <w:t xml:space="preserve">Unstandardized </w:t>
            </w:r>
          </w:p>
          <w:p w14:paraId="02411278">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cs="Times New Roman"/>
                <w:b/>
                <w:bCs/>
                <w:sz w:val="20"/>
                <w:szCs w:val="20"/>
                <w:vertAlign w:val="baseline"/>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Estimate</w:t>
            </w:r>
          </w:p>
        </w:tc>
        <w:tc>
          <w:tcPr>
            <w:tcW w:w="1300" w:type="dxa"/>
            <w:tcBorders>
              <w:bottom w:val="single" w:color="auto" w:sz="4" w:space="0"/>
            </w:tcBorders>
            <w:vAlign w:val="center"/>
          </w:tcPr>
          <w:p w14:paraId="07C780AA">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eastAsia="Segoe UI" w:cs="Times New Roman"/>
                <w:b/>
                <w:bCs/>
                <w:i w:val="0"/>
                <w:iCs w:val="0"/>
                <w:caps w:val="0"/>
                <w:color w:val="0F1115"/>
                <w:spacing w:val="0"/>
                <w:sz w:val="20"/>
                <w:szCs w:val="20"/>
                <w:shd w:val="clear" w:fill="FFFFFF"/>
              </w:rPr>
            </w:pPr>
            <w:r>
              <w:rPr>
                <w:rFonts w:hint="default" w:ascii="Times New Roman" w:hAnsi="Times New Roman" w:eastAsia="Segoe UI" w:cs="Times New Roman"/>
                <w:b/>
                <w:bCs/>
                <w:i w:val="0"/>
                <w:iCs w:val="0"/>
                <w:caps w:val="0"/>
                <w:color w:val="0F1115"/>
                <w:spacing w:val="0"/>
                <w:sz w:val="20"/>
                <w:szCs w:val="20"/>
                <w:shd w:val="clear" w:fill="FFFFFF"/>
              </w:rPr>
              <w:t xml:space="preserve">Standard </w:t>
            </w:r>
          </w:p>
          <w:p w14:paraId="56F07B45">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cs="Times New Roman"/>
                <w:b/>
                <w:bCs/>
                <w:sz w:val="20"/>
                <w:szCs w:val="20"/>
                <w:vertAlign w:val="baseline"/>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Error</w:t>
            </w:r>
          </w:p>
        </w:tc>
        <w:tc>
          <w:tcPr>
            <w:tcW w:w="1525" w:type="dxa"/>
            <w:tcBorders>
              <w:bottom w:val="single" w:color="auto" w:sz="4" w:space="0"/>
            </w:tcBorders>
            <w:vAlign w:val="center"/>
          </w:tcPr>
          <w:p w14:paraId="009EC4A1">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eastAsia="Segoe UI" w:cs="Times New Roman"/>
                <w:b/>
                <w:bCs/>
                <w:i w:val="0"/>
                <w:iCs w:val="0"/>
                <w:caps w:val="0"/>
                <w:color w:val="0F1115"/>
                <w:spacing w:val="0"/>
                <w:sz w:val="20"/>
                <w:szCs w:val="20"/>
                <w:shd w:val="clear" w:fill="FFFFFF"/>
              </w:rPr>
            </w:pPr>
            <w:r>
              <w:rPr>
                <w:rFonts w:hint="default" w:ascii="Times New Roman" w:hAnsi="Times New Roman" w:eastAsia="Segoe UI" w:cs="Times New Roman"/>
                <w:b/>
                <w:bCs/>
                <w:i w:val="0"/>
                <w:iCs w:val="0"/>
                <w:caps w:val="0"/>
                <w:color w:val="0F1115"/>
                <w:spacing w:val="0"/>
                <w:sz w:val="20"/>
                <w:szCs w:val="20"/>
                <w:shd w:val="clear" w:fill="FFFFFF"/>
              </w:rPr>
              <w:t xml:space="preserve">Standardized </w:t>
            </w:r>
          </w:p>
          <w:p w14:paraId="1C4CD28E">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cs="Times New Roman"/>
                <w:b/>
                <w:bCs/>
                <w:sz w:val="20"/>
                <w:szCs w:val="20"/>
                <w:vertAlign w:val="baseline"/>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Estimate</w:t>
            </w:r>
          </w:p>
        </w:tc>
        <w:tc>
          <w:tcPr>
            <w:tcW w:w="1671" w:type="dxa"/>
            <w:tcBorders>
              <w:bottom w:val="single" w:color="auto" w:sz="4" w:space="0"/>
            </w:tcBorders>
            <w:vAlign w:val="center"/>
          </w:tcPr>
          <w:p w14:paraId="5F047393">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0"/>
                <w:szCs w:val="20"/>
                <w:vertAlign w:val="baseline"/>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 xml:space="preserve">95% </w:t>
            </w:r>
            <w:r>
              <w:rPr>
                <w:rFonts w:hint="eastAsia" w:ascii="Times New Roman" w:hAnsi="Times New Roman" w:eastAsia="宋体" w:cs="Times New Roman"/>
                <w:b/>
                <w:bCs/>
                <w:i w:val="0"/>
                <w:iCs w:val="0"/>
                <w:caps w:val="0"/>
                <w:color w:val="0F1115"/>
                <w:spacing w:val="0"/>
                <w:sz w:val="20"/>
                <w:szCs w:val="20"/>
                <w:shd w:val="clear" w:fill="FFFFFF"/>
                <w:lang w:val="en-US" w:eastAsia="zh-CN"/>
              </w:rPr>
              <w:t>CI</w:t>
            </w:r>
          </w:p>
        </w:tc>
      </w:tr>
      <w:tr w14:paraId="305B56C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327" w:type="dxa"/>
            <w:tcBorders>
              <w:top w:val="single" w:color="auto" w:sz="4" w:space="0"/>
            </w:tcBorders>
            <w:vAlign w:val="center"/>
          </w:tcPr>
          <w:p w14:paraId="739F4D84">
            <w:pPr>
              <w:keepNext w:val="0"/>
              <w:keepLines w:val="0"/>
              <w:pageBreakBefore w:val="0"/>
              <w:kinsoku/>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sz w:val="20"/>
                <w:szCs w:val="20"/>
                <w:vertAlign w:val="baseline"/>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Autoregressive Paths</w:t>
            </w:r>
          </w:p>
        </w:tc>
        <w:tc>
          <w:tcPr>
            <w:tcW w:w="1622" w:type="dxa"/>
            <w:tcBorders>
              <w:top w:val="single" w:color="auto" w:sz="4" w:space="0"/>
            </w:tcBorders>
            <w:vAlign w:val="center"/>
          </w:tcPr>
          <w:p w14:paraId="6DAC037C">
            <w:pPr>
              <w:keepNext w:val="0"/>
              <w:keepLines w:val="0"/>
              <w:pageBreakBefore w:val="0"/>
              <w:widowControl/>
              <w:suppressLineNumbers w:val="0"/>
              <w:kinsoku/>
              <w:overflowPunct/>
              <w:topLinePunct w:val="0"/>
              <w:autoSpaceDE/>
              <w:autoSpaceDN/>
              <w:bidi w:val="0"/>
              <w:adjustRightInd/>
              <w:snapToGrid/>
              <w:spacing w:line="360" w:lineRule="auto"/>
              <w:jc w:val="center"/>
              <w:textAlignment w:val="auto"/>
              <w:rPr>
                <w:rFonts w:hint="default" w:ascii="Times New Roman" w:hAnsi="Times New Roman" w:cs="Times New Roman"/>
                <w:sz w:val="20"/>
                <w:szCs w:val="20"/>
                <w:vertAlign w:val="baseline"/>
                <w:lang w:val="en-US" w:eastAsia="zh-CN"/>
              </w:rPr>
            </w:pPr>
          </w:p>
        </w:tc>
        <w:tc>
          <w:tcPr>
            <w:tcW w:w="1300" w:type="dxa"/>
            <w:tcBorders>
              <w:top w:val="single" w:color="auto" w:sz="4" w:space="0"/>
            </w:tcBorders>
            <w:vAlign w:val="center"/>
          </w:tcPr>
          <w:p w14:paraId="0070C1A8">
            <w:pPr>
              <w:keepNext w:val="0"/>
              <w:keepLines w:val="0"/>
              <w:pageBreakBefore w:val="0"/>
              <w:widowControl/>
              <w:suppressLineNumbers w:val="0"/>
              <w:kinsoku/>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0"/>
                <w:szCs w:val="20"/>
                <w:lang w:val="en-US" w:eastAsia="zh-CN" w:bidi="ar"/>
              </w:rPr>
            </w:pPr>
          </w:p>
        </w:tc>
        <w:tc>
          <w:tcPr>
            <w:tcW w:w="1525" w:type="dxa"/>
            <w:tcBorders>
              <w:top w:val="single" w:color="auto" w:sz="4" w:space="0"/>
            </w:tcBorders>
            <w:vAlign w:val="center"/>
          </w:tcPr>
          <w:p w14:paraId="1D903AE3">
            <w:pPr>
              <w:keepNext w:val="0"/>
              <w:keepLines w:val="0"/>
              <w:pageBreakBefore w:val="0"/>
              <w:widowControl/>
              <w:suppressLineNumbers w:val="0"/>
              <w:kinsoku/>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0"/>
                <w:szCs w:val="20"/>
                <w:lang w:val="en-US" w:eastAsia="zh-CN" w:bidi="ar"/>
              </w:rPr>
            </w:pPr>
          </w:p>
        </w:tc>
        <w:tc>
          <w:tcPr>
            <w:tcW w:w="1671" w:type="dxa"/>
            <w:tcBorders>
              <w:top w:val="single" w:color="auto" w:sz="4" w:space="0"/>
            </w:tcBorders>
            <w:vAlign w:val="center"/>
          </w:tcPr>
          <w:p w14:paraId="5A0B475E">
            <w:pPr>
              <w:keepNext w:val="0"/>
              <w:keepLines w:val="0"/>
              <w:pageBreakBefore w:val="0"/>
              <w:widowControl/>
              <w:suppressLineNumbers w:val="0"/>
              <w:kinsoku/>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kern w:val="0"/>
                <w:sz w:val="20"/>
                <w:szCs w:val="20"/>
                <w:lang w:val="en-US" w:eastAsia="zh-CN" w:bidi="ar"/>
              </w:rPr>
            </w:pPr>
          </w:p>
        </w:tc>
      </w:tr>
      <w:tr w14:paraId="1AA0EA0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21D81316">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WX1→WX2</w:t>
            </w:r>
          </w:p>
        </w:tc>
        <w:tc>
          <w:tcPr>
            <w:tcW w:w="1622" w:type="dxa"/>
            <w:vAlign w:val="center"/>
          </w:tcPr>
          <w:p w14:paraId="766567AF">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0.519***</w:t>
            </w:r>
          </w:p>
        </w:tc>
        <w:tc>
          <w:tcPr>
            <w:tcW w:w="1300" w:type="dxa"/>
            <w:vAlign w:val="center"/>
          </w:tcPr>
          <w:p w14:paraId="791F7FF7">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0.062</w:t>
            </w:r>
          </w:p>
        </w:tc>
        <w:tc>
          <w:tcPr>
            <w:tcW w:w="1525" w:type="dxa"/>
            <w:vAlign w:val="center"/>
          </w:tcPr>
          <w:p w14:paraId="598CCB5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w:t>
            </w:r>
          </w:p>
        </w:tc>
        <w:tc>
          <w:tcPr>
            <w:tcW w:w="1671" w:type="dxa"/>
            <w:vAlign w:val="center"/>
          </w:tcPr>
          <w:p w14:paraId="09DECA58">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[0.397, 0.641]</w:t>
            </w:r>
          </w:p>
        </w:tc>
      </w:tr>
      <w:tr w14:paraId="53100E5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2EBA6DE0">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WX2→WX3</w:t>
            </w:r>
          </w:p>
        </w:tc>
        <w:tc>
          <w:tcPr>
            <w:tcW w:w="1622" w:type="dxa"/>
            <w:vAlign w:val="center"/>
          </w:tcPr>
          <w:p w14:paraId="371DB0B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-0.230</w:t>
            </w:r>
          </w:p>
        </w:tc>
        <w:tc>
          <w:tcPr>
            <w:tcW w:w="1300" w:type="dxa"/>
            <w:vAlign w:val="center"/>
          </w:tcPr>
          <w:p w14:paraId="55C71CE0">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0.133</w:t>
            </w:r>
          </w:p>
        </w:tc>
        <w:tc>
          <w:tcPr>
            <w:tcW w:w="1525" w:type="dxa"/>
            <w:vAlign w:val="center"/>
          </w:tcPr>
          <w:p w14:paraId="1D0734EC">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-0.480</w:t>
            </w:r>
          </w:p>
        </w:tc>
        <w:tc>
          <w:tcPr>
            <w:tcW w:w="1671" w:type="dxa"/>
            <w:vAlign w:val="center"/>
          </w:tcPr>
          <w:p w14:paraId="79D7C7F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[-0.491, 0.031]</w:t>
            </w:r>
          </w:p>
        </w:tc>
      </w:tr>
      <w:tr w14:paraId="094C3F2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1967BA93">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WY1→WY2</w:t>
            </w:r>
          </w:p>
        </w:tc>
        <w:tc>
          <w:tcPr>
            <w:tcW w:w="1622" w:type="dxa"/>
            <w:vAlign w:val="center"/>
          </w:tcPr>
          <w:p w14:paraId="202644D1">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0.630***</w:t>
            </w:r>
          </w:p>
        </w:tc>
        <w:tc>
          <w:tcPr>
            <w:tcW w:w="1300" w:type="dxa"/>
            <w:vAlign w:val="center"/>
          </w:tcPr>
          <w:p w14:paraId="426CA39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0.066</w:t>
            </w:r>
          </w:p>
        </w:tc>
        <w:tc>
          <w:tcPr>
            <w:tcW w:w="1525" w:type="dxa"/>
            <w:vAlign w:val="center"/>
          </w:tcPr>
          <w:p w14:paraId="1F0173E5">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w:t>
            </w:r>
          </w:p>
        </w:tc>
        <w:tc>
          <w:tcPr>
            <w:tcW w:w="1671" w:type="dxa"/>
            <w:vAlign w:val="center"/>
          </w:tcPr>
          <w:p w14:paraId="051426D7">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[0.501, 0.759]</w:t>
            </w:r>
          </w:p>
        </w:tc>
      </w:tr>
      <w:tr w14:paraId="006F41F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5E52D1FF">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WY2→WY3</w:t>
            </w:r>
          </w:p>
        </w:tc>
        <w:tc>
          <w:tcPr>
            <w:tcW w:w="1622" w:type="dxa"/>
            <w:vAlign w:val="center"/>
          </w:tcPr>
          <w:p w14:paraId="0867CDEF">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-0.072</w:t>
            </w:r>
          </w:p>
        </w:tc>
        <w:tc>
          <w:tcPr>
            <w:tcW w:w="1300" w:type="dxa"/>
            <w:vAlign w:val="center"/>
          </w:tcPr>
          <w:p w14:paraId="4441EF3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0.109</w:t>
            </w:r>
          </w:p>
        </w:tc>
        <w:tc>
          <w:tcPr>
            <w:tcW w:w="1525" w:type="dxa"/>
            <w:vAlign w:val="center"/>
          </w:tcPr>
          <w:p w14:paraId="72A821E7">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-0.140</w:t>
            </w:r>
          </w:p>
        </w:tc>
        <w:tc>
          <w:tcPr>
            <w:tcW w:w="1671" w:type="dxa"/>
            <w:vAlign w:val="center"/>
          </w:tcPr>
          <w:p w14:paraId="1B208620">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[-0.286, 0.142]</w:t>
            </w:r>
          </w:p>
        </w:tc>
      </w:tr>
      <w:tr w14:paraId="03ACB44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jc w:val="center"/>
        </w:trPr>
        <w:tc>
          <w:tcPr>
            <w:tcW w:w="2327" w:type="dxa"/>
            <w:vAlign w:val="center"/>
          </w:tcPr>
          <w:tbl>
            <w:tblPr>
              <w:tblStyle w:val="4"/>
              <w:tblW w:w="7520" w:type="dxa"/>
              <w:tblInd w:w="-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7520"/>
            </w:tblGrid>
            <w:tr w14:paraId="63DBF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7520" w:type="dxa"/>
                  <w:shd w:val="clear" w:color="auto" w:fill="FFFFFF"/>
                  <w:tcMar>
                    <w:top w:w="100" w:type="dxa"/>
                    <w:left w:w="160" w:type="dxa"/>
                    <w:bottom w:w="100" w:type="dxa"/>
                    <w:right w:w="0" w:type="dxa"/>
                  </w:tcMar>
                  <w:vAlign w:val="center"/>
                </w:tcPr>
                <w:p w14:paraId="6D541E8F">
                  <w:pPr>
                    <w:keepNext w:val="0"/>
                    <w:keepLines w:val="0"/>
                    <w:widowControl/>
                    <w:suppressLineNumbers w:val="0"/>
                    <w:spacing w:line="360" w:lineRule="auto"/>
                    <w:ind w:firstLine="400" w:firstLineChars="20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b/>
                      <w:bCs/>
                      <w:i w:val="0"/>
                      <w:iCs w:val="0"/>
                      <w:caps w:val="0"/>
                      <w:color w:val="0F1115"/>
                      <w:spacing w:val="0"/>
                      <w:kern w:val="0"/>
                      <w:sz w:val="20"/>
                      <w:szCs w:val="20"/>
                      <w:lang w:val="en-US" w:eastAsia="zh-CN" w:bidi="ar"/>
                    </w:rPr>
                    <w:t>Cross-Lagged Paths</w:t>
                  </w:r>
                </w:p>
              </w:tc>
            </w:tr>
          </w:tbl>
          <w:p w14:paraId="31C47BBF">
            <w:pPr>
              <w:spacing w:line="360" w:lineRule="auto"/>
              <w:jc w:val="center"/>
              <w:rPr>
                <w:rFonts w:hint="default" w:ascii="Times New Roman" w:hAnsi="Times New Roman" w:cs="Times New Roman"/>
                <w:sz w:val="20"/>
                <w:szCs w:val="20"/>
                <w:vertAlign w:val="baseline"/>
                <w:lang w:val="en-US" w:eastAsia="zh-CN"/>
              </w:rPr>
            </w:pPr>
          </w:p>
        </w:tc>
        <w:tc>
          <w:tcPr>
            <w:tcW w:w="1622" w:type="dxa"/>
            <w:vAlign w:val="center"/>
          </w:tcPr>
          <w:p w14:paraId="6EFDF6C8">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300" w:type="dxa"/>
            <w:vAlign w:val="center"/>
          </w:tcPr>
          <w:p w14:paraId="41E09135">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525" w:type="dxa"/>
            <w:vAlign w:val="center"/>
          </w:tcPr>
          <w:p w14:paraId="6E4E35D8">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671" w:type="dxa"/>
            <w:vAlign w:val="center"/>
          </w:tcPr>
          <w:p w14:paraId="30CDE6EB">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5B2F5C4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44C0110C">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WX1→WY2</w:t>
            </w:r>
          </w:p>
        </w:tc>
        <w:tc>
          <w:tcPr>
            <w:tcW w:w="1622" w:type="dxa"/>
            <w:vAlign w:val="center"/>
          </w:tcPr>
          <w:p w14:paraId="360F4C68">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0.473***</w:t>
            </w:r>
          </w:p>
        </w:tc>
        <w:tc>
          <w:tcPr>
            <w:tcW w:w="1300" w:type="dxa"/>
            <w:vAlign w:val="center"/>
          </w:tcPr>
          <w:p w14:paraId="791FA4F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0.071</w:t>
            </w:r>
          </w:p>
        </w:tc>
        <w:tc>
          <w:tcPr>
            <w:tcW w:w="1525" w:type="dxa"/>
            <w:vAlign w:val="center"/>
          </w:tcPr>
          <w:p w14:paraId="5E1DE4A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w:t>
            </w:r>
          </w:p>
        </w:tc>
        <w:tc>
          <w:tcPr>
            <w:tcW w:w="1671" w:type="dxa"/>
            <w:vAlign w:val="center"/>
          </w:tcPr>
          <w:p w14:paraId="1BEFD2D9">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[0.334, 0.612]</w:t>
            </w:r>
          </w:p>
        </w:tc>
      </w:tr>
      <w:tr w14:paraId="16D91C1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49D80504">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WX2→WY3</w:t>
            </w:r>
          </w:p>
        </w:tc>
        <w:tc>
          <w:tcPr>
            <w:tcW w:w="1622" w:type="dxa"/>
            <w:vAlign w:val="center"/>
          </w:tcPr>
          <w:p w14:paraId="2FB83E0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0.473***</w:t>
            </w:r>
          </w:p>
        </w:tc>
        <w:tc>
          <w:tcPr>
            <w:tcW w:w="1300" w:type="dxa"/>
            <w:vAlign w:val="center"/>
          </w:tcPr>
          <w:p w14:paraId="1E1E54B8">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0.071</w:t>
            </w:r>
          </w:p>
        </w:tc>
        <w:tc>
          <w:tcPr>
            <w:tcW w:w="1525" w:type="dxa"/>
            <w:vAlign w:val="center"/>
          </w:tcPr>
          <w:p w14:paraId="687B1E2C">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1.485***</w:t>
            </w:r>
          </w:p>
        </w:tc>
        <w:tc>
          <w:tcPr>
            <w:tcW w:w="1671" w:type="dxa"/>
            <w:vAlign w:val="center"/>
          </w:tcPr>
          <w:tbl>
            <w:tblPr>
              <w:tblStyle w:val="4"/>
              <w:tblW w:w="0" w:type="auto"/>
              <w:tblInd w:w="-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640"/>
            </w:tblGrid>
            <w:tr w14:paraId="22BCD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640" w:type="dxa"/>
                  <w:shd w:val="clear" w:color="auto" w:fill="FFFFFF"/>
                  <w:tcMar>
                    <w:top w:w="100" w:type="dxa"/>
                    <w:left w:w="160" w:type="dxa"/>
                    <w:bottom w:w="100" w:type="dxa"/>
                    <w:right w:w="0" w:type="dxa"/>
                  </w:tcMar>
                  <w:vAlign w:val="center"/>
                </w:tcPr>
                <w:p w14:paraId="07AF6F0B">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[0.334, 0.612]</w:t>
                  </w:r>
                </w:p>
              </w:tc>
            </w:tr>
          </w:tbl>
          <w:p w14:paraId="17F1453E">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6073FEC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382B33F8">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WY1→WX2</w:t>
            </w:r>
          </w:p>
        </w:tc>
        <w:tc>
          <w:tcPr>
            <w:tcW w:w="1622" w:type="dxa"/>
            <w:vAlign w:val="center"/>
          </w:tcPr>
          <w:p w14:paraId="07EECEB7">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0.880***</w:t>
            </w:r>
          </w:p>
        </w:tc>
        <w:tc>
          <w:tcPr>
            <w:tcW w:w="1300" w:type="dxa"/>
            <w:vAlign w:val="center"/>
          </w:tcPr>
          <w:p w14:paraId="313174A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0.116</w:t>
            </w:r>
          </w:p>
        </w:tc>
        <w:tc>
          <w:tcPr>
            <w:tcW w:w="1525" w:type="dxa"/>
            <w:vAlign w:val="center"/>
          </w:tcPr>
          <w:p w14:paraId="2ADEA4B0">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w:t>
            </w:r>
          </w:p>
        </w:tc>
        <w:tc>
          <w:tcPr>
            <w:tcW w:w="1671" w:type="dxa"/>
            <w:vAlign w:val="center"/>
          </w:tcPr>
          <w:p w14:paraId="1C8C4136">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[0.653, 1.107]</w:t>
            </w:r>
          </w:p>
        </w:tc>
      </w:tr>
      <w:tr w14:paraId="1567B47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38018569">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WY2→WX3</w:t>
            </w:r>
          </w:p>
        </w:tc>
        <w:tc>
          <w:tcPr>
            <w:tcW w:w="1622" w:type="dxa"/>
            <w:vAlign w:val="center"/>
          </w:tcPr>
          <w:p w14:paraId="02384A6E">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0.880***</w:t>
            </w:r>
          </w:p>
        </w:tc>
        <w:tc>
          <w:tcPr>
            <w:tcW w:w="1300" w:type="dxa"/>
            <w:vAlign w:val="center"/>
          </w:tcPr>
          <w:p w14:paraId="4FA4B61B">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0.116</w:t>
            </w:r>
          </w:p>
        </w:tc>
        <w:tc>
          <w:tcPr>
            <w:tcW w:w="1525" w:type="dxa"/>
            <w:vAlign w:val="center"/>
          </w:tcPr>
          <w:p w14:paraId="663DCA05">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1.141***</w:t>
            </w:r>
          </w:p>
        </w:tc>
        <w:tc>
          <w:tcPr>
            <w:tcW w:w="1671" w:type="dxa"/>
            <w:vAlign w:val="center"/>
          </w:tcPr>
          <w:p w14:paraId="3E1CA867">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[0.653, 1.107]</w:t>
            </w:r>
          </w:p>
        </w:tc>
      </w:tr>
      <w:tr w14:paraId="67BB841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2327" w:type="dxa"/>
            <w:vAlign w:val="center"/>
          </w:tcPr>
          <w:p w14:paraId="23259244">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Variances and Correlations</w:t>
            </w:r>
          </w:p>
        </w:tc>
        <w:tc>
          <w:tcPr>
            <w:tcW w:w="1622" w:type="dxa"/>
            <w:vAlign w:val="center"/>
          </w:tcPr>
          <w:p w14:paraId="3C76453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300" w:type="dxa"/>
            <w:vAlign w:val="center"/>
          </w:tcPr>
          <w:p w14:paraId="0F495AA6">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525" w:type="dxa"/>
            <w:vAlign w:val="center"/>
          </w:tcPr>
          <w:p w14:paraId="2AE5BF97">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671" w:type="dxa"/>
            <w:vAlign w:val="center"/>
          </w:tcPr>
          <w:p w14:paraId="109684C8">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2344CB6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366FC59C">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RIX WITH RIY</w:t>
            </w:r>
          </w:p>
        </w:tc>
        <w:tc>
          <w:tcPr>
            <w:tcW w:w="1622" w:type="dxa"/>
            <w:vAlign w:val="center"/>
          </w:tcPr>
          <w:p w14:paraId="58B290B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0.182***</w:t>
            </w:r>
          </w:p>
        </w:tc>
        <w:tc>
          <w:tcPr>
            <w:tcW w:w="1300" w:type="dxa"/>
            <w:vAlign w:val="center"/>
          </w:tcPr>
          <w:p w14:paraId="359FF7B9">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0.035</w:t>
            </w:r>
          </w:p>
        </w:tc>
        <w:tc>
          <w:tcPr>
            <w:tcW w:w="1525" w:type="dxa"/>
            <w:vAlign w:val="center"/>
          </w:tcPr>
          <w:p w14:paraId="38C19BFF">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0.667***</w:t>
            </w:r>
          </w:p>
        </w:tc>
        <w:tc>
          <w:tcPr>
            <w:tcW w:w="1671" w:type="dxa"/>
            <w:vAlign w:val="center"/>
          </w:tcPr>
          <w:p w14:paraId="24BF2C4C">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[0.113, 0.251]</w:t>
            </w:r>
          </w:p>
        </w:tc>
      </w:tr>
      <w:tr w14:paraId="1B0A42F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44FE3D92">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WX1 WITH WY1</w:t>
            </w:r>
          </w:p>
        </w:tc>
        <w:tc>
          <w:tcPr>
            <w:tcW w:w="1622" w:type="dxa"/>
            <w:vAlign w:val="center"/>
          </w:tcPr>
          <w:p w14:paraId="6933D284">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0.294***</w:t>
            </w:r>
          </w:p>
        </w:tc>
        <w:tc>
          <w:tcPr>
            <w:tcW w:w="1300" w:type="dxa"/>
            <w:vAlign w:val="center"/>
          </w:tcPr>
          <w:p w14:paraId="556E5EE0">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0.038</w:t>
            </w:r>
          </w:p>
        </w:tc>
        <w:tc>
          <w:tcPr>
            <w:tcW w:w="1525" w:type="dxa"/>
            <w:vAlign w:val="center"/>
          </w:tcPr>
          <w:p w14:paraId="6BEEE130">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w:t>
            </w:r>
          </w:p>
        </w:tc>
        <w:tc>
          <w:tcPr>
            <w:tcW w:w="1671" w:type="dxa"/>
            <w:vAlign w:val="center"/>
          </w:tcPr>
          <w:p w14:paraId="194E5E40">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[0.220, 0.368]</w:t>
            </w:r>
          </w:p>
        </w:tc>
      </w:tr>
      <w:tr w14:paraId="12FF5BC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048F2BDB">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WX2 WITH WY2</w:t>
            </w:r>
          </w:p>
        </w:tc>
        <w:tc>
          <w:tcPr>
            <w:tcW w:w="1622" w:type="dxa"/>
            <w:vAlign w:val="center"/>
          </w:tcPr>
          <w:p w14:paraId="315C3E16">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0.000</w:t>
            </w:r>
          </w:p>
        </w:tc>
        <w:tc>
          <w:tcPr>
            <w:tcW w:w="1300" w:type="dxa"/>
            <w:vAlign w:val="center"/>
          </w:tcPr>
          <w:p w14:paraId="439A4929">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0.014</w:t>
            </w:r>
          </w:p>
        </w:tc>
        <w:tc>
          <w:tcPr>
            <w:tcW w:w="1525" w:type="dxa"/>
            <w:vAlign w:val="center"/>
          </w:tcPr>
          <w:p w14:paraId="155002B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w:t>
            </w:r>
          </w:p>
        </w:tc>
        <w:tc>
          <w:tcPr>
            <w:tcW w:w="1671" w:type="dxa"/>
            <w:vAlign w:val="center"/>
          </w:tcPr>
          <w:tbl>
            <w:tblPr>
              <w:tblStyle w:val="4"/>
              <w:tblW w:w="0" w:type="auto"/>
              <w:tblInd w:w="-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640"/>
            </w:tblGrid>
            <w:tr w14:paraId="35927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640" w:type="dxa"/>
                  <w:shd w:val="clear" w:color="auto" w:fill="FFFFFF"/>
                  <w:tcMar>
                    <w:top w:w="100" w:type="dxa"/>
                    <w:left w:w="160" w:type="dxa"/>
                    <w:bottom w:w="100" w:type="dxa"/>
                    <w:right w:w="0" w:type="dxa"/>
                  </w:tcMar>
                  <w:vAlign w:val="center"/>
                </w:tcPr>
                <w:p w14:paraId="2535AD3B">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[-0.027, 0.027]</w:t>
                  </w:r>
                </w:p>
              </w:tc>
            </w:tr>
          </w:tbl>
          <w:p w14:paraId="0B1CF0F4">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44D6676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0DC817E4">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eastAsia="Segoe UI" w:cs="Times New Roman"/>
                <w:i w:val="0"/>
                <w:iCs w:val="0"/>
                <w:caps w:val="0"/>
                <w:color w:val="0F1115"/>
                <w:spacing w:val="0"/>
                <w:sz w:val="20"/>
                <w:szCs w:val="20"/>
                <w:shd w:val="clear" w:fill="FFFFFF"/>
              </w:rPr>
              <w:t>WX3 WITH WY3</w:t>
            </w:r>
          </w:p>
        </w:tc>
        <w:tc>
          <w:tcPr>
            <w:tcW w:w="1622" w:type="dxa"/>
            <w:vAlign w:val="center"/>
          </w:tcPr>
          <w:p w14:paraId="3F376670">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0.124***</w:t>
            </w:r>
          </w:p>
        </w:tc>
        <w:tc>
          <w:tcPr>
            <w:tcW w:w="1300" w:type="dxa"/>
            <w:vAlign w:val="center"/>
          </w:tcPr>
          <w:p w14:paraId="27A055C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0.020</w:t>
            </w:r>
          </w:p>
        </w:tc>
        <w:tc>
          <w:tcPr>
            <w:tcW w:w="1525" w:type="dxa"/>
            <w:vAlign w:val="center"/>
          </w:tcPr>
          <w:p w14:paraId="1125C7B9">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w:t>
            </w:r>
          </w:p>
        </w:tc>
        <w:tc>
          <w:tcPr>
            <w:tcW w:w="1671" w:type="dxa"/>
            <w:vAlign w:val="center"/>
          </w:tcPr>
          <w:p w14:paraId="07181F79">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[0.085, 0.163]</w:t>
            </w:r>
          </w:p>
        </w:tc>
      </w:tr>
      <w:tr w14:paraId="1E8497B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327" w:type="dxa"/>
            <w:vAlign w:val="center"/>
          </w:tcPr>
          <w:p w14:paraId="6DE3CD66">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eastAsia="Segoe UI" w:cs="Times New Roman"/>
                <w:b/>
                <w:bCs/>
                <w:i w:val="0"/>
                <w:iCs w:val="0"/>
                <w:caps w:val="0"/>
                <w:color w:val="0F1115"/>
                <w:spacing w:val="0"/>
                <w:sz w:val="20"/>
                <w:szCs w:val="20"/>
                <w:shd w:val="clear" w:fill="FFFFFF"/>
              </w:rPr>
              <w:t>Variances</w:t>
            </w:r>
          </w:p>
        </w:tc>
        <w:tc>
          <w:tcPr>
            <w:tcW w:w="1622" w:type="dxa"/>
            <w:vAlign w:val="center"/>
          </w:tcPr>
          <w:p w14:paraId="27F91E7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300" w:type="dxa"/>
            <w:vAlign w:val="center"/>
          </w:tcPr>
          <w:p w14:paraId="7F64D911">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525" w:type="dxa"/>
            <w:vAlign w:val="center"/>
          </w:tcPr>
          <w:p w14:paraId="313969FB">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671" w:type="dxa"/>
            <w:vAlign w:val="center"/>
          </w:tcPr>
          <w:p w14:paraId="1C41AFD8">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61E2A46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6C147EA5">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RIX</w:t>
            </w:r>
          </w:p>
        </w:tc>
        <w:tc>
          <w:tcPr>
            <w:tcW w:w="1622" w:type="dxa"/>
            <w:vAlign w:val="center"/>
          </w:tcPr>
          <w:p w14:paraId="05E11C0E">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0.263***</w:t>
            </w:r>
          </w:p>
        </w:tc>
        <w:tc>
          <w:tcPr>
            <w:tcW w:w="1300" w:type="dxa"/>
            <w:vAlign w:val="center"/>
          </w:tcPr>
          <w:p w14:paraId="206F24C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0.031</w:t>
            </w:r>
          </w:p>
        </w:tc>
        <w:tc>
          <w:tcPr>
            <w:tcW w:w="1525" w:type="dxa"/>
            <w:vAlign w:val="center"/>
          </w:tcPr>
          <w:p w14:paraId="7A250F25">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0.996***</w:t>
            </w:r>
          </w:p>
        </w:tc>
        <w:tc>
          <w:tcPr>
            <w:tcW w:w="1671" w:type="dxa"/>
            <w:vAlign w:val="center"/>
          </w:tcPr>
          <w:p w14:paraId="730A34D4">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[0.202, 0.324]</w:t>
            </w:r>
          </w:p>
        </w:tc>
      </w:tr>
      <w:tr w14:paraId="657C83B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3A5E7619">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RIY</w:t>
            </w:r>
          </w:p>
        </w:tc>
        <w:tc>
          <w:tcPr>
            <w:tcW w:w="1622" w:type="dxa"/>
            <w:vAlign w:val="center"/>
          </w:tcPr>
          <w:p w14:paraId="2C207DBC">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0.284***</w:t>
            </w:r>
          </w:p>
        </w:tc>
        <w:tc>
          <w:tcPr>
            <w:tcW w:w="1300" w:type="dxa"/>
            <w:vAlign w:val="center"/>
          </w:tcPr>
          <w:p w14:paraId="44F8C91F">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0.051</w:t>
            </w:r>
          </w:p>
        </w:tc>
        <w:tc>
          <w:tcPr>
            <w:tcW w:w="1525" w:type="dxa"/>
            <w:vAlign w:val="center"/>
          </w:tcPr>
          <w:p w14:paraId="4CBD9CF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0.994***</w:t>
            </w:r>
          </w:p>
        </w:tc>
        <w:tc>
          <w:tcPr>
            <w:tcW w:w="1671" w:type="dxa"/>
            <w:vAlign w:val="center"/>
          </w:tcPr>
          <w:tbl>
            <w:tblPr>
              <w:tblStyle w:val="4"/>
              <w:tblW w:w="0" w:type="auto"/>
              <w:tblInd w:w="-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640"/>
            </w:tblGrid>
            <w:tr w14:paraId="42045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640" w:type="dxa"/>
                  <w:shd w:val="clear" w:color="auto" w:fill="FFFFFF"/>
                  <w:tcMar>
                    <w:top w:w="100" w:type="dxa"/>
                    <w:left w:w="160" w:type="dxa"/>
                    <w:bottom w:w="100" w:type="dxa"/>
                    <w:right w:w="0" w:type="dxa"/>
                  </w:tcMar>
                  <w:vAlign w:val="center"/>
                </w:tcPr>
                <w:p w14:paraId="2BF02BEE">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[0.184, 0.384]</w:t>
                  </w:r>
                </w:p>
              </w:tc>
            </w:tr>
          </w:tbl>
          <w:p w14:paraId="4EE024F4">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144742B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tbl>
            <w:tblPr>
              <w:tblStyle w:val="4"/>
              <w:tblW w:w="7520" w:type="dxa"/>
              <w:tblInd w:w="-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7520"/>
            </w:tblGrid>
            <w:tr w14:paraId="7334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7520" w:type="dxa"/>
                  <w:shd w:val="clear" w:color="auto" w:fill="FFFFFF"/>
                  <w:tcMar>
                    <w:top w:w="100" w:type="dxa"/>
                    <w:left w:w="160" w:type="dxa"/>
                    <w:bottom w:w="100" w:type="dxa"/>
                    <w:right w:w="0" w:type="dxa"/>
                  </w:tcMar>
                  <w:vAlign w:val="center"/>
                </w:tcPr>
                <w:p w14:paraId="08F4AE36">
                  <w:pPr>
                    <w:keepNext w:val="0"/>
                    <w:keepLines w:val="0"/>
                    <w:widowControl/>
                    <w:suppressLineNumbers w:val="0"/>
                    <w:spacing w:line="360" w:lineRule="auto"/>
                    <w:ind w:firstLine="200" w:firstLineChars="10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b/>
                      <w:bCs/>
                      <w:i w:val="0"/>
                      <w:iCs w:val="0"/>
                      <w:caps w:val="0"/>
                      <w:color w:val="0F1115"/>
                      <w:spacing w:val="0"/>
                      <w:kern w:val="0"/>
                      <w:sz w:val="20"/>
                      <w:szCs w:val="20"/>
                      <w:lang w:val="en-US" w:eastAsia="zh-CN" w:bidi="ar"/>
                    </w:rPr>
                    <w:t>Residual Variances</w:t>
                  </w:r>
                </w:p>
              </w:tc>
            </w:tr>
          </w:tbl>
          <w:p w14:paraId="78A49C94">
            <w:pPr>
              <w:spacing w:line="360" w:lineRule="auto"/>
              <w:jc w:val="center"/>
              <w:rPr>
                <w:rFonts w:hint="default" w:ascii="Times New Roman" w:hAnsi="Times New Roman" w:cs="Times New Roman"/>
                <w:sz w:val="20"/>
                <w:szCs w:val="20"/>
                <w:vertAlign w:val="baseline"/>
                <w:lang w:val="en-US" w:eastAsia="zh-CN"/>
              </w:rPr>
            </w:pPr>
          </w:p>
        </w:tc>
        <w:tc>
          <w:tcPr>
            <w:tcW w:w="1622" w:type="dxa"/>
            <w:vAlign w:val="center"/>
          </w:tcPr>
          <w:p w14:paraId="1461CF68">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300" w:type="dxa"/>
            <w:vAlign w:val="center"/>
          </w:tcPr>
          <w:p w14:paraId="6E856641">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525" w:type="dxa"/>
            <w:vAlign w:val="center"/>
          </w:tcPr>
          <w:p w14:paraId="4FA8D97A">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c>
          <w:tcPr>
            <w:tcW w:w="1671" w:type="dxa"/>
            <w:vAlign w:val="center"/>
          </w:tcPr>
          <w:p w14:paraId="0C07566E">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50123EE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0B0D597C">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X1</w:t>
            </w:r>
          </w:p>
        </w:tc>
        <w:tc>
          <w:tcPr>
            <w:tcW w:w="1622" w:type="dxa"/>
            <w:vAlign w:val="center"/>
          </w:tcPr>
          <w:p w14:paraId="40E00D1A">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0.550***</w:t>
            </w:r>
          </w:p>
        </w:tc>
        <w:tc>
          <w:tcPr>
            <w:tcW w:w="1300" w:type="dxa"/>
            <w:vAlign w:val="center"/>
          </w:tcPr>
          <w:p w14:paraId="5AE2E49D">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0.037</w:t>
            </w:r>
          </w:p>
        </w:tc>
        <w:tc>
          <w:tcPr>
            <w:tcW w:w="1525" w:type="dxa"/>
            <w:vAlign w:val="center"/>
          </w:tcPr>
          <w:p w14:paraId="6AA2ACC1">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0.676***</w:t>
            </w:r>
          </w:p>
        </w:tc>
        <w:tc>
          <w:tcPr>
            <w:tcW w:w="1671" w:type="dxa"/>
            <w:vAlign w:val="center"/>
          </w:tcPr>
          <w:p w14:paraId="792C20EC">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[0.477, 0.623]</w:t>
            </w:r>
          </w:p>
        </w:tc>
      </w:tr>
      <w:tr w14:paraId="50985BF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06B23D7C">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X2</w:t>
            </w:r>
          </w:p>
        </w:tc>
        <w:tc>
          <w:tcPr>
            <w:tcW w:w="1622" w:type="dxa"/>
            <w:vAlign w:val="center"/>
          </w:tcPr>
          <w:p w14:paraId="25D45FA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0.119***</w:t>
            </w:r>
          </w:p>
        </w:tc>
        <w:tc>
          <w:tcPr>
            <w:tcW w:w="1300" w:type="dxa"/>
            <w:vAlign w:val="center"/>
          </w:tcPr>
          <w:p w14:paraId="2727E87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0.021</w:t>
            </w:r>
          </w:p>
        </w:tc>
        <w:tc>
          <w:tcPr>
            <w:tcW w:w="1525" w:type="dxa"/>
            <w:vAlign w:val="center"/>
          </w:tcPr>
          <w:p w14:paraId="62CC2C61">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0.225***</w:t>
            </w:r>
          </w:p>
        </w:tc>
        <w:tc>
          <w:tcPr>
            <w:tcW w:w="1671" w:type="dxa"/>
            <w:vAlign w:val="center"/>
          </w:tcPr>
          <w:tbl>
            <w:tblPr>
              <w:tblStyle w:val="4"/>
              <w:tblW w:w="0" w:type="auto"/>
              <w:tblInd w:w="-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640"/>
            </w:tblGrid>
            <w:tr w14:paraId="07E96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8640" w:type="dxa"/>
                  <w:shd w:val="clear" w:color="auto" w:fill="FFFFFF"/>
                  <w:tcMar>
                    <w:top w:w="100" w:type="dxa"/>
                    <w:left w:w="160" w:type="dxa"/>
                    <w:bottom w:w="100" w:type="dxa"/>
                    <w:right w:w="0" w:type="dxa"/>
                  </w:tcMar>
                  <w:vAlign w:val="center"/>
                </w:tcPr>
                <w:p w14:paraId="0C144795">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[0.078, 0.160]</w:t>
                  </w:r>
                </w:p>
              </w:tc>
            </w:tr>
          </w:tbl>
          <w:p w14:paraId="6D9ABF2C">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409DB39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1AD44C22">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X3</w:t>
            </w:r>
          </w:p>
        </w:tc>
        <w:tc>
          <w:tcPr>
            <w:tcW w:w="1622" w:type="dxa"/>
            <w:vAlign w:val="center"/>
          </w:tcPr>
          <w:p w14:paraId="04C44747">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0.198***</w:t>
            </w:r>
          </w:p>
        </w:tc>
        <w:tc>
          <w:tcPr>
            <w:tcW w:w="1300" w:type="dxa"/>
            <w:vAlign w:val="center"/>
          </w:tcPr>
          <w:p w14:paraId="0A0E15D1">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0.018</w:t>
            </w:r>
          </w:p>
        </w:tc>
        <w:tc>
          <w:tcPr>
            <w:tcW w:w="1525" w:type="dxa"/>
            <w:vAlign w:val="center"/>
          </w:tcPr>
          <w:p w14:paraId="2F9B9E47">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0.400***</w:t>
            </w:r>
          </w:p>
        </w:tc>
        <w:tc>
          <w:tcPr>
            <w:tcW w:w="1671" w:type="dxa"/>
            <w:vAlign w:val="center"/>
          </w:tcPr>
          <w:p w14:paraId="30546C8F">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[0.163, 0.233]</w:t>
            </w:r>
          </w:p>
        </w:tc>
      </w:tr>
      <w:tr w14:paraId="6EF5B99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43CE04DA">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Y1</w:t>
            </w:r>
          </w:p>
        </w:tc>
        <w:tc>
          <w:tcPr>
            <w:tcW w:w="1622" w:type="dxa"/>
            <w:vAlign w:val="center"/>
          </w:tcPr>
          <w:p w14:paraId="2EEF859C">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0.518***</w:t>
            </w:r>
          </w:p>
        </w:tc>
        <w:tc>
          <w:tcPr>
            <w:tcW w:w="1300" w:type="dxa"/>
            <w:vAlign w:val="center"/>
          </w:tcPr>
          <w:p w14:paraId="4F142693">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0.053</w:t>
            </w:r>
          </w:p>
        </w:tc>
        <w:tc>
          <w:tcPr>
            <w:tcW w:w="1525" w:type="dxa"/>
            <w:vAlign w:val="center"/>
          </w:tcPr>
          <w:p w14:paraId="17F08CB6">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0.645***</w:t>
            </w:r>
          </w:p>
        </w:tc>
        <w:tc>
          <w:tcPr>
            <w:tcW w:w="1671" w:type="dxa"/>
            <w:vAlign w:val="center"/>
          </w:tcPr>
          <w:tbl>
            <w:tblPr>
              <w:tblStyle w:val="4"/>
              <w:tblW w:w="0" w:type="auto"/>
              <w:tblInd w:w="-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640"/>
            </w:tblGrid>
            <w:tr w14:paraId="15EC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640" w:type="dxa"/>
                  <w:shd w:val="clear" w:color="auto" w:fill="FFFFFF"/>
                  <w:tcMar>
                    <w:top w:w="100" w:type="dxa"/>
                    <w:left w:w="160" w:type="dxa"/>
                    <w:bottom w:w="100" w:type="dxa"/>
                    <w:right w:w="0" w:type="dxa"/>
                  </w:tcMar>
                  <w:vAlign w:val="center"/>
                </w:tcPr>
                <w:p w14:paraId="7383F2E2">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[0.414, 0.622]</w:t>
                  </w:r>
                </w:p>
              </w:tc>
            </w:tr>
          </w:tbl>
          <w:p w14:paraId="22B537AF">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p>
        </w:tc>
      </w:tr>
      <w:tr w14:paraId="007BC5C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vAlign w:val="center"/>
          </w:tcPr>
          <w:p w14:paraId="4042E490">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Y2</w:t>
            </w:r>
          </w:p>
        </w:tc>
        <w:tc>
          <w:tcPr>
            <w:tcW w:w="1622" w:type="dxa"/>
            <w:vAlign w:val="center"/>
          </w:tcPr>
          <w:p w14:paraId="593315C9">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0.142***</w:t>
            </w:r>
          </w:p>
        </w:tc>
        <w:tc>
          <w:tcPr>
            <w:tcW w:w="1300" w:type="dxa"/>
            <w:vAlign w:val="center"/>
          </w:tcPr>
          <w:p w14:paraId="1AB11484">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0.040</w:t>
            </w:r>
          </w:p>
        </w:tc>
        <w:tc>
          <w:tcPr>
            <w:tcW w:w="1525" w:type="dxa"/>
            <w:vAlign w:val="center"/>
          </w:tcPr>
          <w:p w14:paraId="2411BB41">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0.188***</w:t>
            </w:r>
          </w:p>
        </w:tc>
        <w:tc>
          <w:tcPr>
            <w:tcW w:w="1671" w:type="dxa"/>
            <w:vAlign w:val="center"/>
          </w:tcPr>
          <w:p w14:paraId="3330E5E9">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[0.064, 0.220]</w:t>
            </w:r>
          </w:p>
        </w:tc>
      </w:tr>
      <w:tr w14:paraId="55BCF35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2327" w:type="dxa"/>
            <w:tcBorders>
              <w:bottom w:val="single" w:color="auto" w:sz="4" w:space="0"/>
            </w:tcBorders>
            <w:vAlign w:val="center"/>
          </w:tcPr>
          <w:p w14:paraId="6C4F58A2">
            <w:pPr>
              <w:spacing w:line="360" w:lineRule="auto"/>
              <w:jc w:val="center"/>
              <w:rPr>
                <w:rFonts w:hint="default" w:ascii="Times New Roman" w:hAnsi="Times New Roman" w:cs="Times New Roman"/>
                <w:sz w:val="20"/>
                <w:szCs w:val="20"/>
                <w:vertAlign w:val="baseline"/>
                <w:lang w:val="en-US" w:eastAsia="zh-CN"/>
              </w:rPr>
            </w:pPr>
            <w:r>
              <w:rPr>
                <w:rFonts w:hint="default" w:ascii="Times New Roman" w:hAnsi="Times New Roman" w:cs="Times New Roman"/>
                <w:sz w:val="20"/>
                <w:szCs w:val="20"/>
                <w:vertAlign w:val="baseline"/>
                <w:lang w:val="en-US" w:eastAsia="zh-CN"/>
              </w:rPr>
              <w:t>Y3</w:t>
            </w:r>
          </w:p>
        </w:tc>
        <w:tc>
          <w:tcPr>
            <w:tcW w:w="1622" w:type="dxa"/>
            <w:tcBorders>
              <w:bottom w:val="single" w:color="auto" w:sz="4" w:space="0"/>
            </w:tcBorders>
            <w:vAlign w:val="center"/>
          </w:tcPr>
          <w:p w14:paraId="55B93681">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0.335***</w:t>
            </w:r>
          </w:p>
        </w:tc>
        <w:tc>
          <w:tcPr>
            <w:tcW w:w="1300" w:type="dxa"/>
            <w:tcBorders>
              <w:bottom w:val="single" w:color="auto" w:sz="4" w:space="0"/>
            </w:tcBorders>
            <w:vAlign w:val="center"/>
          </w:tcPr>
          <w:p w14:paraId="75AF507B">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0.041</w:t>
            </w:r>
          </w:p>
        </w:tc>
        <w:tc>
          <w:tcPr>
            <w:tcW w:w="1525" w:type="dxa"/>
            <w:tcBorders>
              <w:bottom w:val="single" w:color="auto" w:sz="4" w:space="0"/>
            </w:tcBorders>
            <w:vAlign w:val="center"/>
          </w:tcPr>
          <w:p w14:paraId="421A941C">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0.474***</w:t>
            </w:r>
          </w:p>
        </w:tc>
        <w:tc>
          <w:tcPr>
            <w:tcW w:w="1671" w:type="dxa"/>
            <w:tcBorders>
              <w:bottom w:val="single" w:color="auto" w:sz="4" w:space="0"/>
            </w:tcBorders>
            <w:vAlign w:val="center"/>
          </w:tcPr>
          <w:p w14:paraId="6D95E054">
            <w:pPr>
              <w:keepNext w:val="0"/>
              <w:keepLines w:val="0"/>
              <w:widowControl/>
              <w:suppressLineNumbers w:val="0"/>
              <w:spacing w:line="360" w:lineRule="auto"/>
              <w:jc w:val="center"/>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[0.255, 0.415]</w:t>
            </w:r>
          </w:p>
        </w:tc>
      </w:tr>
    </w:tbl>
    <w:p w14:paraId="2BDB4B73">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firstLine="320" w:firstLineChars="200"/>
        <w:jc w:val="both"/>
        <w:textAlignment w:val="auto"/>
        <w:rPr>
          <w:rFonts w:hint="default" w:ascii="Times New Roman" w:hAnsi="Times New Roman" w:cs="Times New Roman"/>
          <w:sz w:val="16"/>
          <w:szCs w:val="16"/>
          <w:lang w:val="en-US" w:eastAsia="zh-CN"/>
        </w:rPr>
      </w:pPr>
      <w:r>
        <w:rPr>
          <w:rFonts w:hint="default" w:ascii="Times New Roman" w:hAnsi="Times New Roman" w:cs="Times New Roman"/>
          <w:i/>
          <w:iCs/>
          <w:sz w:val="16"/>
          <w:szCs w:val="16"/>
          <w:lang w:val="en-US" w:eastAsia="zh-CN"/>
        </w:rPr>
        <w:t xml:space="preserve">Note. </w:t>
      </w:r>
      <w:r>
        <w:rPr>
          <w:rFonts w:hint="default" w:ascii="Times New Roman" w:hAnsi="Times New Roman" w:cs="Times New Roman"/>
          <w:sz w:val="16"/>
          <w:szCs w:val="16"/>
          <w:lang w:val="en-US" w:eastAsia="zh-CN"/>
        </w:rPr>
        <w:t xml:space="preserve"> *</w:t>
      </w:r>
      <w:r>
        <w:rPr>
          <w:rFonts w:hint="default" w:ascii="Times New Roman" w:hAnsi="Times New Roman" w:cs="Times New Roman"/>
          <w:i/>
          <w:iCs/>
          <w:sz w:val="16"/>
          <w:szCs w:val="16"/>
          <w:lang w:val="en-US" w:eastAsia="zh-CN"/>
        </w:rPr>
        <w:t>p</w:t>
      </w:r>
      <w:r>
        <w:rPr>
          <w:rFonts w:hint="default" w:ascii="Times New Roman" w:hAnsi="Times New Roman" w:cs="Times New Roman"/>
          <w:sz w:val="16"/>
          <w:szCs w:val="16"/>
          <w:lang w:val="en-US" w:eastAsia="zh-CN"/>
        </w:rPr>
        <w:t xml:space="preserve"> &lt; .05, **</w:t>
      </w:r>
      <w:r>
        <w:rPr>
          <w:rFonts w:hint="default" w:ascii="Times New Roman" w:hAnsi="Times New Roman" w:cs="Times New Roman"/>
          <w:i/>
          <w:iCs/>
          <w:sz w:val="16"/>
          <w:szCs w:val="16"/>
          <w:lang w:val="en-US" w:eastAsia="zh-CN"/>
        </w:rPr>
        <w:t>p</w:t>
      </w:r>
      <w:r>
        <w:rPr>
          <w:rFonts w:hint="default" w:ascii="Times New Roman" w:hAnsi="Times New Roman" w:cs="Times New Roman"/>
          <w:sz w:val="16"/>
          <w:szCs w:val="16"/>
          <w:lang w:val="en-US" w:eastAsia="zh-CN"/>
        </w:rPr>
        <w:t xml:space="preserve"> &lt; .01, ***</w:t>
      </w:r>
      <w:r>
        <w:rPr>
          <w:rFonts w:hint="default" w:ascii="Times New Roman" w:hAnsi="Times New Roman" w:cs="Times New Roman"/>
          <w:i/>
          <w:iCs/>
          <w:sz w:val="16"/>
          <w:szCs w:val="16"/>
          <w:lang w:val="en-US" w:eastAsia="zh-CN"/>
        </w:rPr>
        <w:t xml:space="preserve">p </w:t>
      </w:r>
      <w:r>
        <w:rPr>
          <w:rFonts w:hint="default" w:ascii="Times New Roman" w:hAnsi="Times New Roman" w:cs="Times New Roman"/>
          <w:sz w:val="16"/>
          <w:szCs w:val="16"/>
          <w:lang w:val="en-US" w:eastAsia="zh-CN"/>
        </w:rPr>
        <w:t>&lt; .001</w:t>
      </w:r>
    </w:p>
    <w:p w14:paraId="6316CD31">
      <w:pPr>
        <w:tabs>
          <w:tab w:val="left" w:pos="2333"/>
        </w:tabs>
        <w:spacing w:line="480" w:lineRule="auto"/>
        <w:jc w:val="center"/>
        <w:rPr>
          <w:rFonts w:hint="eastAsia" w:ascii="Times New Roman" w:hAnsi="Times New Roman" w:cs="Times New Roman"/>
          <w:b/>
          <w:bCs/>
          <w:sz w:val="32"/>
          <w:szCs w:val="40"/>
          <w:lang w:val="en-US" w:eastAsia="zh-CN"/>
        </w:rPr>
      </w:pPr>
      <w:r>
        <w:rPr>
          <w:rFonts w:hint="eastAsia" w:ascii="Times New Roman" w:hAnsi="Times New Roman" w:cs="Times New Roman"/>
          <w:b/>
          <w:bCs/>
          <w:sz w:val="32"/>
          <w:szCs w:val="40"/>
          <w:lang w:val="en-US" w:eastAsia="zh-CN"/>
        </w:rPr>
        <w:t>Part C</w:t>
      </w:r>
    </w:p>
    <w:p w14:paraId="17578933">
      <w:pPr>
        <w:tabs>
          <w:tab w:val="left" w:pos="2333"/>
        </w:tabs>
        <w:spacing w:line="480" w:lineRule="auto"/>
        <w:ind w:firstLine="562" w:firstLineChars="200"/>
        <w:jc w:val="both"/>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中文版感知积极共鸣量表</w:t>
      </w:r>
    </w:p>
    <w:p w14:paraId="22811BD8">
      <w:pPr>
        <w:keepNext w:val="0"/>
        <w:keepLines w:val="0"/>
        <w:pageBreakBefore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auto"/>
          <w:kern w:val="0"/>
          <w:sz w:val="24"/>
          <w:szCs w:val="24"/>
          <w:lang w:val="en-US" w:eastAsia="zh-CN" w:bidi="ar"/>
        </w:rPr>
      </w:pPr>
      <w:r>
        <w:rPr>
          <w:rFonts w:hint="eastAsia" w:ascii="Times New Roman" w:hAnsi="Times New Roman" w:cs="Times New Roman"/>
          <w:color w:val="auto"/>
          <w:kern w:val="0"/>
          <w:sz w:val="24"/>
          <w:szCs w:val="24"/>
          <w:lang w:val="en-US" w:eastAsia="zh-CN" w:bidi="ar"/>
        </w:rPr>
        <w:t>中文版感知积极共鸣量表共7个题目，采用李克特5点计分，“1”代表“非常少”，“5”代表“非常多”，具体的题目如下：</w:t>
      </w:r>
    </w:p>
    <w:p w14:paraId="08FCAF5E">
      <w:pPr>
        <w:keepNext w:val="0"/>
        <w:keepLines w:val="0"/>
        <w:pageBreakBefore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default" w:ascii="Times New Roman" w:hAnsi="Times New Roman" w:cs="Times New Roman"/>
          <w:color w:val="auto"/>
          <w:kern w:val="0"/>
          <w:sz w:val="24"/>
          <w:szCs w:val="24"/>
          <w:lang w:val="en-US" w:eastAsia="zh-CN" w:bidi="ar"/>
        </w:rPr>
      </w:pPr>
      <w:r>
        <w:rPr>
          <w:rFonts w:hint="eastAsia" w:ascii="Times New Roman" w:hAnsi="Times New Roman" w:cs="Times New Roman"/>
          <w:color w:val="auto"/>
          <w:kern w:val="0"/>
          <w:sz w:val="24"/>
          <w:szCs w:val="24"/>
          <w:lang w:val="en-US" w:eastAsia="zh-CN" w:bidi="ar"/>
        </w:rPr>
        <w:t>1.在人际互动（交往、交流）时，你们体验到了相互温暖和关心。</w:t>
      </w:r>
    </w:p>
    <w:p w14:paraId="363FD4C0">
      <w:pPr>
        <w:keepNext w:val="0"/>
        <w:keepLines w:val="0"/>
        <w:pageBreakBefore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eastAsia" w:ascii="Times New Roman" w:hAnsi="Times New Roman" w:cs="Times New Roman"/>
          <w:color w:val="auto"/>
          <w:kern w:val="0"/>
          <w:sz w:val="24"/>
          <w:szCs w:val="24"/>
          <w:lang w:val="en-US" w:eastAsia="zh-CN" w:bidi="ar"/>
        </w:rPr>
      </w:pPr>
      <w:r>
        <w:rPr>
          <w:rFonts w:hint="eastAsia" w:ascii="Times New Roman" w:hAnsi="Times New Roman" w:cs="Times New Roman"/>
          <w:color w:val="auto"/>
          <w:kern w:val="0"/>
          <w:sz w:val="24"/>
          <w:szCs w:val="24"/>
          <w:lang w:val="en-US" w:eastAsia="zh-CN" w:bidi="ar"/>
        </w:rPr>
        <w:t>2.在人际互动（交往、交流）时，你们能够步调一致且心灵相通。</w:t>
      </w:r>
    </w:p>
    <w:p w14:paraId="74815E7D">
      <w:pPr>
        <w:keepNext w:val="0"/>
        <w:keepLines w:val="0"/>
        <w:pageBreakBefore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eastAsia" w:ascii="Times New Roman" w:hAnsi="Times New Roman" w:cs="Times New Roman"/>
          <w:color w:val="auto"/>
          <w:kern w:val="0"/>
          <w:sz w:val="24"/>
          <w:szCs w:val="24"/>
          <w:lang w:val="en-US" w:eastAsia="zh-CN" w:bidi="ar"/>
        </w:rPr>
      </w:pPr>
      <w:r>
        <w:rPr>
          <w:rFonts w:hint="eastAsia" w:ascii="Times New Roman" w:hAnsi="Times New Roman" w:cs="Times New Roman"/>
          <w:color w:val="auto"/>
          <w:kern w:val="0"/>
          <w:sz w:val="24"/>
          <w:szCs w:val="24"/>
          <w:lang w:val="en-US" w:eastAsia="zh-CN" w:bidi="ar"/>
        </w:rPr>
        <w:t>3.在人际互动（交往、交流）时，你们的思想和情感能够顺畅自如地交流。</w:t>
      </w:r>
    </w:p>
    <w:p w14:paraId="0D10B918">
      <w:pPr>
        <w:keepNext w:val="0"/>
        <w:keepLines w:val="0"/>
        <w:pageBreakBefore w:val="0"/>
        <w:numPr>
          <w:ilvl w:val="0"/>
          <w:numId w:val="0"/>
        </w:numPr>
        <w:kinsoku/>
        <w:wordWrap/>
        <w:overflowPunct/>
        <w:topLinePunct w:val="0"/>
        <w:autoSpaceDE/>
        <w:autoSpaceDN/>
        <w:bidi w:val="0"/>
        <w:adjustRightInd/>
        <w:snapToGrid/>
        <w:spacing w:line="480" w:lineRule="auto"/>
        <w:ind w:firstLine="480" w:firstLineChars="200"/>
        <w:jc w:val="both"/>
        <w:textAlignment w:val="auto"/>
        <w:rPr>
          <w:rFonts w:hint="eastAsia" w:ascii="Times New Roman" w:hAnsi="Times New Roman" w:cs="Times New Roman"/>
          <w:color w:val="auto"/>
          <w:kern w:val="0"/>
          <w:sz w:val="24"/>
          <w:szCs w:val="24"/>
          <w:lang w:val="en-US" w:eastAsia="zh-CN" w:bidi="ar"/>
        </w:rPr>
      </w:pPr>
      <w:r>
        <w:rPr>
          <w:rFonts w:hint="eastAsia" w:ascii="Times New Roman" w:hAnsi="Times New Roman" w:cs="Times New Roman"/>
          <w:color w:val="auto"/>
          <w:kern w:val="0"/>
          <w:sz w:val="24"/>
          <w:szCs w:val="24"/>
          <w:lang w:val="en-US" w:eastAsia="zh-CN" w:bidi="ar"/>
        </w:rPr>
        <w:t>4.在人际互动（交往、交流）时，彼此的陪伴让你们感到活力四射且精神振奋。</w:t>
      </w:r>
    </w:p>
    <w:p w14:paraId="7D06996D">
      <w:pPr>
        <w:spacing w:line="480" w:lineRule="auto"/>
        <w:ind w:firstLine="480" w:firstLineChars="200"/>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kern w:val="0"/>
          <w:sz w:val="24"/>
          <w:szCs w:val="24"/>
          <w:lang w:val="en-US" w:eastAsia="zh-CN" w:bidi="ar"/>
        </w:rPr>
        <w:t>5.在人际互动（交往、交流）时，你们</w:t>
      </w:r>
      <w:r>
        <w:rPr>
          <w:rFonts w:hint="eastAsia" w:ascii="Times New Roman" w:hAnsi="Times New Roman" w:cs="Times New Roman"/>
          <w:color w:val="auto"/>
          <w:sz w:val="24"/>
          <w:szCs w:val="24"/>
          <w:lang w:val="en-US" w:eastAsia="zh-CN"/>
        </w:rPr>
        <w:t>能够回应彼此的需求。</w:t>
      </w:r>
    </w:p>
    <w:p w14:paraId="2D2213AA">
      <w:pPr>
        <w:spacing w:line="480" w:lineRule="auto"/>
        <w:ind w:firstLine="480" w:firstLineChars="200"/>
        <w:rPr>
          <w:rFonts w:hint="eastAsia" w:ascii="Times New Roman" w:hAnsi="Times New Roman" w:cs="Times New Roman"/>
          <w:color w:val="auto"/>
          <w:kern w:val="0"/>
          <w:sz w:val="24"/>
          <w:szCs w:val="24"/>
          <w:lang w:val="en-US" w:eastAsia="zh-CN" w:bidi="ar"/>
        </w:rPr>
      </w:pPr>
      <w:r>
        <w:rPr>
          <w:rFonts w:hint="eastAsia" w:ascii="Times New Roman" w:hAnsi="Times New Roman" w:cs="Times New Roman"/>
          <w:color w:val="auto"/>
          <w:sz w:val="24"/>
          <w:szCs w:val="24"/>
          <w:lang w:val="en-US" w:eastAsia="zh-CN"/>
        </w:rPr>
        <w:t>6.</w:t>
      </w:r>
      <w:r>
        <w:rPr>
          <w:rFonts w:hint="eastAsia" w:ascii="Times New Roman" w:hAnsi="Times New Roman" w:cs="Times New Roman"/>
          <w:color w:val="auto"/>
          <w:kern w:val="0"/>
          <w:sz w:val="24"/>
          <w:szCs w:val="24"/>
          <w:lang w:val="en-US" w:eastAsia="zh-CN" w:bidi="ar"/>
        </w:rPr>
        <w:t>在人际互动（交往、交流）时，你们感受到相互信任与尊重。</w:t>
      </w:r>
    </w:p>
    <w:p w14:paraId="6B31097A">
      <w:pPr>
        <w:spacing w:line="480" w:lineRule="auto"/>
        <w:ind w:firstLine="480" w:firstLineChars="200"/>
        <w:rPr>
          <w:rFonts w:hint="eastAsia" w:ascii="Times New Roman" w:hAnsi="Times New Roman" w:cs="Times New Roman"/>
          <w:color w:val="auto"/>
          <w:kern w:val="0"/>
          <w:sz w:val="24"/>
          <w:szCs w:val="24"/>
          <w:lang w:val="en-US" w:eastAsia="zh-CN" w:bidi="ar"/>
        </w:rPr>
      </w:pPr>
      <w:r>
        <w:rPr>
          <w:rFonts w:hint="eastAsia" w:ascii="Times New Roman" w:hAnsi="Times New Roman" w:cs="Times New Roman"/>
          <w:color w:val="auto"/>
          <w:kern w:val="0"/>
          <w:sz w:val="24"/>
          <w:szCs w:val="24"/>
          <w:lang w:val="en-US" w:eastAsia="zh-CN" w:bidi="ar"/>
        </w:rPr>
        <w:t>7.在人际互动（交往、交流）时，你们感受到彼此之间很“默契”。</w:t>
      </w:r>
    </w:p>
    <w:p w14:paraId="48671CED">
      <w:pPr>
        <w:spacing w:line="480" w:lineRule="auto"/>
        <w:ind w:firstLine="480" w:firstLineChars="200"/>
        <w:rPr>
          <w:rFonts w:hint="eastAsia" w:ascii="Times New Roman" w:hAnsi="Times New Roman" w:cs="Times New Roman"/>
          <w:color w:val="auto"/>
          <w:kern w:val="0"/>
          <w:sz w:val="24"/>
          <w:szCs w:val="24"/>
          <w:lang w:val="en-US" w:eastAsia="zh-CN" w:bidi="ar"/>
        </w:rPr>
      </w:pPr>
    </w:p>
    <w:p w14:paraId="4E363DAE">
      <w:pPr>
        <w:spacing w:line="480" w:lineRule="auto"/>
        <w:ind w:firstLine="643" w:firstLineChars="200"/>
        <w:jc w:val="center"/>
        <w:rPr>
          <w:rFonts w:hint="eastAsia" w:ascii="Times New Roman" w:hAnsi="Times New Roman" w:cs="Times New Roman"/>
          <w:b/>
          <w:bCs/>
          <w:color w:val="auto"/>
          <w:kern w:val="0"/>
          <w:sz w:val="32"/>
          <w:szCs w:val="32"/>
          <w:lang w:val="en-US" w:eastAsia="zh-CN" w:bidi="ar"/>
        </w:rPr>
      </w:pPr>
      <w:r>
        <w:rPr>
          <w:rFonts w:hint="eastAsia" w:ascii="Times New Roman" w:hAnsi="Times New Roman" w:cs="Times New Roman"/>
          <w:b/>
          <w:bCs/>
          <w:color w:val="auto"/>
          <w:kern w:val="0"/>
          <w:sz w:val="32"/>
          <w:szCs w:val="32"/>
          <w:lang w:val="en-US" w:eastAsia="zh-CN" w:bidi="ar"/>
        </w:rPr>
        <w:t xml:space="preserve">Part D </w:t>
      </w:r>
    </w:p>
    <w:p w14:paraId="4FA4D6F3">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jc w:val="both"/>
        <w:textAlignment w:val="auto"/>
        <w:rPr>
          <w:rFonts w:hint="default" w:ascii="Times New Roman" w:hAnsi="Times New Roman" w:eastAsia="Segoe UI" w:cs="Times New Roman"/>
          <w:b/>
          <w:bCs/>
          <w:i w:val="0"/>
          <w:iCs w:val="0"/>
          <w:caps w:val="0"/>
          <w:color w:val="0F1115"/>
          <w:spacing w:val="0"/>
          <w:sz w:val="28"/>
          <w:szCs w:val="28"/>
          <w:shd w:val="clear" w:fill="FFFFFF"/>
        </w:rPr>
      </w:pPr>
      <w:r>
        <w:rPr>
          <w:rFonts w:hint="default" w:ascii="Times New Roman" w:hAnsi="Times New Roman" w:eastAsia="Segoe UI" w:cs="Times New Roman"/>
          <w:b/>
          <w:bCs/>
          <w:i w:val="0"/>
          <w:iCs w:val="0"/>
          <w:caps w:val="0"/>
          <w:color w:val="0F1115"/>
          <w:spacing w:val="0"/>
          <w:sz w:val="28"/>
          <w:szCs w:val="28"/>
          <w:shd w:val="clear" w:fill="FFFFFF"/>
        </w:rPr>
        <w:t>Cross-lagged panel analysis of positive resonance and meaning in life</w:t>
      </w:r>
    </w:p>
    <w:p w14:paraId="01D70DE2">
      <w:pPr>
        <w:spacing w:line="48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As neither construct showed significant gender differences, we included age and hometown as control variables in the cross-lagged regression analysis. The model demonstrated good fit indices: RMSEA = 0.09, χ²/df = 8.92, </w:t>
      </w:r>
      <w:r>
        <w:rPr>
          <w:rFonts w:ascii="Times New Roman" w:hAnsi="Times New Roman" w:cs="Times New Roman"/>
          <w:i/>
          <w:iCs/>
          <w:color w:val="auto"/>
          <w:sz w:val="24"/>
          <w:szCs w:val="24"/>
        </w:rPr>
        <w:t>p</w:t>
      </w:r>
      <w:r>
        <w:rPr>
          <w:rFonts w:ascii="Times New Roman" w:hAnsi="Times New Roman" w:cs="Times New Roman"/>
          <w:color w:val="auto"/>
          <w:sz w:val="24"/>
          <w:szCs w:val="24"/>
        </w:rPr>
        <w:t xml:space="preserve"> &lt; </w:t>
      </w:r>
      <w:r>
        <w:rPr>
          <w:rFonts w:hint="eastAsia" w:ascii="Times New Roman" w:hAnsi="Times New Roman" w:cs="Times New Roman"/>
          <w:color w:val="auto"/>
          <w:sz w:val="24"/>
          <w:szCs w:val="24"/>
          <w:lang w:val="en-US" w:eastAsia="zh-CN"/>
        </w:rPr>
        <w:t>0</w:t>
      </w:r>
      <w:r>
        <w:rPr>
          <w:rFonts w:ascii="Times New Roman" w:hAnsi="Times New Roman" w:cs="Times New Roman"/>
          <w:color w:val="auto"/>
          <w:sz w:val="24"/>
          <w:szCs w:val="24"/>
        </w:rPr>
        <w:t>.0</w:t>
      </w:r>
      <w:r>
        <w:rPr>
          <w:rFonts w:hint="eastAsia" w:ascii="Times New Roman" w:hAnsi="Times New Roman" w:cs="Times New Roman"/>
          <w:color w:val="auto"/>
          <w:sz w:val="24"/>
          <w:szCs w:val="24"/>
          <w:lang w:val="en-US" w:eastAsia="zh-CN"/>
        </w:rPr>
        <w:t>5</w:t>
      </w:r>
      <w:r>
        <w:rPr>
          <w:rFonts w:ascii="Times New Roman" w:hAnsi="Times New Roman" w:cs="Times New Roman"/>
          <w:color w:val="auto"/>
          <w:sz w:val="24"/>
          <w:szCs w:val="24"/>
        </w:rPr>
        <w:t>, CFI = 0.96, TLI = 0.89, SRMR = 0.03. Autoregressive path coefficients across three time points ranged between 0.38-0.62, indicating moderate stability. Significant cross-lagged effects emerged: (1) T1 positive resonance positively predicted T2 meaning in life (</w:t>
      </w:r>
      <w:r>
        <w:rPr>
          <w:rFonts w:ascii="Times New Roman" w:hAnsi="Times New Roman" w:cs="Times New Roman"/>
          <w:i/>
          <w:iCs/>
          <w:color w:val="auto"/>
          <w:sz w:val="24"/>
          <w:szCs w:val="24"/>
        </w:rPr>
        <w:t xml:space="preserve">β </w:t>
      </w:r>
      <w:r>
        <w:rPr>
          <w:rFonts w:ascii="Times New Roman" w:hAnsi="Times New Roman" w:cs="Times New Roman"/>
          <w:color w:val="auto"/>
          <w:sz w:val="24"/>
          <w:szCs w:val="24"/>
        </w:rPr>
        <w:t xml:space="preserve">= 0.08, </w:t>
      </w:r>
      <w:r>
        <w:rPr>
          <w:rFonts w:hint="eastAsia" w:ascii="Times New Roman" w:hAnsi="Times New Roman" w:cs="Times New Roman"/>
          <w:i/>
          <w:iCs/>
          <w:color w:val="auto"/>
          <w:sz w:val="24"/>
          <w:szCs w:val="24"/>
          <w:lang w:val="en-US" w:eastAsia="zh-CN"/>
        </w:rPr>
        <w:t>p</w:t>
      </w:r>
      <w:r>
        <w:rPr>
          <w:rFonts w:ascii="Times New Roman" w:hAnsi="Times New Roman" w:cs="Times New Roman"/>
          <w:i/>
          <w:iCs/>
          <w:color w:val="auto"/>
          <w:sz w:val="24"/>
          <w:szCs w:val="24"/>
        </w:rPr>
        <w:t xml:space="preserve"> </w:t>
      </w:r>
      <w:r>
        <w:rPr>
          <w:rFonts w:ascii="Times New Roman" w:hAnsi="Times New Roman" w:cs="Times New Roman"/>
          <w:color w:val="auto"/>
          <w:sz w:val="24"/>
          <w:szCs w:val="24"/>
        </w:rPr>
        <w:t>&lt;</w:t>
      </w:r>
      <w:r>
        <w:rPr>
          <w:rFonts w:hint="eastAsia" w:ascii="Times New Roman" w:hAnsi="Times New Roman" w:cs="Times New Roman"/>
          <w:color w:val="auto"/>
          <w:sz w:val="24"/>
          <w:szCs w:val="24"/>
        </w:rPr>
        <w:t xml:space="preserve"> 0</w:t>
      </w:r>
      <w:r>
        <w:rPr>
          <w:rFonts w:ascii="Times New Roman" w:hAnsi="Times New Roman" w:cs="Times New Roman"/>
          <w:color w:val="auto"/>
          <w:sz w:val="24"/>
          <w:szCs w:val="24"/>
        </w:rPr>
        <w:t>.05); (2) T2 positive resonance positively predicted T3 meaning in life (</w:t>
      </w:r>
      <w:r>
        <w:rPr>
          <w:rFonts w:ascii="Times New Roman" w:hAnsi="Times New Roman" w:cs="Times New Roman"/>
          <w:i/>
          <w:iCs/>
          <w:color w:val="auto"/>
          <w:sz w:val="24"/>
          <w:szCs w:val="24"/>
        </w:rPr>
        <w:t xml:space="preserve">β </w:t>
      </w:r>
      <w:r>
        <w:rPr>
          <w:rFonts w:ascii="Times New Roman" w:hAnsi="Times New Roman" w:cs="Times New Roman"/>
          <w:color w:val="auto"/>
          <w:sz w:val="24"/>
          <w:szCs w:val="24"/>
        </w:rPr>
        <w:t xml:space="preserve">= 0.18, </w:t>
      </w:r>
      <w:r>
        <w:rPr>
          <w:rFonts w:hint="eastAsia" w:ascii="Times New Roman" w:hAnsi="Times New Roman" w:cs="Times New Roman"/>
          <w:i/>
          <w:iCs/>
          <w:color w:val="auto"/>
          <w:sz w:val="24"/>
          <w:szCs w:val="24"/>
          <w:lang w:val="en-US" w:eastAsia="zh-CN"/>
        </w:rPr>
        <w:t>p</w:t>
      </w:r>
      <w:r>
        <w:rPr>
          <w:rFonts w:ascii="Times New Roman" w:hAnsi="Times New Roman" w:cs="Times New Roman"/>
          <w:color w:val="auto"/>
          <w:sz w:val="24"/>
          <w:szCs w:val="24"/>
        </w:rPr>
        <w:t xml:space="preserve"> &lt; </w:t>
      </w:r>
      <w:r>
        <w:rPr>
          <w:rFonts w:hint="eastAsia" w:ascii="Times New Roman" w:hAnsi="Times New Roman" w:cs="Times New Roman"/>
          <w:color w:val="auto"/>
          <w:sz w:val="24"/>
          <w:szCs w:val="24"/>
        </w:rPr>
        <w:t>0</w:t>
      </w:r>
      <w:r>
        <w:rPr>
          <w:rFonts w:ascii="Times New Roman" w:hAnsi="Times New Roman" w:cs="Times New Roman"/>
          <w:color w:val="auto"/>
          <w:sz w:val="24"/>
          <w:szCs w:val="24"/>
        </w:rPr>
        <w:t>.0</w:t>
      </w:r>
      <w:r>
        <w:rPr>
          <w:rFonts w:hint="eastAsia" w:ascii="Times New Roman" w:hAnsi="Times New Roman" w:cs="Times New Roman"/>
          <w:color w:val="auto"/>
          <w:sz w:val="24"/>
          <w:szCs w:val="24"/>
          <w:lang w:val="en-US" w:eastAsia="zh-CN"/>
        </w:rPr>
        <w:t>5</w:t>
      </w:r>
      <w:r>
        <w:rPr>
          <w:rFonts w:ascii="Times New Roman" w:hAnsi="Times New Roman" w:cs="Times New Roman"/>
          <w:color w:val="auto"/>
          <w:sz w:val="24"/>
          <w:szCs w:val="24"/>
        </w:rPr>
        <w:t>); (3) T1 meaning in life positively predicted T2 positive resonance (</w:t>
      </w:r>
      <w:r>
        <w:rPr>
          <w:rFonts w:ascii="Times New Roman" w:hAnsi="Times New Roman" w:cs="Times New Roman"/>
          <w:i/>
          <w:iCs/>
          <w:color w:val="auto"/>
          <w:sz w:val="24"/>
          <w:szCs w:val="24"/>
        </w:rPr>
        <w:t xml:space="preserve">β </w:t>
      </w:r>
      <w:r>
        <w:rPr>
          <w:rFonts w:ascii="Times New Roman" w:hAnsi="Times New Roman" w:cs="Times New Roman"/>
          <w:color w:val="auto"/>
          <w:sz w:val="24"/>
          <w:szCs w:val="24"/>
        </w:rPr>
        <w:t xml:space="preserve">= 0.18, </w:t>
      </w:r>
      <w:r>
        <w:rPr>
          <w:rFonts w:hint="eastAsia" w:ascii="Times New Roman" w:hAnsi="Times New Roman" w:cs="Times New Roman"/>
          <w:i/>
          <w:iCs/>
          <w:color w:val="auto"/>
          <w:sz w:val="24"/>
          <w:szCs w:val="24"/>
          <w:lang w:val="en-US" w:eastAsia="zh-CN"/>
        </w:rPr>
        <w:t>p</w:t>
      </w:r>
      <w:r>
        <w:rPr>
          <w:rFonts w:ascii="Times New Roman" w:hAnsi="Times New Roman" w:cs="Times New Roman"/>
          <w:i/>
          <w:iCs/>
          <w:color w:val="auto"/>
          <w:sz w:val="24"/>
          <w:szCs w:val="24"/>
        </w:rPr>
        <w:t xml:space="preserve"> </w:t>
      </w:r>
      <w:r>
        <w:rPr>
          <w:rFonts w:ascii="Times New Roman" w:hAnsi="Times New Roman" w:cs="Times New Roman"/>
          <w:color w:val="auto"/>
          <w:sz w:val="24"/>
          <w:szCs w:val="24"/>
        </w:rPr>
        <w:t xml:space="preserve">&lt; </w:t>
      </w:r>
      <w:r>
        <w:rPr>
          <w:rFonts w:hint="eastAsia" w:ascii="Times New Roman" w:hAnsi="Times New Roman" w:cs="Times New Roman"/>
          <w:color w:val="auto"/>
          <w:sz w:val="24"/>
          <w:szCs w:val="24"/>
        </w:rPr>
        <w:t>0</w:t>
      </w:r>
      <w:r>
        <w:rPr>
          <w:rFonts w:ascii="Times New Roman" w:hAnsi="Times New Roman" w:cs="Times New Roman"/>
          <w:color w:val="auto"/>
          <w:sz w:val="24"/>
          <w:szCs w:val="24"/>
        </w:rPr>
        <w:t>.0</w:t>
      </w:r>
      <w:r>
        <w:rPr>
          <w:rFonts w:hint="eastAsia" w:ascii="Times New Roman" w:hAnsi="Times New Roman" w:cs="Times New Roman"/>
          <w:color w:val="auto"/>
          <w:sz w:val="24"/>
          <w:szCs w:val="24"/>
          <w:lang w:val="en-US" w:eastAsia="zh-CN"/>
        </w:rPr>
        <w:t>5</w:t>
      </w:r>
      <w:r>
        <w:rPr>
          <w:rFonts w:ascii="Times New Roman" w:hAnsi="Times New Roman" w:cs="Times New Roman"/>
          <w:color w:val="auto"/>
          <w:sz w:val="24"/>
          <w:szCs w:val="24"/>
        </w:rPr>
        <w:t>); and (4) T2 meaning in life positively predicted T3 positive resonance (</w:t>
      </w:r>
      <w:r>
        <w:rPr>
          <w:rFonts w:ascii="Times New Roman" w:hAnsi="Times New Roman" w:cs="Times New Roman"/>
          <w:i/>
          <w:iCs/>
          <w:color w:val="auto"/>
          <w:sz w:val="24"/>
          <w:szCs w:val="24"/>
        </w:rPr>
        <w:t xml:space="preserve">β </w:t>
      </w:r>
      <w:r>
        <w:rPr>
          <w:rFonts w:ascii="Times New Roman" w:hAnsi="Times New Roman" w:cs="Times New Roman"/>
          <w:color w:val="auto"/>
          <w:sz w:val="24"/>
          <w:szCs w:val="24"/>
        </w:rPr>
        <w:t xml:space="preserve">= 0.07, </w:t>
      </w:r>
      <w:r>
        <w:rPr>
          <w:rFonts w:hint="eastAsia" w:ascii="Times New Roman" w:hAnsi="Times New Roman" w:cs="Times New Roman"/>
          <w:i/>
          <w:iCs/>
          <w:color w:val="auto"/>
          <w:sz w:val="24"/>
          <w:szCs w:val="24"/>
          <w:lang w:val="en-US" w:eastAsia="zh-CN"/>
        </w:rPr>
        <w:t>p</w:t>
      </w:r>
      <w:r>
        <w:rPr>
          <w:rFonts w:ascii="Times New Roman" w:hAnsi="Times New Roman" w:cs="Times New Roman"/>
          <w:color w:val="auto"/>
          <w:sz w:val="24"/>
          <w:szCs w:val="24"/>
        </w:rPr>
        <w:t xml:space="preserve"> &lt; </w:t>
      </w:r>
      <w:r>
        <w:rPr>
          <w:rFonts w:hint="eastAsia" w:ascii="Times New Roman" w:hAnsi="Times New Roman" w:cs="Times New Roman"/>
          <w:color w:val="auto"/>
          <w:sz w:val="24"/>
          <w:szCs w:val="24"/>
        </w:rPr>
        <w:t>0</w:t>
      </w:r>
      <w:r>
        <w:rPr>
          <w:rFonts w:ascii="Times New Roman" w:hAnsi="Times New Roman" w:cs="Times New Roman"/>
          <w:color w:val="auto"/>
          <w:sz w:val="24"/>
          <w:szCs w:val="24"/>
        </w:rPr>
        <w:t>.05) (see Figure 1).</w:t>
      </w:r>
    </w:p>
    <w:p w14:paraId="323C5644">
      <w:pPr>
        <w:spacing w:line="480" w:lineRule="auto"/>
        <w:jc w:val="center"/>
        <w:rPr>
          <w:rFonts w:ascii="Times New Roman" w:hAnsi="Times New Roman" w:cs="Times New Roman"/>
          <w:color w:val="auto"/>
          <w:sz w:val="24"/>
          <w:szCs w:val="32"/>
        </w:rPr>
      </w:pPr>
      <w:r>
        <w:rPr>
          <w:rFonts w:hint="eastAsia" w:ascii="Times New Roman" w:hAnsi="Times New Roman" w:cs="Times New Roman"/>
          <w:color w:val="auto"/>
          <w:sz w:val="24"/>
          <w:szCs w:val="32"/>
        </w:rPr>
        <w:drawing>
          <wp:inline distT="0" distB="0" distL="114300" distR="114300">
            <wp:extent cx="5488940" cy="2066925"/>
            <wp:effectExtent l="0" t="0" r="10160" b="3175"/>
            <wp:docPr id="1" name="图片 1"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8"/>
                    <pic:cNvPicPr>
                      <a:picLocks noChangeAspect="1"/>
                    </pic:cNvPicPr>
                  </pic:nvPicPr>
                  <pic:blipFill>
                    <a:blip r:embed="rId4"/>
                    <a:stretch>
                      <a:fillRect/>
                    </a:stretch>
                  </pic:blipFill>
                  <pic:spPr>
                    <a:xfrm>
                      <a:off x="0" y="0"/>
                      <a:ext cx="5488940" cy="2066925"/>
                    </a:xfrm>
                    <a:prstGeom prst="rect">
                      <a:avLst/>
                    </a:prstGeom>
                  </pic:spPr>
                </pic:pic>
              </a:graphicData>
            </a:graphic>
          </wp:inline>
        </w:drawing>
      </w:r>
    </w:p>
    <w:p w14:paraId="4FC64D44">
      <w:pPr>
        <w:spacing w:line="480" w:lineRule="auto"/>
        <w:jc w:val="left"/>
        <w:rPr>
          <w:rFonts w:ascii="Times New Roman" w:hAnsi="Times New Roman" w:cs="Times New Roman"/>
          <w:color w:val="auto"/>
          <w:sz w:val="16"/>
          <w:szCs w:val="16"/>
        </w:rPr>
      </w:pPr>
      <w:r>
        <w:rPr>
          <w:rFonts w:ascii="Times New Roman" w:hAnsi="Times New Roman" w:cs="Times New Roman"/>
          <w:b/>
          <w:bCs/>
          <w:color w:val="auto"/>
          <w:sz w:val="20"/>
          <w:szCs w:val="20"/>
        </w:rPr>
        <w:t>Figure 1.</w:t>
      </w:r>
      <w:r>
        <w:rPr>
          <w:rFonts w:ascii="Times New Roman" w:hAnsi="Times New Roman" w:cs="Times New Roman"/>
          <w:color w:val="auto"/>
          <w:sz w:val="20"/>
          <w:szCs w:val="20"/>
        </w:rPr>
        <w:t xml:space="preserve"> </w:t>
      </w:r>
      <w:r>
        <w:rPr>
          <w:rFonts w:hint="eastAsia" w:ascii="Times New Roman" w:hAnsi="Times New Roman" w:cs="Times New Roman"/>
          <w:color w:val="auto"/>
          <w:sz w:val="20"/>
          <w:szCs w:val="20"/>
        </w:rPr>
        <w:t xml:space="preserve"> </w:t>
      </w:r>
      <w:r>
        <w:rPr>
          <w:rFonts w:ascii="Times New Roman" w:hAnsi="Times New Roman" w:cs="Times New Roman"/>
          <w:i/>
          <w:iCs/>
          <w:color w:val="auto"/>
          <w:sz w:val="20"/>
          <w:szCs w:val="20"/>
        </w:rPr>
        <w:t xml:space="preserve">Cross-lagged </w:t>
      </w:r>
      <w:r>
        <w:rPr>
          <w:rFonts w:hint="eastAsia" w:ascii="Times New Roman" w:hAnsi="Times New Roman" w:cs="Times New Roman"/>
          <w:i/>
          <w:iCs/>
          <w:color w:val="auto"/>
          <w:sz w:val="20"/>
          <w:szCs w:val="20"/>
        </w:rPr>
        <w:t>a</w:t>
      </w:r>
      <w:r>
        <w:rPr>
          <w:rFonts w:ascii="Times New Roman" w:hAnsi="Times New Roman" w:cs="Times New Roman"/>
          <w:i/>
          <w:iCs/>
          <w:color w:val="auto"/>
          <w:sz w:val="20"/>
          <w:szCs w:val="20"/>
        </w:rPr>
        <w:t xml:space="preserve">nalysis of </w:t>
      </w:r>
      <w:r>
        <w:rPr>
          <w:rFonts w:hint="eastAsia" w:ascii="Times New Roman" w:hAnsi="Times New Roman" w:cs="Times New Roman"/>
          <w:i/>
          <w:iCs/>
          <w:color w:val="auto"/>
          <w:sz w:val="20"/>
          <w:szCs w:val="20"/>
        </w:rPr>
        <w:t>p</w:t>
      </w:r>
      <w:r>
        <w:rPr>
          <w:rFonts w:ascii="Times New Roman" w:hAnsi="Times New Roman" w:cs="Times New Roman"/>
          <w:i/>
          <w:iCs/>
          <w:color w:val="auto"/>
          <w:sz w:val="20"/>
          <w:szCs w:val="20"/>
        </w:rPr>
        <w:t xml:space="preserve">ositive </w:t>
      </w:r>
      <w:r>
        <w:rPr>
          <w:rFonts w:hint="eastAsia" w:ascii="Times New Roman" w:hAnsi="Times New Roman" w:cs="Times New Roman"/>
          <w:i/>
          <w:iCs/>
          <w:color w:val="auto"/>
          <w:sz w:val="20"/>
          <w:szCs w:val="20"/>
        </w:rPr>
        <w:t>r</w:t>
      </w:r>
      <w:r>
        <w:rPr>
          <w:rFonts w:ascii="Times New Roman" w:hAnsi="Times New Roman" w:cs="Times New Roman"/>
          <w:i/>
          <w:iCs/>
          <w:color w:val="auto"/>
          <w:sz w:val="20"/>
          <w:szCs w:val="20"/>
        </w:rPr>
        <w:t xml:space="preserve">esonance and meaning in </w:t>
      </w:r>
      <w:r>
        <w:rPr>
          <w:rFonts w:hint="eastAsia" w:ascii="Times New Roman" w:hAnsi="Times New Roman" w:cs="Times New Roman"/>
          <w:i/>
          <w:iCs/>
          <w:color w:val="auto"/>
          <w:sz w:val="20"/>
          <w:szCs w:val="20"/>
        </w:rPr>
        <w:t>l</w:t>
      </w:r>
      <w:r>
        <w:rPr>
          <w:rFonts w:ascii="Times New Roman" w:hAnsi="Times New Roman" w:cs="Times New Roman"/>
          <w:i/>
          <w:iCs/>
          <w:color w:val="auto"/>
          <w:sz w:val="20"/>
          <w:szCs w:val="20"/>
        </w:rPr>
        <w:t xml:space="preserve">ife </w:t>
      </w:r>
      <w:r>
        <w:rPr>
          <w:rFonts w:hint="eastAsia" w:ascii="Times New Roman" w:hAnsi="Times New Roman" w:cs="Times New Roman"/>
          <w:i/>
          <w:iCs/>
          <w:color w:val="auto"/>
          <w:sz w:val="20"/>
          <w:szCs w:val="20"/>
        </w:rPr>
        <w:t>a</w:t>
      </w:r>
      <w:r>
        <w:rPr>
          <w:rFonts w:ascii="Times New Roman" w:hAnsi="Times New Roman" w:cs="Times New Roman"/>
          <w:i/>
          <w:iCs/>
          <w:color w:val="auto"/>
          <w:sz w:val="20"/>
          <w:szCs w:val="20"/>
        </w:rPr>
        <w:t xml:space="preserve">mong </w:t>
      </w:r>
      <w:r>
        <w:rPr>
          <w:rFonts w:hint="eastAsia" w:ascii="Times New Roman" w:hAnsi="Times New Roman" w:cs="Times New Roman"/>
          <w:i/>
          <w:iCs/>
          <w:color w:val="auto"/>
          <w:sz w:val="20"/>
          <w:szCs w:val="20"/>
        </w:rPr>
        <w:t>c</w:t>
      </w:r>
      <w:r>
        <w:rPr>
          <w:rFonts w:ascii="Times New Roman" w:hAnsi="Times New Roman" w:cs="Times New Roman"/>
          <w:i/>
          <w:iCs/>
          <w:color w:val="auto"/>
          <w:sz w:val="20"/>
          <w:szCs w:val="20"/>
        </w:rPr>
        <w:t xml:space="preserve">ollege </w:t>
      </w:r>
      <w:r>
        <w:rPr>
          <w:rFonts w:hint="eastAsia" w:ascii="Times New Roman" w:hAnsi="Times New Roman" w:cs="Times New Roman"/>
          <w:i/>
          <w:iCs/>
          <w:color w:val="auto"/>
          <w:sz w:val="20"/>
          <w:szCs w:val="20"/>
        </w:rPr>
        <w:t>f</w:t>
      </w:r>
      <w:r>
        <w:rPr>
          <w:rFonts w:ascii="Times New Roman" w:hAnsi="Times New Roman" w:cs="Times New Roman"/>
          <w:i/>
          <w:iCs/>
          <w:color w:val="auto"/>
          <w:sz w:val="20"/>
          <w:szCs w:val="20"/>
        </w:rPr>
        <w:t>reshmen</w:t>
      </w:r>
    </w:p>
    <w:p w14:paraId="6E6AEE68">
      <w:pPr>
        <w:spacing w:line="480" w:lineRule="auto"/>
        <w:ind w:firstLine="480" w:firstLineChars="200"/>
        <w:jc w:val="center"/>
        <w:rPr>
          <w:rFonts w:hint="default" w:ascii="Times New Roman" w:hAnsi="Times New Roman" w:cs="Times New Roman"/>
          <w:color w:val="auto"/>
          <w:kern w:val="0"/>
          <w:sz w:val="24"/>
          <w:szCs w:val="24"/>
          <w:lang w:val="en-US" w:eastAsia="zh-CN" w:bidi="ar"/>
        </w:rPr>
      </w:pPr>
    </w:p>
    <w:p w14:paraId="501A738F">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80" w:lineRule="auto"/>
        <w:ind w:right="0" w:rightChars="0" w:firstLine="321" w:firstLineChars="200"/>
        <w:jc w:val="both"/>
        <w:textAlignment w:val="auto"/>
        <w:rPr>
          <w:rFonts w:hint="default" w:ascii="Times New Roman" w:hAnsi="Times New Roman" w:cs="Times New Roman"/>
          <w:b/>
          <w:bCs/>
          <w:sz w:val="16"/>
          <w:szCs w:val="16"/>
          <w:lang w:val="en-US" w:eastAsia="zh-CN"/>
        </w:rPr>
      </w:pPr>
    </w:p>
    <w:sectPr>
      <w:pgSz w:w="11906" w:h="16838"/>
      <w:pgMar w:top="1440" w:right="1757"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var(--dsw-font-markdown-tabl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157B52"/>
    <w:rsid w:val="23FC0F9C"/>
    <w:rsid w:val="44157B52"/>
    <w:rsid w:val="4BF54B62"/>
    <w:rsid w:val="4DD44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1515</Words>
  <Characters>8582</Characters>
  <Lines>0</Lines>
  <Paragraphs>0</Paragraphs>
  <TotalTime>14</TotalTime>
  <ScaleCrop>false</ScaleCrop>
  <LinksUpToDate>false</LinksUpToDate>
  <CharactersWithSpaces>9822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2025-12-09T08:56:00Z</dcterms:created>
  <dc:creator>illusion1396852653</dc:creator>
  <cp:lastModifiedBy>illusion1396852653</cp:lastModifiedBy>
  <dcterms:modified xsi:type="dcterms:W3CDTF">2025-12-13T13:23:58Z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BE317F5C74144EAC9611C0CBC82B2D06_11</vt:lpwstr>
  </property>
  <property fmtid="{D5CDD505-2E9C-101B-9397-08002B2CF9AE}" pid="4" name="KSOTemplateDocerSaveRecord">
    <vt:lpwstr>eyJoZGlkIjoiZWNhMWJiOTJjNGM4ZTc3NzY5YTgzMDBkYmMzNWQ5NmIiLCJ1c2VySWQiOiIxMzc5NTkxNSJ9</vt:lpwstr>
  </property>
</Properties>
</file>