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A0E0F" w14:textId="77777777" w:rsidR="00E7028F" w:rsidRPr="00AF791D" w:rsidRDefault="004906EA" w:rsidP="00AF791D">
      <w:pPr>
        <w:spacing w:after="80"/>
        <w:jc w:val="center"/>
        <w:rPr>
          <w:rFonts w:ascii="Times New Roman" w:hAnsi="Times New Roman" w:cs="Times New Roman"/>
          <w:color w:val="000000" w:themeColor="text1"/>
        </w:rPr>
      </w:pPr>
      <w:r w:rsidRPr="00AF791D">
        <w:rPr>
          <w:rFonts w:ascii="Times New Roman" w:hAnsi="Times New Roman" w:cs="Times New Roman"/>
          <w:b/>
          <w:bCs/>
          <w:color w:val="000000" w:themeColor="text1"/>
          <w:sz w:val="36"/>
          <w:szCs w:val="36"/>
        </w:rPr>
        <w:t>PRISMA 2020 CHECKLIST</w:t>
      </w:r>
    </w:p>
    <w:p w14:paraId="313A1B35" w14:textId="77777777" w:rsidR="00E7028F" w:rsidRPr="00AF791D" w:rsidRDefault="004906EA" w:rsidP="00AF791D">
      <w:pPr>
        <w:spacing w:after="40"/>
        <w:jc w:val="center"/>
        <w:rPr>
          <w:rFonts w:ascii="Times New Roman" w:hAnsi="Times New Roman" w:cs="Times New Roman"/>
          <w:color w:val="000000" w:themeColor="text1"/>
          <w:sz w:val="24"/>
          <w:szCs w:val="24"/>
        </w:rPr>
      </w:pPr>
      <w:r w:rsidRPr="00AF791D">
        <w:rPr>
          <w:rFonts w:ascii="Times New Roman" w:hAnsi="Times New Roman" w:cs="Times New Roman"/>
          <w:b/>
          <w:bCs/>
          <w:color w:val="000000" w:themeColor="text1"/>
          <w:sz w:val="24"/>
          <w:szCs w:val="24"/>
        </w:rPr>
        <w:t xml:space="preserve">Self-Management </w:t>
      </w:r>
      <w:proofErr w:type="spellStart"/>
      <w:r w:rsidRPr="00AF791D">
        <w:rPr>
          <w:rFonts w:ascii="Times New Roman" w:hAnsi="Times New Roman" w:cs="Times New Roman"/>
          <w:b/>
          <w:bCs/>
          <w:color w:val="000000" w:themeColor="text1"/>
          <w:sz w:val="24"/>
          <w:szCs w:val="24"/>
        </w:rPr>
        <w:t>Behavior</w:t>
      </w:r>
      <w:proofErr w:type="spellEnd"/>
      <w:r w:rsidRPr="00AF791D">
        <w:rPr>
          <w:rFonts w:ascii="Times New Roman" w:hAnsi="Times New Roman" w:cs="Times New Roman"/>
          <w:b/>
          <w:bCs/>
          <w:color w:val="000000" w:themeColor="text1"/>
          <w:sz w:val="24"/>
          <w:szCs w:val="24"/>
        </w:rPr>
        <w:t xml:space="preserve"> of Children with Cancer Based on </w:t>
      </w:r>
      <w:proofErr w:type="spellStart"/>
      <w:r w:rsidRPr="00AF791D">
        <w:rPr>
          <w:rFonts w:ascii="Times New Roman" w:hAnsi="Times New Roman" w:cs="Times New Roman"/>
          <w:b/>
          <w:bCs/>
          <w:color w:val="000000" w:themeColor="text1"/>
          <w:sz w:val="24"/>
          <w:szCs w:val="24"/>
        </w:rPr>
        <w:t>Behavioral</w:t>
      </w:r>
      <w:proofErr w:type="spellEnd"/>
      <w:r w:rsidRPr="00AF791D">
        <w:rPr>
          <w:rFonts w:ascii="Times New Roman" w:hAnsi="Times New Roman" w:cs="Times New Roman"/>
          <w:b/>
          <w:bCs/>
          <w:color w:val="000000" w:themeColor="text1"/>
          <w:sz w:val="24"/>
          <w:szCs w:val="24"/>
        </w:rPr>
        <w:t xml:space="preserve"> Economics: A Systematic Review and Meta-Analysis</w:t>
      </w:r>
    </w:p>
    <w:p w14:paraId="1D329E37" w14:textId="77777777" w:rsidR="00E7028F" w:rsidRPr="00AF791D" w:rsidRDefault="004906EA" w:rsidP="00AF791D">
      <w:pPr>
        <w:spacing w:after="40"/>
        <w:jc w:val="center"/>
        <w:rPr>
          <w:rFonts w:ascii="Times New Roman" w:hAnsi="Times New Roman" w:cs="Times New Roman"/>
          <w:color w:val="000000" w:themeColor="text1"/>
          <w:sz w:val="24"/>
          <w:szCs w:val="24"/>
        </w:rPr>
      </w:pPr>
      <w:r w:rsidRPr="00AF791D">
        <w:rPr>
          <w:rFonts w:ascii="Times New Roman" w:hAnsi="Times New Roman" w:cs="Times New Roman"/>
          <w:color w:val="000000" w:themeColor="text1"/>
          <w:sz w:val="24"/>
          <w:szCs w:val="24"/>
        </w:rPr>
        <w:t xml:space="preserve">Abigail Aba </w:t>
      </w:r>
      <w:proofErr w:type="spellStart"/>
      <w:r w:rsidRPr="00AF791D">
        <w:rPr>
          <w:rFonts w:ascii="Times New Roman" w:hAnsi="Times New Roman" w:cs="Times New Roman"/>
          <w:color w:val="000000" w:themeColor="text1"/>
          <w:sz w:val="24"/>
          <w:szCs w:val="24"/>
        </w:rPr>
        <w:t>Sanny</w:t>
      </w:r>
      <w:proofErr w:type="spellEnd"/>
      <w:r w:rsidRPr="00AF791D">
        <w:rPr>
          <w:rFonts w:ascii="Times New Roman" w:hAnsi="Times New Roman" w:cs="Times New Roman"/>
          <w:color w:val="000000" w:themeColor="text1"/>
          <w:sz w:val="24"/>
          <w:szCs w:val="24"/>
        </w:rPr>
        <w:t xml:space="preserve"> &amp; Mo Lin | Chongqing Medical University | PROSPERO: CRD420251274173</w:t>
      </w:r>
    </w:p>
    <w:p w14:paraId="39EC7547" w14:textId="77777777" w:rsidR="00E7028F" w:rsidRPr="00AF791D" w:rsidRDefault="004906EA" w:rsidP="00AF791D">
      <w:pPr>
        <w:spacing w:after="200"/>
        <w:jc w:val="center"/>
        <w:rPr>
          <w:rFonts w:ascii="Times New Roman" w:hAnsi="Times New Roman" w:cs="Times New Roman"/>
          <w:color w:val="000000" w:themeColor="text1"/>
          <w:sz w:val="24"/>
          <w:szCs w:val="24"/>
        </w:rPr>
      </w:pPr>
      <w:r w:rsidRPr="00AF791D">
        <w:rPr>
          <w:rFonts w:ascii="Times New Roman" w:hAnsi="Times New Roman" w:cs="Times New Roman"/>
          <w:color w:val="000000" w:themeColor="text1"/>
          <w:sz w:val="24"/>
          <w:szCs w:val="24"/>
        </w:rPr>
        <w:t xml:space="preserve">Based on: Page MJ et al. The PRISMA 2020 statement: </w:t>
      </w:r>
      <w:r w:rsidRPr="00AF791D">
        <w:rPr>
          <w:rFonts w:ascii="Times New Roman" w:hAnsi="Times New Roman" w:cs="Times New Roman"/>
          <w:color w:val="000000" w:themeColor="text1"/>
          <w:sz w:val="24"/>
          <w:szCs w:val="24"/>
        </w:rPr>
        <w:t>an updated guideline for reporting systematic reviews. BMJ 2021;</w:t>
      </w:r>
      <w:proofErr w:type="gramStart"/>
      <w:r w:rsidRPr="00AF791D">
        <w:rPr>
          <w:rFonts w:ascii="Times New Roman" w:hAnsi="Times New Roman" w:cs="Times New Roman"/>
          <w:color w:val="000000" w:themeColor="text1"/>
          <w:sz w:val="24"/>
          <w:szCs w:val="24"/>
        </w:rPr>
        <w:t>372:n</w:t>
      </w:r>
      <w:proofErr w:type="gramEnd"/>
      <w:r w:rsidRPr="00AF791D">
        <w:rPr>
          <w:rFonts w:ascii="Times New Roman" w:hAnsi="Times New Roman" w:cs="Times New Roman"/>
          <w:color w:val="000000" w:themeColor="text1"/>
          <w:sz w:val="24"/>
          <w:szCs w:val="24"/>
        </w:rPr>
        <w:t>71.</w:t>
      </w:r>
    </w:p>
    <w:p w14:paraId="3F5C01B4" w14:textId="77777777" w:rsidR="00E7028F" w:rsidRPr="00AF791D" w:rsidRDefault="004906EA" w:rsidP="00AF791D">
      <w:pPr>
        <w:spacing w:after="60"/>
        <w:jc w:val="center"/>
        <w:rPr>
          <w:rFonts w:ascii="Times New Roman" w:hAnsi="Times New Roman" w:cs="Times New Roman"/>
          <w:color w:val="000000" w:themeColor="text1"/>
          <w:sz w:val="24"/>
          <w:szCs w:val="24"/>
        </w:rPr>
      </w:pPr>
      <w:r w:rsidRPr="00AF791D">
        <w:rPr>
          <w:rFonts w:ascii="Times New Roman" w:hAnsi="Times New Roman" w:cs="Times New Roman"/>
          <w:b/>
          <w:bCs/>
          <w:color w:val="000000" w:themeColor="text1"/>
          <w:sz w:val="24"/>
          <w:szCs w:val="24"/>
        </w:rPr>
        <w:t xml:space="preserve">LEGEND:  </w:t>
      </w:r>
      <w:r w:rsidRPr="00AF791D">
        <w:rPr>
          <w:rFonts w:ascii="Segoe UI Emoji" w:hAnsi="Segoe UI Emoji" w:cs="Segoe UI Emoji"/>
          <w:color w:val="000000" w:themeColor="text1"/>
          <w:sz w:val="24"/>
          <w:szCs w:val="24"/>
        </w:rPr>
        <w:t>✅</w:t>
      </w:r>
      <w:r w:rsidRPr="00AF791D">
        <w:rPr>
          <w:rFonts w:ascii="Times New Roman" w:hAnsi="Times New Roman" w:cs="Times New Roman"/>
          <w:color w:val="000000" w:themeColor="text1"/>
          <w:sz w:val="24"/>
          <w:szCs w:val="24"/>
        </w:rPr>
        <w:t xml:space="preserve"> = Fully reported / Compliant   </w:t>
      </w:r>
      <w:r w:rsidRPr="00AF791D">
        <w:rPr>
          <w:rFonts w:ascii="Segoe UI Emoji" w:hAnsi="Segoe UI Emoji" w:cs="Segoe UI Emoji"/>
          <w:color w:val="000000" w:themeColor="text1"/>
          <w:sz w:val="24"/>
          <w:szCs w:val="24"/>
        </w:rPr>
        <w:t>⚠</w:t>
      </w:r>
      <w:r w:rsidRPr="00AF791D">
        <w:rPr>
          <w:rFonts w:ascii="Times New Roman" w:hAnsi="Times New Roman" w:cs="Times New Roman"/>
          <w:color w:val="000000" w:themeColor="text1"/>
          <w:sz w:val="24"/>
          <w:szCs w:val="24"/>
        </w:rPr>
        <w:t>️</w:t>
      </w:r>
      <w:r w:rsidRPr="00AF791D">
        <w:rPr>
          <w:rFonts w:ascii="Times New Roman" w:hAnsi="Times New Roman" w:cs="Times New Roman"/>
          <w:color w:val="000000" w:themeColor="text1"/>
          <w:sz w:val="24"/>
          <w:szCs w:val="24"/>
        </w:rPr>
        <w:t xml:space="preserve"> = Partially reported / Recommendation for improvement   </w:t>
      </w:r>
      <w:r w:rsidRPr="00AF791D">
        <w:rPr>
          <w:rFonts w:ascii="Segoe UI Emoji" w:hAnsi="Segoe UI Emoji" w:cs="Segoe UI Emoji"/>
          <w:color w:val="000000" w:themeColor="text1"/>
          <w:sz w:val="24"/>
          <w:szCs w:val="24"/>
        </w:rPr>
        <w:t>❌</w:t>
      </w:r>
      <w:r w:rsidRPr="00AF791D">
        <w:rPr>
          <w:rFonts w:ascii="Times New Roman" w:hAnsi="Times New Roman" w:cs="Times New Roman"/>
          <w:color w:val="000000" w:themeColor="text1"/>
          <w:sz w:val="24"/>
          <w:szCs w:val="24"/>
        </w:rPr>
        <w:t xml:space="preserve"> = Not reported</w:t>
      </w:r>
    </w:p>
    <w:p w14:paraId="47BA3939" w14:textId="77777777" w:rsidR="00E7028F" w:rsidRPr="00AF791D" w:rsidRDefault="00E7028F" w:rsidP="00AF791D">
      <w:pPr>
        <w:spacing w:after="160"/>
        <w:rPr>
          <w:rFonts w:ascii="Times New Roman" w:hAnsi="Times New Roman" w:cs="Times New Roman"/>
          <w:color w:val="000000" w:themeColor="text1"/>
        </w:rPr>
      </w:pPr>
    </w:p>
    <w:tbl>
      <w:tblPr>
        <w:tblStyle w:val="TableGrid"/>
        <w:tblW w:w="14400" w:type="dxa"/>
        <w:tblLook w:val="04A0" w:firstRow="1" w:lastRow="0" w:firstColumn="1" w:lastColumn="0" w:noHBand="0" w:noVBand="1"/>
      </w:tblPr>
      <w:tblGrid>
        <w:gridCol w:w="2869"/>
        <w:gridCol w:w="989"/>
        <w:gridCol w:w="7292"/>
        <w:gridCol w:w="3250"/>
      </w:tblGrid>
      <w:tr w:rsidR="00AF791D" w:rsidRPr="004416B5" w14:paraId="332F4C66" w14:textId="77777777" w:rsidTr="00AF791D">
        <w:tc>
          <w:tcPr>
            <w:tcW w:w="1200" w:type="dxa"/>
          </w:tcPr>
          <w:p w14:paraId="4E320996"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Section/Topic</w:t>
            </w:r>
          </w:p>
        </w:tc>
        <w:tc>
          <w:tcPr>
            <w:tcW w:w="700" w:type="dxa"/>
          </w:tcPr>
          <w:p w14:paraId="70A69D13"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Item #</w:t>
            </w:r>
          </w:p>
        </w:tc>
        <w:tc>
          <w:tcPr>
            <w:tcW w:w="5160" w:type="dxa"/>
          </w:tcPr>
          <w:p w14:paraId="42E4DD16"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Checklist Item &amp; Compliance Assessment</w:t>
            </w:r>
          </w:p>
        </w:tc>
        <w:tc>
          <w:tcPr>
            <w:tcW w:w="2300" w:type="dxa"/>
          </w:tcPr>
          <w:p w14:paraId="61026025"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Loca</w:t>
            </w:r>
            <w:r w:rsidRPr="004416B5">
              <w:rPr>
                <w:rFonts w:ascii="Times New Roman" w:hAnsi="Times New Roman" w:cs="Times New Roman"/>
                <w:b/>
                <w:bCs/>
                <w:color w:val="000000" w:themeColor="text1"/>
                <w:sz w:val="24"/>
                <w:szCs w:val="24"/>
              </w:rPr>
              <w:t>tion in Manuscript</w:t>
            </w:r>
          </w:p>
        </w:tc>
      </w:tr>
      <w:tr w:rsidR="00AF791D" w:rsidRPr="004416B5" w14:paraId="70F16604" w14:textId="77777777" w:rsidTr="00AF791D">
        <w:tc>
          <w:tcPr>
            <w:tcW w:w="0" w:type="auto"/>
            <w:gridSpan w:val="4"/>
          </w:tcPr>
          <w:p w14:paraId="3892C08B"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TITLE</w:t>
            </w:r>
          </w:p>
        </w:tc>
      </w:tr>
      <w:tr w:rsidR="00AF791D" w:rsidRPr="004416B5" w14:paraId="51EEEEF6" w14:textId="77777777" w:rsidTr="00AF791D">
        <w:tc>
          <w:tcPr>
            <w:tcW w:w="1200" w:type="dxa"/>
          </w:tcPr>
          <w:p w14:paraId="77E39944"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TITLE</w:t>
            </w:r>
          </w:p>
        </w:tc>
        <w:tc>
          <w:tcPr>
            <w:tcW w:w="700" w:type="dxa"/>
          </w:tcPr>
          <w:p w14:paraId="717BC29B"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w:t>
            </w:r>
          </w:p>
        </w:tc>
        <w:tc>
          <w:tcPr>
            <w:tcW w:w="5160" w:type="dxa"/>
          </w:tcPr>
          <w:p w14:paraId="33E5ACB8"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Title: Identify the report as a systematic review.</w:t>
            </w:r>
          </w:p>
          <w:p w14:paraId="0D1FE4CA" w14:textId="39DD2401"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w:t>
            </w:r>
            <w:r w:rsidR="007F2E6C">
              <w:rPr>
                <w:rFonts w:ascii="Times New Roman" w:hAnsi="Times New Roman" w:cs="Times New Roman"/>
                <w:color w:val="000000" w:themeColor="text1"/>
                <w:sz w:val="24"/>
                <w:szCs w:val="24"/>
              </w:rPr>
              <w:t>The title</w:t>
            </w:r>
            <w:r w:rsidR="004906EA" w:rsidRPr="004416B5">
              <w:rPr>
                <w:rFonts w:ascii="Times New Roman" w:hAnsi="Times New Roman" w:cs="Times New Roman"/>
                <w:color w:val="000000" w:themeColor="text1"/>
                <w:sz w:val="24"/>
                <w:szCs w:val="24"/>
              </w:rPr>
              <w:t xml:space="preserve"> explicitly states: "A Systematic Review and Meta-Analysis</w:t>
            </w:r>
            <w:r w:rsidR="007F2E6C">
              <w:rPr>
                <w:rFonts w:ascii="Times New Roman" w:hAnsi="Times New Roman" w:cs="Times New Roman"/>
                <w:color w:val="000000" w:themeColor="text1"/>
                <w:sz w:val="24"/>
                <w:szCs w:val="24"/>
              </w:rPr>
              <w:t>.</w:t>
            </w:r>
            <w:r w:rsidR="004906EA" w:rsidRPr="004416B5">
              <w:rPr>
                <w:rFonts w:ascii="Times New Roman" w:hAnsi="Times New Roman" w:cs="Times New Roman"/>
                <w:color w:val="000000" w:themeColor="text1"/>
                <w:sz w:val="24"/>
                <w:szCs w:val="24"/>
              </w:rPr>
              <w:t xml:space="preserve">" </w:t>
            </w:r>
            <w:r w:rsidR="004906EA" w:rsidRPr="004416B5">
              <w:rPr>
                <w:rFonts w:ascii="Times New Roman" w:hAnsi="Times New Roman" w:cs="Times New Roman"/>
                <w:color w:val="000000" w:themeColor="text1"/>
                <w:sz w:val="24"/>
                <w:szCs w:val="24"/>
              </w:rPr>
              <w:t xml:space="preserve"> Full compliance.</w:t>
            </w:r>
          </w:p>
        </w:tc>
        <w:tc>
          <w:tcPr>
            <w:tcW w:w="2300" w:type="dxa"/>
          </w:tcPr>
          <w:p w14:paraId="1B98D9F9"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Title</w:t>
            </w:r>
          </w:p>
        </w:tc>
      </w:tr>
      <w:tr w:rsidR="00AF791D" w:rsidRPr="004416B5" w14:paraId="2AB3EF62" w14:textId="77777777" w:rsidTr="00AF791D">
        <w:tc>
          <w:tcPr>
            <w:tcW w:w="0" w:type="auto"/>
            <w:gridSpan w:val="4"/>
          </w:tcPr>
          <w:p w14:paraId="56523479"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ABSTRACT</w:t>
            </w:r>
          </w:p>
        </w:tc>
      </w:tr>
      <w:tr w:rsidR="00AF791D" w:rsidRPr="004416B5" w14:paraId="5311C34B" w14:textId="77777777" w:rsidTr="00AF791D">
        <w:tc>
          <w:tcPr>
            <w:tcW w:w="1200" w:type="dxa"/>
          </w:tcPr>
          <w:p w14:paraId="53F34BE1"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ABSTRACT</w:t>
            </w:r>
          </w:p>
        </w:tc>
        <w:tc>
          <w:tcPr>
            <w:tcW w:w="700" w:type="dxa"/>
          </w:tcPr>
          <w:p w14:paraId="37B2E94E"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w:t>
            </w:r>
          </w:p>
        </w:tc>
        <w:tc>
          <w:tcPr>
            <w:tcW w:w="5160" w:type="dxa"/>
          </w:tcPr>
          <w:p w14:paraId="65AD24C2"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Abstract: See the PRISMA 2020 for Abstracts checklist.</w:t>
            </w:r>
          </w:p>
          <w:p w14:paraId="3E6814FF" w14:textId="129896E5"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 xml:space="preserve"> </w:t>
            </w:r>
            <w:r w:rsidR="004416B5" w:rsidRPr="004416B5">
              <w:rPr>
                <w:rFonts w:ascii="Times New Roman" w:hAnsi="Times New Roman" w:cs="Times New Roman"/>
                <w:color w:val="000000" w:themeColor="text1"/>
                <w:sz w:val="24"/>
                <w:szCs w:val="24"/>
                <w:lang w:val="en-US"/>
              </w:rPr>
              <w:t xml:space="preserve">   </w:t>
            </w:r>
            <w:r w:rsidRPr="004416B5">
              <w:rPr>
                <w:rFonts w:ascii="Times New Roman" w:hAnsi="Times New Roman" w:cs="Times New Roman"/>
                <w:color w:val="000000" w:themeColor="text1"/>
                <w:sz w:val="24"/>
                <w:szCs w:val="24"/>
              </w:rPr>
              <w:t>Structured abstract includes Background, Objective, Methods, Results, and Conclusion. Reports PRISMA 2020 compliance, PROSPERO registration (CRD420251274173), databases searched, eligibility criteria</w:t>
            </w:r>
            <w:r w:rsidRPr="004416B5">
              <w:rPr>
                <w:rFonts w:ascii="Times New Roman" w:hAnsi="Times New Roman" w:cs="Times New Roman"/>
                <w:color w:val="000000" w:themeColor="text1"/>
                <w:sz w:val="24"/>
                <w:szCs w:val="24"/>
              </w:rPr>
              <w:t>, risk of bias tools, meta-analytic method, pooled SMD = 0.55 (95% CI: 0.47–0.63), I² = 58%, and GRADE: MODERATE.</w:t>
            </w:r>
          </w:p>
        </w:tc>
        <w:tc>
          <w:tcPr>
            <w:tcW w:w="2300" w:type="dxa"/>
          </w:tcPr>
          <w:p w14:paraId="39FA5168"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Abstract</w:t>
            </w:r>
          </w:p>
        </w:tc>
      </w:tr>
      <w:tr w:rsidR="00AF791D" w:rsidRPr="004416B5" w14:paraId="5B6559AB" w14:textId="77777777" w:rsidTr="00AF791D">
        <w:tc>
          <w:tcPr>
            <w:tcW w:w="0" w:type="auto"/>
            <w:gridSpan w:val="4"/>
          </w:tcPr>
          <w:p w14:paraId="6B7DFD25"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INTRODUCTION</w:t>
            </w:r>
          </w:p>
        </w:tc>
      </w:tr>
      <w:tr w:rsidR="00AF791D" w:rsidRPr="004416B5" w14:paraId="507287A9" w14:textId="77777777" w:rsidTr="00AF791D">
        <w:tc>
          <w:tcPr>
            <w:tcW w:w="1200" w:type="dxa"/>
          </w:tcPr>
          <w:p w14:paraId="5A2DDE3F"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INTRODUCTION</w:t>
            </w:r>
          </w:p>
        </w:tc>
        <w:tc>
          <w:tcPr>
            <w:tcW w:w="700" w:type="dxa"/>
          </w:tcPr>
          <w:p w14:paraId="2CB3EAA8"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3</w:t>
            </w:r>
          </w:p>
        </w:tc>
        <w:tc>
          <w:tcPr>
            <w:tcW w:w="5160" w:type="dxa"/>
          </w:tcPr>
          <w:p w14:paraId="0D3E0BB9"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Rationale: Describe the rationale for the review in the context of existing knowledge.</w:t>
            </w:r>
          </w:p>
          <w:p w14:paraId="20545FC5" w14:textId="4E2837F6"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 xml:space="preserve"> </w:t>
            </w:r>
            <w:r w:rsidR="004416B5" w:rsidRPr="004416B5">
              <w:rPr>
                <w:rFonts w:ascii="Times New Roman" w:hAnsi="Times New Roman" w:cs="Times New Roman"/>
                <w:color w:val="000000" w:themeColor="text1"/>
                <w:sz w:val="24"/>
                <w:szCs w:val="24"/>
                <w:lang w:val="en-US"/>
              </w:rPr>
              <w:t xml:space="preserve">   </w:t>
            </w:r>
            <w:r w:rsidRPr="004416B5">
              <w:rPr>
                <w:rFonts w:ascii="Times New Roman" w:hAnsi="Times New Roman" w:cs="Times New Roman"/>
                <w:color w:val="000000" w:themeColor="text1"/>
                <w:sz w:val="24"/>
                <w:szCs w:val="24"/>
              </w:rPr>
              <w:t xml:space="preserve">Section 1.4 explicitly articulates the rationale, identifying the gap in prior systematic reviews (Chan et al., 2020; Pai et al., 2014) and explaining why a </w:t>
            </w:r>
            <w:proofErr w:type="spellStart"/>
            <w:r w:rsidRPr="004416B5">
              <w:rPr>
                <w:rFonts w:ascii="Times New Roman" w:hAnsi="Times New Roman" w:cs="Times New Roman"/>
                <w:color w:val="000000" w:themeColor="text1"/>
                <w:sz w:val="24"/>
                <w:szCs w:val="24"/>
              </w:rPr>
              <w:t>behavioral</w:t>
            </w:r>
            <w:proofErr w:type="spellEnd"/>
            <w:r w:rsidRPr="004416B5">
              <w:rPr>
                <w:rFonts w:ascii="Times New Roman" w:hAnsi="Times New Roman" w:cs="Times New Roman"/>
                <w:color w:val="000000" w:themeColor="text1"/>
                <w:sz w:val="24"/>
                <w:szCs w:val="24"/>
              </w:rPr>
              <w:t xml:space="preserve"> economics lens is needed. The intersection of </w:t>
            </w:r>
            <w:proofErr w:type="spellStart"/>
            <w:r w:rsidRPr="004416B5">
              <w:rPr>
                <w:rFonts w:ascii="Times New Roman" w:hAnsi="Times New Roman" w:cs="Times New Roman"/>
                <w:color w:val="000000" w:themeColor="text1"/>
                <w:sz w:val="24"/>
                <w:szCs w:val="24"/>
              </w:rPr>
              <w:t>pediatric</w:t>
            </w:r>
            <w:proofErr w:type="spellEnd"/>
            <w:r w:rsidRPr="004416B5">
              <w:rPr>
                <w:rFonts w:ascii="Times New Roman" w:hAnsi="Times New Roman" w:cs="Times New Roman"/>
                <w:color w:val="000000" w:themeColor="text1"/>
                <w:sz w:val="24"/>
                <w:szCs w:val="24"/>
              </w:rPr>
              <w:t xml:space="preserve"> oncology, self-management, and </w:t>
            </w:r>
            <w:proofErr w:type="spellStart"/>
            <w:r w:rsidRPr="004416B5">
              <w:rPr>
                <w:rFonts w:ascii="Times New Roman" w:hAnsi="Times New Roman" w:cs="Times New Roman"/>
                <w:color w:val="000000" w:themeColor="text1"/>
                <w:sz w:val="24"/>
                <w:szCs w:val="24"/>
              </w:rPr>
              <w:t>behavioral</w:t>
            </w:r>
            <w:proofErr w:type="spellEnd"/>
            <w:r w:rsidRPr="004416B5">
              <w:rPr>
                <w:rFonts w:ascii="Times New Roman" w:hAnsi="Times New Roman" w:cs="Times New Roman"/>
                <w:color w:val="000000" w:themeColor="text1"/>
                <w:sz w:val="24"/>
                <w:szCs w:val="24"/>
              </w:rPr>
              <w:t xml:space="preserve"> economics is described as fragmented and underexplored.</w:t>
            </w:r>
          </w:p>
        </w:tc>
        <w:tc>
          <w:tcPr>
            <w:tcW w:w="2300" w:type="dxa"/>
          </w:tcPr>
          <w:p w14:paraId="5FEADECF"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1.4</w:t>
            </w:r>
          </w:p>
        </w:tc>
      </w:tr>
      <w:tr w:rsidR="00AF791D" w:rsidRPr="004416B5" w14:paraId="7D282B5E" w14:textId="77777777" w:rsidTr="00AF791D">
        <w:tc>
          <w:tcPr>
            <w:tcW w:w="1200" w:type="dxa"/>
          </w:tcPr>
          <w:p w14:paraId="54CB3DC7"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INTRODUCTION</w:t>
            </w:r>
          </w:p>
        </w:tc>
        <w:tc>
          <w:tcPr>
            <w:tcW w:w="700" w:type="dxa"/>
          </w:tcPr>
          <w:p w14:paraId="140DDDE7"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4</w:t>
            </w:r>
          </w:p>
        </w:tc>
        <w:tc>
          <w:tcPr>
            <w:tcW w:w="5160" w:type="dxa"/>
          </w:tcPr>
          <w:p w14:paraId="73069BE4"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Objectives: Provide an explicit statement of the objective(s) or question(s) the review addresses.</w:t>
            </w:r>
          </w:p>
          <w:p w14:paraId="5F9763C6" w14:textId="18D4DA18"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1.5 lists three explicit objectives, and Section 1.6 formulates a Primary Research Question and two Secondary Research Questions using the PICO fra</w:t>
            </w:r>
            <w:r w:rsidR="004906EA" w:rsidRPr="004416B5">
              <w:rPr>
                <w:rFonts w:ascii="Times New Roman" w:hAnsi="Times New Roman" w:cs="Times New Roman"/>
                <w:color w:val="000000" w:themeColor="text1"/>
                <w:sz w:val="24"/>
                <w:szCs w:val="24"/>
              </w:rPr>
              <w:t>mework.</w:t>
            </w:r>
          </w:p>
        </w:tc>
        <w:tc>
          <w:tcPr>
            <w:tcW w:w="2300" w:type="dxa"/>
          </w:tcPr>
          <w:p w14:paraId="4DDB9D23"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Sections 1.5–1.6</w:t>
            </w:r>
          </w:p>
        </w:tc>
      </w:tr>
      <w:tr w:rsidR="00AF791D" w:rsidRPr="004416B5" w14:paraId="7816EB1D" w14:textId="77777777" w:rsidTr="00AF791D">
        <w:tc>
          <w:tcPr>
            <w:tcW w:w="0" w:type="auto"/>
            <w:gridSpan w:val="4"/>
          </w:tcPr>
          <w:p w14:paraId="0914A552"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METHODS</w:t>
            </w:r>
          </w:p>
        </w:tc>
      </w:tr>
      <w:tr w:rsidR="00AF791D" w:rsidRPr="004416B5" w14:paraId="4F940666" w14:textId="77777777" w:rsidTr="00AF791D">
        <w:tc>
          <w:tcPr>
            <w:tcW w:w="1200" w:type="dxa"/>
          </w:tcPr>
          <w:p w14:paraId="2246BDCF"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0EEC74DC"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5</w:t>
            </w:r>
          </w:p>
        </w:tc>
        <w:tc>
          <w:tcPr>
            <w:tcW w:w="5160" w:type="dxa"/>
          </w:tcPr>
          <w:p w14:paraId="204BDA6A" w14:textId="7BABA8F3"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Protocol and registration: Indicate if a review protocol exists; if available, provide registration information</w:t>
            </w:r>
            <w:r w:rsidR="0018462D" w:rsidRPr="004416B5">
              <w:rPr>
                <w:rFonts w:ascii="Times New Roman" w:hAnsi="Times New Roman" w:cs="Times New Roman"/>
                <w:color w:val="000000" w:themeColor="text1"/>
                <w:sz w:val="24"/>
                <w:szCs w:val="24"/>
              </w:rPr>
              <w:t>,</w:t>
            </w:r>
            <w:r w:rsidRPr="004416B5">
              <w:rPr>
                <w:rFonts w:ascii="Times New Roman" w:hAnsi="Times New Roman" w:cs="Times New Roman"/>
                <w:color w:val="000000" w:themeColor="text1"/>
                <w:sz w:val="24"/>
                <w:szCs w:val="24"/>
              </w:rPr>
              <w:t xml:space="preserve"> including name and registration number.</w:t>
            </w:r>
          </w:p>
          <w:p w14:paraId="1906DAB8" w14:textId="464322FD"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lastRenderedPageBreak/>
              <w:t xml:space="preserve"> </w:t>
            </w:r>
            <w:r w:rsidR="004416B5" w:rsidRPr="004416B5">
              <w:rPr>
                <w:rFonts w:ascii="Times New Roman" w:hAnsi="Times New Roman" w:cs="Times New Roman"/>
                <w:color w:val="000000" w:themeColor="text1"/>
                <w:sz w:val="24"/>
                <w:szCs w:val="24"/>
                <w:lang w:val="en-US"/>
              </w:rPr>
              <w:t xml:space="preserve">      </w:t>
            </w:r>
            <w:r w:rsidRPr="004416B5">
              <w:rPr>
                <w:rFonts w:ascii="Times New Roman" w:hAnsi="Times New Roman" w:cs="Times New Roman"/>
                <w:color w:val="000000" w:themeColor="text1"/>
                <w:sz w:val="24"/>
                <w:szCs w:val="24"/>
              </w:rPr>
              <w:t>Section 2.1 confirms protocol was prospectively registered in PROSPERO (CRD420251274173) before data e</w:t>
            </w:r>
            <w:r w:rsidRPr="004416B5">
              <w:rPr>
                <w:rFonts w:ascii="Times New Roman" w:hAnsi="Times New Roman" w:cs="Times New Roman"/>
                <w:color w:val="000000" w:themeColor="text1"/>
                <w:sz w:val="24"/>
                <w:szCs w:val="24"/>
              </w:rPr>
              <w:t>xtraction began. No deviations from the registered protocol are reported.</w:t>
            </w:r>
          </w:p>
        </w:tc>
        <w:tc>
          <w:tcPr>
            <w:tcW w:w="2300" w:type="dxa"/>
          </w:tcPr>
          <w:p w14:paraId="37017FE3"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lastRenderedPageBreak/>
              <w:t>Section 2.1</w:t>
            </w:r>
          </w:p>
        </w:tc>
      </w:tr>
      <w:tr w:rsidR="00AF791D" w:rsidRPr="004416B5" w14:paraId="3CABE392" w14:textId="77777777" w:rsidTr="00AF791D">
        <w:tc>
          <w:tcPr>
            <w:tcW w:w="1200" w:type="dxa"/>
          </w:tcPr>
          <w:p w14:paraId="7CC65636"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5FE649AE"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6</w:t>
            </w:r>
          </w:p>
        </w:tc>
        <w:tc>
          <w:tcPr>
            <w:tcW w:w="5160" w:type="dxa"/>
          </w:tcPr>
          <w:p w14:paraId="20A57FFD"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Eligibility criteria: Specify the inclusion and exclusion criteria for the review.</w:t>
            </w:r>
          </w:p>
          <w:p w14:paraId="082BD658" w14:textId="41ACBC21"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2.2 provides detailed eligibility criteria using the PICOS framework: Population (ages 7–18, any cancer type; §2.2.1), Intervention (</w:t>
            </w:r>
            <w:proofErr w:type="spellStart"/>
            <w:r w:rsidR="004906EA" w:rsidRPr="004416B5">
              <w:rPr>
                <w:rFonts w:ascii="Times New Roman" w:hAnsi="Times New Roman" w:cs="Times New Roman"/>
                <w:color w:val="000000" w:themeColor="text1"/>
                <w:sz w:val="24"/>
                <w:szCs w:val="24"/>
              </w:rPr>
              <w:t>behavioral</w:t>
            </w:r>
            <w:proofErr w:type="spellEnd"/>
            <w:r w:rsidR="004906EA" w:rsidRPr="004416B5">
              <w:rPr>
                <w:rFonts w:ascii="Times New Roman" w:hAnsi="Times New Roman" w:cs="Times New Roman"/>
                <w:color w:val="000000" w:themeColor="text1"/>
                <w:sz w:val="24"/>
                <w:szCs w:val="24"/>
              </w:rPr>
              <w:t xml:space="preserve"> economics–informed </w:t>
            </w:r>
            <w:r w:rsidR="004906EA" w:rsidRPr="004416B5">
              <w:rPr>
                <w:rFonts w:ascii="Times New Roman" w:hAnsi="Times New Roman" w:cs="Times New Roman"/>
                <w:color w:val="000000" w:themeColor="text1"/>
                <w:sz w:val="24"/>
                <w:szCs w:val="24"/>
              </w:rPr>
              <w:t>self-management; §2.2.2), Comparators (usual care, waitlist controls, pre-post designs; §2.2.3), Outcomes (primary and secondary outcomes with validated instruments; §2.2.4), Study designs (</w:t>
            </w:r>
            <w:proofErr w:type="spellStart"/>
            <w:r w:rsidR="004906EA" w:rsidRPr="004416B5">
              <w:rPr>
                <w:rFonts w:ascii="Times New Roman" w:hAnsi="Times New Roman" w:cs="Times New Roman"/>
                <w:color w:val="000000" w:themeColor="text1"/>
                <w:sz w:val="24"/>
                <w:szCs w:val="24"/>
              </w:rPr>
              <w:t>RCTs</w:t>
            </w:r>
            <w:proofErr w:type="spellEnd"/>
            <w:r w:rsidR="004906EA" w:rsidRPr="004416B5">
              <w:rPr>
                <w:rFonts w:ascii="Times New Roman" w:hAnsi="Times New Roman" w:cs="Times New Roman"/>
                <w:color w:val="000000" w:themeColor="text1"/>
                <w:sz w:val="24"/>
                <w:szCs w:val="24"/>
              </w:rPr>
              <w:t>, quasi-experimental, cohort, mixed-methods; §2.2.5).</w:t>
            </w:r>
          </w:p>
        </w:tc>
        <w:tc>
          <w:tcPr>
            <w:tcW w:w="2300" w:type="dxa"/>
          </w:tcPr>
          <w:p w14:paraId="14CAA1BF"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 xml:space="preserve">Section </w:t>
            </w:r>
            <w:r w:rsidRPr="004416B5">
              <w:rPr>
                <w:rFonts w:ascii="Times New Roman" w:hAnsi="Times New Roman" w:cs="Times New Roman"/>
                <w:color w:val="000000" w:themeColor="text1"/>
                <w:sz w:val="24"/>
                <w:szCs w:val="24"/>
              </w:rPr>
              <w:t>2.2 (§2.2.1–2.2.5)</w:t>
            </w:r>
          </w:p>
        </w:tc>
      </w:tr>
      <w:tr w:rsidR="00AF791D" w:rsidRPr="004416B5" w14:paraId="4112C5BF" w14:textId="77777777" w:rsidTr="00AF791D">
        <w:tc>
          <w:tcPr>
            <w:tcW w:w="1200" w:type="dxa"/>
          </w:tcPr>
          <w:p w14:paraId="294620F2"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026AB3A4"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7</w:t>
            </w:r>
          </w:p>
        </w:tc>
        <w:tc>
          <w:tcPr>
            <w:tcW w:w="5160" w:type="dxa"/>
          </w:tcPr>
          <w:p w14:paraId="527A583E"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Information sources: Specify all databases, registers, websites, organisations, reference lists, and other sources searched; state the date of the last search.</w:t>
            </w:r>
          </w:p>
          <w:p w14:paraId="3A982F2C" w14:textId="56963438"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2.3 lists all 8 databases searched: PubMed, EMBASE, Web of Science, Scopus, PsycINFO, </w:t>
            </w:r>
            <w:r w:rsidR="004906EA" w:rsidRPr="004416B5">
              <w:rPr>
                <w:rFonts w:ascii="Times New Roman" w:hAnsi="Times New Roman" w:cs="Times New Roman"/>
                <w:color w:val="000000" w:themeColor="text1"/>
                <w:sz w:val="24"/>
                <w:szCs w:val="24"/>
              </w:rPr>
              <w:t xml:space="preserve">CINAHL, CNKI, and </w:t>
            </w:r>
            <w:proofErr w:type="spellStart"/>
            <w:r w:rsidR="004906EA" w:rsidRPr="004416B5">
              <w:rPr>
                <w:rFonts w:ascii="Times New Roman" w:hAnsi="Times New Roman" w:cs="Times New Roman"/>
                <w:color w:val="000000" w:themeColor="text1"/>
                <w:sz w:val="24"/>
                <w:szCs w:val="24"/>
              </w:rPr>
              <w:t>Wanfang</w:t>
            </w:r>
            <w:proofErr w:type="spellEnd"/>
            <w:r w:rsidR="004906EA" w:rsidRPr="004416B5">
              <w:rPr>
                <w:rFonts w:ascii="Times New Roman" w:hAnsi="Times New Roman" w:cs="Times New Roman"/>
                <w:color w:val="000000" w:themeColor="text1"/>
                <w:sz w:val="24"/>
                <w:szCs w:val="24"/>
              </w:rPr>
              <w:t>. Section 2.4 confirms hand-searching of reference lists and states search dates from database inception to March 2024.</w:t>
            </w:r>
          </w:p>
        </w:tc>
        <w:tc>
          <w:tcPr>
            <w:tcW w:w="2300" w:type="dxa"/>
          </w:tcPr>
          <w:p w14:paraId="7B5683FF"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Sections 2.3–2.4</w:t>
            </w:r>
          </w:p>
        </w:tc>
      </w:tr>
      <w:tr w:rsidR="00AF791D" w:rsidRPr="004416B5" w14:paraId="6E400477" w14:textId="77777777" w:rsidTr="00AF791D">
        <w:tc>
          <w:tcPr>
            <w:tcW w:w="1200" w:type="dxa"/>
          </w:tcPr>
          <w:p w14:paraId="083910D3"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1047195D"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8</w:t>
            </w:r>
          </w:p>
        </w:tc>
        <w:tc>
          <w:tcPr>
            <w:tcW w:w="5160" w:type="dxa"/>
          </w:tcPr>
          <w:p w14:paraId="12A4CCCB"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Search strategy: Present the full search strategies for all databases, including any filters applied.</w:t>
            </w:r>
          </w:p>
          <w:p w14:paraId="57515093" w14:textId="6AB61304" w:rsidR="00E7028F" w:rsidRPr="004416B5" w:rsidRDefault="004416B5" w:rsidP="00AF791D">
            <w:pPr>
              <w:rPr>
                <w:rFonts w:ascii="Times New Roman" w:hAnsi="Times New Roman" w:cs="Times New Roman"/>
                <w:color w:val="000000" w:themeColor="text1"/>
                <w:sz w:val="24"/>
                <w:szCs w:val="24"/>
              </w:rPr>
            </w:pPr>
            <w:r w:rsidRPr="004416B5">
              <w:rPr>
                <w:rFonts w:ascii="Segoe UI Emoji" w:hAnsi="Segoe UI Emoji" w:cs="Segoe UI Emoji"/>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2.4 provides the full Boolean search string with </w:t>
            </w:r>
            <w:proofErr w:type="spellStart"/>
            <w:r w:rsidR="004906EA" w:rsidRPr="004416B5">
              <w:rPr>
                <w:rFonts w:ascii="Times New Roman" w:hAnsi="Times New Roman" w:cs="Times New Roman"/>
                <w:color w:val="000000" w:themeColor="text1"/>
                <w:sz w:val="24"/>
                <w:szCs w:val="24"/>
              </w:rPr>
              <w:t>MeSH</w:t>
            </w:r>
            <w:proofErr w:type="spellEnd"/>
            <w:r w:rsidR="004906EA" w:rsidRPr="004416B5">
              <w:rPr>
                <w:rFonts w:ascii="Times New Roman" w:hAnsi="Times New Roman" w:cs="Times New Roman"/>
                <w:color w:val="000000" w:themeColor="text1"/>
                <w:sz w:val="24"/>
                <w:szCs w:val="24"/>
              </w:rPr>
              <w:t xml:space="preserve">-equivalent terms across all databases. Language filters (English and Chinese) are stated. </w:t>
            </w:r>
            <w:r w:rsidR="004906EA" w:rsidRPr="004416B5">
              <w:rPr>
                <w:rFonts w:ascii="Times New Roman" w:hAnsi="Times New Roman" w:cs="Times New Roman"/>
                <w:color w:val="000000" w:themeColor="text1"/>
                <w:sz w:val="24"/>
                <w:szCs w:val="24"/>
              </w:rPr>
              <w:t>Searches were verified by an information specialist and duplicates removed.</w:t>
            </w:r>
          </w:p>
        </w:tc>
        <w:tc>
          <w:tcPr>
            <w:tcW w:w="2300" w:type="dxa"/>
          </w:tcPr>
          <w:p w14:paraId="658D0685"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2.4</w:t>
            </w:r>
          </w:p>
        </w:tc>
      </w:tr>
      <w:tr w:rsidR="00AF791D" w:rsidRPr="004416B5" w14:paraId="05F6C707" w14:textId="77777777" w:rsidTr="00AF791D">
        <w:tc>
          <w:tcPr>
            <w:tcW w:w="1200" w:type="dxa"/>
          </w:tcPr>
          <w:p w14:paraId="28F83581"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55295B78"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9</w:t>
            </w:r>
          </w:p>
        </w:tc>
        <w:tc>
          <w:tcPr>
            <w:tcW w:w="5160" w:type="dxa"/>
          </w:tcPr>
          <w:p w14:paraId="2EA700FB"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Selection process: Specify the methods used to decide whether a study met the inclusion criteria, including how many reviewers screened each record and whether they worked independently; any processes for obtaining and confirming data from investigators.</w:t>
            </w:r>
          </w:p>
          <w:p w14:paraId="57DD76B9" w14:textId="05607B9B"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 xml:space="preserve"> </w:t>
            </w:r>
            <w:r w:rsidR="004416B5" w:rsidRPr="004416B5">
              <w:rPr>
                <w:rFonts w:ascii="Times New Roman" w:hAnsi="Times New Roman" w:cs="Times New Roman"/>
                <w:color w:val="000000" w:themeColor="text1"/>
                <w:sz w:val="24"/>
                <w:szCs w:val="24"/>
                <w:lang w:val="en-US"/>
              </w:rPr>
              <w:t xml:space="preserve">   </w:t>
            </w:r>
            <w:r w:rsidRPr="004416B5">
              <w:rPr>
                <w:rFonts w:ascii="Times New Roman" w:hAnsi="Times New Roman" w:cs="Times New Roman"/>
                <w:color w:val="000000" w:themeColor="text1"/>
                <w:sz w:val="24"/>
                <w:szCs w:val="24"/>
              </w:rPr>
              <w:t>Section 2.5 states that two reviewers independently screened at both stages (title/abstract and full-text). Inter-rater reliability was assessed using Cohen's kappa (κ = 0.82 title/abstract; κ = 0.79 full-text). Disagreements were resolved by a third revi</w:t>
            </w:r>
            <w:r w:rsidRPr="004416B5">
              <w:rPr>
                <w:rFonts w:ascii="Times New Roman" w:hAnsi="Times New Roman" w:cs="Times New Roman"/>
                <w:color w:val="000000" w:themeColor="text1"/>
                <w:sz w:val="24"/>
                <w:szCs w:val="24"/>
              </w:rPr>
              <w:t>ewer. The process is summarized in a PRISMA flow diagram (Figure 1).</w:t>
            </w:r>
          </w:p>
        </w:tc>
        <w:tc>
          <w:tcPr>
            <w:tcW w:w="2300" w:type="dxa"/>
          </w:tcPr>
          <w:p w14:paraId="6620735E"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2.5; Figure 1</w:t>
            </w:r>
          </w:p>
        </w:tc>
      </w:tr>
      <w:tr w:rsidR="00AF791D" w:rsidRPr="004416B5" w14:paraId="46621802" w14:textId="77777777" w:rsidTr="00AF791D">
        <w:tc>
          <w:tcPr>
            <w:tcW w:w="1200" w:type="dxa"/>
          </w:tcPr>
          <w:p w14:paraId="673DFDE7"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5042871F"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10</w:t>
            </w:r>
          </w:p>
        </w:tc>
        <w:tc>
          <w:tcPr>
            <w:tcW w:w="5160" w:type="dxa"/>
          </w:tcPr>
          <w:p w14:paraId="234681F0"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Data collection process: Specify the methods used to collect data from reports, including how many reviewers collected data from each report, any processes for obtaining and confirming data from investigators.</w:t>
            </w:r>
          </w:p>
          <w:p w14:paraId="62F38736" w14:textId="0FE6051C"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lastRenderedPageBreak/>
              <w:t xml:space="preserve">      </w:t>
            </w:r>
            <w:r w:rsidR="004906EA" w:rsidRPr="004416B5">
              <w:rPr>
                <w:rFonts w:ascii="Times New Roman" w:hAnsi="Times New Roman" w:cs="Times New Roman"/>
                <w:color w:val="000000" w:themeColor="text1"/>
                <w:sz w:val="24"/>
                <w:szCs w:val="24"/>
              </w:rPr>
              <w:t xml:space="preserve"> Section 2.6 describes data extraction by two</w:t>
            </w:r>
            <w:r w:rsidR="004906EA" w:rsidRPr="004416B5">
              <w:rPr>
                <w:rFonts w:ascii="Times New Roman" w:hAnsi="Times New Roman" w:cs="Times New Roman"/>
                <w:color w:val="000000" w:themeColor="text1"/>
                <w:sz w:val="24"/>
                <w:szCs w:val="24"/>
              </w:rPr>
              <w:t xml:space="preserve"> independent reviewers using a pre-piloted form. Authors of 3 studies were contacted for missing data; 2 responded and their studies were included in quantitative synthesis; 1 non-responder was retained in narrative synthesis only.</w:t>
            </w:r>
          </w:p>
        </w:tc>
        <w:tc>
          <w:tcPr>
            <w:tcW w:w="2300" w:type="dxa"/>
          </w:tcPr>
          <w:p w14:paraId="33971735"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lastRenderedPageBreak/>
              <w:t>Section 2.6</w:t>
            </w:r>
          </w:p>
        </w:tc>
      </w:tr>
      <w:tr w:rsidR="00AF791D" w:rsidRPr="004416B5" w14:paraId="519A036C" w14:textId="77777777" w:rsidTr="00AF791D">
        <w:tc>
          <w:tcPr>
            <w:tcW w:w="1200" w:type="dxa"/>
          </w:tcPr>
          <w:p w14:paraId="3C3FD0B4"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77366A45"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11</w:t>
            </w:r>
          </w:p>
        </w:tc>
        <w:tc>
          <w:tcPr>
            <w:tcW w:w="5160" w:type="dxa"/>
          </w:tcPr>
          <w:p w14:paraId="7D97D3F2"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Data items: List and define all outcomes for which data were sought; any other variables sought (e.g., participant and intervention characteristics, funding sources).</w:t>
            </w:r>
          </w:p>
          <w:p w14:paraId="44AAE6EC" w14:textId="371F25F6"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2.2.4 and Table 1 list all outcome domains (self-management </w:t>
            </w:r>
            <w:proofErr w:type="spellStart"/>
            <w:r w:rsidR="004906EA" w:rsidRPr="004416B5">
              <w:rPr>
                <w:rFonts w:ascii="Times New Roman" w:hAnsi="Times New Roman" w:cs="Times New Roman"/>
                <w:color w:val="000000" w:themeColor="text1"/>
                <w:sz w:val="24"/>
                <w:szCs w:val="24"/>
              </w:rPr>
              <w:t>behavior</w:t>
            </w:r>
            <w:r w:rsidR="004906EA" w:rsidRPr="004416B5">
              <w:rPr>
                <w:rFonts w:ascii="Times New Roman" w:hAnsi="Times New Roman" w:cs="Times New Roman"/>
                <w:color w:val="000000" w:themeColor="text1"/>
                <w:sz w:val="24"/>
                <w:szCs w:val="24"/>
              </w:rPr>
              <w:t>s</w:t>
            </w:r>
            <w:proofErr w:type="spellEnd"/>
            <w:r w:rsidR="004906EA" w:rsidRPr="004416B5">
              <w:rPr>
                <w:rFonts w:ascii="Times New Roman" w:hAnsi="Times New Roman" w:cs="Times New Roman"/>
                <w:color w:val="000000" w:themeColor="text1"/>
                <w:sz w:val="24"/>
                <w:szCs w:val="24"/>
              </w:rPr>
              <w:t xml:space="preserve">, psychological outcomes, </w:t>
            </w:r>
            <w:proofErr w:type="spellStart"/>
            <w:r w:rsidR="004906EA" w:rsidRPr="004416B5">
              <w:rPr>
                <w:rFonts w:ascii="Times New Roman" w:hAnsi="Times New Roman" w:cs="Times New Roman"/>
                <w:color w:val="000000" w:themeColor="text1"/>
                <w:sz w:val="24"/>
                <w:szCs w:val="24"/>
              </w:rPr>
              <w:t>HRQoL</w:t>
            </w:r>
            <w:proofErr w:type="spellEnd"/>
            <w:r w:rsidR="004906EA" w:rsidRPr="004416B5">
              <w:rPr>
                <w:rFonts w:ascii="Times New Roman" w:hAnsi="Times New Roman" w:cs="Times New Roman"/>
                <w:color w:val="000000" w:themeColor="text1"/>
                <w:sz w:val="24"/>
                <w:szCs w:val="24"/>
              </w:rPr>
              <w:t>, clinical outcomes, healthcare utilization) with definitions, measurement instruments, timing, and effect measures. Section 2.6 confirms extraction of study design, country, setting, sample characteristics, intervention com</w:t>
            </w:r>
            <w:r w:rsidR="004906EA" w:rsidRPr="004416B5">
              <w:rPr>
                <w:rFonts w:ascii="Times New Roman" w:hAnsi="Times New Roman" w:cs="Times New Roman"/>
                <w:color w:val="000000" w:themeColor="text1"/>
                <w:sz w:val="24"/>
                <w:szCs w:val="24"/>
              </w:rPr>
              <w:t xml:space="preserve">ponents, and </w:t>
            </w:r>
            <w:proofErr w:type="spellStart"/>
            <w:r w:rsidR="004906EA" w:rsidRPr="004416B5">
              <w:rPr>
                <w:rFonts w:ascii="Times New Roman" w:hAnsi="Times New Roman" w:cs="Times New Roman"/>
                <w:color w:val="000000" w:themeColor="text1"/>
                <w:sz w:val="24"/>
                <w:szCs w:val="24"/>
              </w:rPr>
              <w:t>behavioral</w:t>
            </w:r>
            <w:proofErr w:type="spellEnd"/>
            <w:r w:rsidR="004906EA" w:rsidRPr="004416B5">
              <w:rPr>
                <w:rFonts w:ascii="Times New Roman" w:hAnsi="Times New Roman" w:cs="Times New Roman"/>
                <w:color w:val="000000" w:themeColor="text1"/>
                <w:sz w:val="24"/>
                <w:szCs w:val="24"/>
              </w:rPr>
              <w:t xml:space="preserve"> economics constructs.</w:t>
            </w:r>
          </w:p>
        </w:tc>
        <w:tc>
          <w:tcPr>
            <w:tcW w:w="2300" w:type="dxa"/>
          </w:tcPr>
          <w:p w14:paraId="6B69B6E3"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§2.2.4; Table 1; §2.6</w:t>
            </w:r>
          </w:p>
        </w:tc>
      </w:tr>
      <w:tr w:rsidR="00AF791D" w:rsidRPr="004416B5" w14:paraId="3AE1E05A" w14:textId="77777777" w:rsidTr="00AF791D">
        <w:tc>
          <w:tcPr>
            <w:tcW w:w="1200" w:type="dxa"/>
          </w:tcPr>
          <w:p w14:paraId="1C8221E0"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475A4778"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12</w:t>
            </w:r>
          </w:p>
        </w:tc>
        <w:tc>
          <w:tcPr>
            <w:tcW w:w="5160" w:type="dxa"/>
          </w:tcPr>
          <w:p w14:paraId="6D74B02A"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Study risk of bias assessment: Specify the methods used to assess risk of bias in the included studies, including details of the tool(s) used, how many reviewers assessed each study, and whether any automation tools were used.</w:t>
            </w:r>
          </w:p>
          <w:p w14:paraId="309738D7" w14:textId="5D50B89A"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2.7 specifies: </w:t>
            </w:r>
            <w:proofErr w:type="spellStart"/>
            <w:r w:rsidR="004906EA" w:rsidRPr="004416B5">
              <w:rPr>
                <w:rFonts w:ascii="Times New Roman" w:hAnsi="Times New Roman" w:cs="Times New Roman"/>
                <w:color w:val="000000" w:themeColor="text1"/>
                <w:sz w:val="24"/>
                <w:szCs w:val="24"/>
              </w:rPr>
              <w:t>RoB</w:t>
            </w:r>
            <w:proofErr w:type="spellEnd"/>
            <w:r w:rsidR="004906EA" w:rsidRPr="004416B5">
              <w:rPr>
                <w:rFonts w:ascii="Times New Roman" w:hAnsi="Times New Roman" w:cs="Times New Roman"/>
                <w:color w:val="000000" w:themeColor="text1"/>
                <w:sz w:val="24"/>
                <w:szCs w:val="24"/>
              </w:rPr>
              <w:t xml:space="preserve"> </w:t>
            </w:r>
            <w:r w:rsidR="004906EA" w:rsidRPr="004416B5">
              <w:rPr>
                <w:rFonts w:ascii="Times New Roman" w:hAnsi="Times New Roman" w:cs="Times New Roman"/>
                <w:color w:val="000000" w:themeColor="text1"/>
                <w:sz w:val="24"/>
                <w:szCs w:val="24"/>
              </w:rPr>
              <w:t xml:space="preserve">2 (Cochrane) for </w:t>
            </w:r>
            <w:proofErr w:type="spellStart"/>
            <w:r w:rsidR="004906EA" w:rsidRPr="004416B5">
              <w:rPr>
                <w:rFonts w:ascii="Times New Roman" w:hAnsi="Times New Roman" w:cs="Times New Roman"/>
                <w:color w:val="000000" w:themeColor="text1"/>
                <w:sz w:val="24"/>
                <w:szCs w:val="24"/>
              </w:rPr>
              <w:t>RCTs</w:t>
            </w:r>
            <w:proofErr w:type="spellEnd"/>
            <w:r w:rsidR="004906EA" w:rsidRPr="004416B5">
              <w:rPr>
                <w:rFonts w:ascii="Times New Roman" w:hAnsi="Times New Roman" w:cs="Times New Roman"/>
                <w:color w:val="000000" w:themeColor="text1"/>
                <w:sz w:val="24"/>
                <w:szCs w:val="24"/>
              </w:rPr>
              <w:t>; ROBINS-I for non-randomized studies; CASP qualitative checklist for qualitative studies. Two independent reviewers assessed all studies, with a pre-specified three-stage resolution process (discussion → third reviewer adjudication).</w:t>
            </w:r>
          </w:p>
        </w:tc>
        <w:tc>
          <w:tcPr>
            <w:tcW w:w="2300" w:type="dxa"/>
          </w:tcPr>
          <w:p w14:paraId="346C5411"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2.7</w:t>
            </w:r>
          </w:p>
        </w:tc>
      </w:tr>
      <w:tr w:rsidR="00AF791D" w:rsidRPr="004416B5" w14:paraId="26EBB89B" w14:textId="77777777" w:rsidTr="00AF791D">
        <w:tc>
          <w:tcPr>
            <w:tcW w:w="1200" w:type="dxa"/>
          </w:tcPr>
          <w:p w14:paraId="06689DD0"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767AE21E"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13</w:t>
            </w:r>
          </w:p>
        </w:tc>
        <w:tc>
          <w:tcPr>
            <w:tcW w:w="5160" w:type="dxa"/>
          </w:tcPr>
          <w:p w14:paraId="63418385"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Effect measures: Specify for each outcome the effect measure(s) (e.g., risk ratio, mean difference) used in the synthesis or presentation of results.</w:t>
            </w:r>
          </w:p>
          <w:p w14:paraId="635F7170" w14:textId="2A920E9E"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2.8.1 specifies SMD with 95% CI for continuous outcomes and risk ratios (RR) for dichotomous out</w:t>
            </w:r>
            <w:r w:rsidR="004906EA" w:rsidRPr="004416B5">
              <w:rPr>
                <w:rFonts w:ascii="Times New Roman" w:hAnsi="Times New Roman" w:cs="Times New Roman"/>
                <w:color w:val="000000" w:themeColor="text1"/>
                <w:sz w:val="24"/>
                <w:szCs w:val="24"/>
              </w:rPr>
              <w:t>comes. Section 2.8.1 also describes the supplementary absolute percentage change metric and explicitly acknowledges its limitations.</w:t>
            </w:r>
          </w:p>
        </w:tc>
        <w:tc>
          <w:tcPr>
            <w:tcW w:w="2300" w:type="dxa"/>
          </w:tcPr>
          <w:p w14:paraId="5F8FB3A5"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2.8.1</w:t>
            </w:r>
          </w:p>
        </w:tc>
      </w:tr>
      <w:tr w:rsidR="00AF791D" w:rsidRPr="004416B5" w14:paraId="0AC26341" w14:textId="77777777" w:rsidTr="00AF791D">
        <w:tc>
          <w:tcPr>
            <w:tcW w:w="1200" w:type="dxa"/>
          </w:tcPr>
          <w:p w14:paraId="3C15C8DB"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2AC75C64"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14</w:t>
            </w:r>
          </w:p>
        </w:tc>
        <w:tc>
          <w:tcPr>
            <w:tcW w:w="5160" w:type="dxa"/>
          </w:tcPr>
          <w:p w14:paraId="3D303235"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Synthesis methods: Describe the processes used to decide which studies were eligible for each synthesis; summarise the methods used to prepare data for synthesis.</w:t>
            </w:r>
          </w:p>
          <w:p w14:paraId="7D02F8D6" w14:textId="2405E700"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2.8 describes two parallel synthesis streams: (1) quantitative meta-analysis (</w:t>
            </w:r>
            <w:proofErr w:type="spellStart"/>
            <w:r w:rsidR="004906EA" w:rsidRPr="004416B5">
              <w:rPr>
                <w:rFonts w:ascii="Times New Roman" w:hAnsi="Times New Roman" w:cs="Times New Roman"/>
                <w:color w:val="000000" w:themeColor="text1"/>
                <w:sz w:val="24"/>
                <w:szCs w:val="24"/>
              </w:rPr>
              <w:t>RCTs</w:t>
            </w:r>
            <w:proofErr w:type="spellEnd"/>
            <w:r w:rsidR="004906EA" w:rsidRPr="004416B5">
              <w:rPr>
                <w:rFonts w:ascii="Times New Roman" w:hAnsi="Times New Roman" w:cs="Times New Roman"/>
                <w:color w:val="000000" w:themeColor="text1"/>
                <w:sz w:val="24"/>
                <w:szCs w:val="24"/>
              </w:rPr>
              <w:t>,</w:t>
            </w:r>
            <w:r w:rsidR="004906EA" w:rsidRPr="004416B5">
              <w:rPr>
                <w:rFonts w:ascii="Times New Roman" w:hAnsi="Times New Roman" w:cs="Times New Roman"/>
                <w:color w:val="000000" w:themeColor="text1"/>
                <w:sz w:val="24"/>
                <w:szCs w:val="24"/>
              </w:rPr>
              <w:t xml:space="preserve"> quasi-experimental, cohort studies with comparator) using random-effects </w:t>
            </w:r>
            <w:proofErr w:type="spellStart"/>
            <w:r w:rsidR="004906EA" w:rsidRPr="004416B5">
              <w:rPr>
                <w:rFonts w:ascii="Times New Roman" w:hAnsi="Times New Roman" w:cs="Times New Roman"/>
                <w:color w:val="000000" w:themeColor="text1"/>
                <w:sz w:val="24"/>
                <w:szCs w:val="24"/>
              </w:rPr>
              <w:t>DerSimonian</w:t>
            </w:r>
            <w:proofErr w:type="spellEnd"/>
            <w:r w:rsidR="004906EA" w:rsidRPr="004416B5">
              <w:rPr>
                <w:rFonts w:ascii="Times New Roman" w:hAnsi="Times New Roman" w:cs="Times New Roman"/>
                <w:color w:val="000000" w:themeColor="text1"/>
                <w:sz w:val="24"/>
                <w:szCs w:val="24"/>
              </w:rPr>
              <w:t xml:space="preserve">-Laird model; (2) qualitative thematic synthesis using NVivo 14. Integration was performed using the convergent integrated approach (JBI, 2020). </w:t>
            </w:r>
            <w:r w:rsidR="004906EA" w:rsidRPr="004416B5">
              <w:rPr>
                <w:rFonts w:ascii="Times New Roman" w:hAnsi="Times New Roman" w:cs="Times New Roman"/>
                <w:color w:val="000000" w:themeColor="text1"/>
                <w:sz w:val="24"/>
                <w:szCs w:val="24"/>
              </w:rPr>
              <w:lastRenderedPageBreak/>
              <w:t>Software: Python 3.10, pan</w:t>
            </w:r>
            <w:r w:rsidR="004906EA" w:rsidRPr="004416B5">
              <w:rPr>
                <w:rFonts w:ascii="Times New Roman" w:hAnsi="Times New Roman" w:cs="Times New Roman"/>
                <w:color w:val="000000" w:themeColor="text1"/>
                <w:sz w:val="24"/>
                <w:szCs w:val="24"/>
              </w:rPr>
              <w:t xml:space="preserve">das, </w:t>
            </w:r>
            <w:proofErr w:type="spellStart"/>
            <w:r w:rsidR="004906EA" w:rsidRPr="004416B5">
              <w:rPr>
                <w:rFonts w:ascii="Times New Roman" w:hAnsi="Times New Roman" w:cs="Times New Roman"/>
                <w:color w:val="000000" w:themeColor="text1"/>
                <w:sz w:val="24"/>
                <w:szCs w:val="24"/>
              </w:rPr>
              <w:t>numpy</w:t>
            </w:r>
            <w:proofErr w:type="spellEnd"/>
            <w:r w:rsidR="004906EA" w:rsidRPr="004416B5">
              <w:rPr>
                <w:rFonts w:ascii="Times New Roman" w:hAnsi="Times New Roman" w:cs="Times New Roman"/>
                <w:color w:val="000000" w:themeColor="text1"/>
                <w:sz w:val="24"/>
                <w:szCs w:val="24"/>
              </w:rPr>
              <w:t xml:space="preserve">, </w:t>
            </w:r>
            <w:proofErr w:type="spellStart"/>
            <w:r w:rsidR="004906EA" w:rsidRPr="004416B5">
              <w:rPr>
                <w:rFonts w:ascii="Times New Roman" w:hAnsi="Times New Roman" w:cs="Times New Roman"/>
                <w:color w:val="000000" w:themeColor="text1"/>
                <w:sz w:val="24"/>
                <w:szCs w:val="24"/>
              </w:rPr>
              <w:t>scipy</w:t>
            </w:r>
            <w:proofErr w:type="spellEnd"/>
            <w:r w:rsidR="004906EA" w:rsidRPr="004416B5">
              <w:rPr>
                <w:rFonts w:ascii="Times New Roman" w:hAnsi="Times New Roman" w:cs="Times New Roman"/>
                <w:color w:val="000000" w:themeColor="text1"/>
                <w:sz w:val="24"/>
                <w:szCs w:val="24"/>
              </w:rPr>
              <w:t>, matplotlib, and IBM SPSS Statistics 26.</w:t>
            </w:r>
          </w:p>
        </w:tc>
        <w:tc>
          <w:tcPr>
            <w:tcW w:w="2300" w:type="dxa"/>
          </w:tcPr>
          <w:p w14:paraId="761124EC"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lastRenderedPageBreak/>
              <w:t>Section 2.8</w:t>
            </w:r>
          </w:p>
        </w:tc>
      </w:tr>
      <w:tr w:rsidR="00AF791D" w:rsidRPr="004416B5" w14:paraId="33964D51" w14:textId="77777777" w:rsidTr="00AF791D">
        <w:tc>
          <w:tcPr>
            <w:tcW w:w="1200" w:type="dxa"/>
          </w:tcPr>
          <w:p w14:paraId="5E666F48"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1AC7FF9D"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15</w:t>
            </w:r>
          </w:p>
        </w:tc>
        <w:tc>
          <w:tcPr>
            <w:tcW w:w="5160" w:type="dxa"/>
          </w:tcPr>
          <w:p w14:paraId="05A5F771"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Risk of bias across studies: Describe any methods used to assess risk of bias due to missing results in a synthesis (arising, for example, from reporting bias).</w:t>
            </w:r>
          </w:p>
          <w:p w14:paraId="4B124F84" w14:textId="5C05C672"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2.10 describes funnel plot inspection and Egger's test for publication bias assessmen</w:t>
            </w:r>
            <w:r w:rsidR="004906EA" w:rsidRPr="004416B5">
              <w:rPr>
                <w:rFonts w:ascii="Times New Roman" w:hAnsi="Times New Roman" w:cs="Times New Roman"/>
                <w:color w:val="000000" w:themeColor="text1"/>
                <w:sz w:val="24"/>
                <w:szCs w:val="24"/>
              </w:rPr>
              <w:t>t. The Cochrane Handbook threshold (≥10 studies) for funnel plot use is acknowledged. Sensitivity analyses excluding high-risk-of-bias studies are described in Section 2.9.</w:t>
            </w:r>
          </w:p>
        </w:tc>
        <w:tc>
          <w:tcPr>
            <w:tcW w:w="2300" w:type="dxa"/>
          </w:tcPr>
          <w:p w14:paraId="18814DE7"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Sections 2.9–2.10</w:t>
            </w:r>
          </w:p>
        </w:tc>
      </w:tr>
      <w:tr w:rsidR="00AF791D" w:rsidRPr="004416B5" w14:paraId="3494A222" w14:textId="77777777" w:rsidTr="00AF791D">
        <w:tc>
          <w:tcPr>
            <w:tcW w:w="1200" w:type="dxa"/>
          </w:tcPr>
          <w:p w14:paraId="2820F152"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METHODS</w:t>
            </w:r>
          </w:p>
        </w:tc>
        <w:tc>
          <w:tcPr>
            <w:tcW w:w="700" w:type="dxa"/>
          </w:tcPr>
          <w:p w14:paraId="12D6A8EA"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16</w:t>
            </w:r>
          </w:p>
        </w:tc>
        <w:tc>
          <w:tcPr>
            <w:tcW w:w="5160" w:type="dxa"/>
          </w:tcPr>
          <w:p w14:paraId="501ACF7B"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Certainty assessment: Describe any methods used to assess certainty (or confidence) in the body of evidence for an outcome.</w:t>
            </w:r>
          </w:p>
          <w:p w14:paraId="2F967D8C" w14:textId="002F252A"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2.11 specifies the GRADE framework for quantitative evidence (HIGH/MODERATE/LOW/VERY LOW based on risk of bias, inconsiste</w:t>
            </w:r>
            <w:r w:rsidR="004906EA" w:rsidRPr="004416B5">
              <w:rPr>
                <w:rFonts w:ascii="Times New Roman" w:hAnsi="Times New Roman" w:cs="Times New Roman"/>
                <w:color w:val="000000" w:themeColor="text1"/>
                <w:sz w:val="24"/>
                <w:szCs w:val="24"/>
              </w:rPr>
              <w:t>ncy, indirectness, imprecision, publication bias) and GRADE-</w:t>
            </w:r>
            <w:proofErr w:type="spellStart"/>
            <w:r w:rsidR="004906EA" w:rsidRPr="004416B5">
              <w:rPr>
                <w:rFonts w:ascii="Times New Roman" w:hAnsi="Times New Roman" w:cs="Times New Roman"/>
                <w:color w:val="000000" w:themeColor="text1"/>
                <w:sz w:val="24"/>
                <w:szCs w:val="24"/>
              </w:rPr>
              <w:t>CERQual</w:t>
            </w:r>
            <w:proofErr w:type="spellEnd"/>
            <w:r w:rsidR="004906EA" w:rsidRPr="004416B5">
              <w:rPr>
                <w:rFonts w:ascii="Times New Roman" w:hAnsi="Times New Roman" w:cs="Times New Roman"/>
                <w:color w:val="000000" w:themeColor="text1"/>
                <w:sz w:val="24"/>
                <w:szCs w:val="24"/>
              </w:rPr>
              <w:t xml:space="preserve"> for qualitative evidence.</w:t>
            </w:r>
          </w:p>
        </w:tc>
        <w:tc>
          <w:tcPr>
            <w:tcW w:w="2300" w:type="dxa"/>
          </w:tcPr>
          <w:p w14:paraId="3B5B31DC"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2.11</w:t>
            </w:r>
          </w:p>
        </w:tc>
      </w:tr>
      <w:tr w:rsidR="00AF791D" w:rsidRPr="004416B5" w14:paraId="7C98C80E" w14:textId="77777777" w:rsidTr="00AF791D">
        <w:tc>
          <w:tcPr>
            <w:tcW w:w="0" w:type="auto"/>
            <w:gridSpan w:val="4"/>
          </w:tcPr>
          <w:p w14:paraId="451CCAB1"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RESULTS</w:t>
            </w:r>
          </w:p>
        </w:tc>
      </w:tr>
      <w:tr w:rsidR="00AF791D" w:rsidRPr="004416B5" w14:paraId="0337617C" w14:textId="77777777" w:rsidTr="00AF791D">
        <w:tc>
          <w:tcPr>
            <w:tcW w:w="1200" w:type="dxa"/>
          </w:tcPr>
          <w:p w14:paraId="0C3FC689"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w:t>
            </w:r>
          </w:p>
        </w:tc>
        <w:tc>
          <w:tcPr>
            <w:tcW w:w="700" w:type="dxa"/>
          </w:tcPr>
          <w:p w14:paraId="05B03C95"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17</w:t>
            </w:r>
          </w:p>
        </w:tc>
        <w:tc>
          <w:tcPr>
            <w:tcW w:w="5160" w:type="dxa"/>
          </w:tcPr>
          <w:p w14:paraId="1C5C5F9E" w14:textId="77777777" w:rsidR="004416B5" w:rsidRPr="004416B5" w:rsidRDefault="004906EA" w:rsidP="004416B5">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Study selection: Describe the results of the search and selection process, including the number of studies identified at each stage of the process; ideally using a flow diagram.</w:t>
            </w:r>
          </w:p>
          <w:p w14:paraId="7F902A20" w14:textId="5D35046E" w:rsidR="00E7028F" w:rsidRPr="004416B5" w:rsidRDefault="004416B5" w:rsidP="004416B5">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3.1 provides detailed search results: 3,847 records identified by da</w:t>
            </w:r>
            <w:r w:rsidR="004906EA" w:rsidRPr="004416B5">
              <w:rPr>
                <w:rFonts w:ascii="Times New Roman" w:hAnsi="Times New Roman" w:cs="Times New Roman"/>
                <w:color w:val="000000" w:themeColor="text1"/>
                <w:sz w:val="24"/>
                <w:szCs w:val="24"/>
              </w:rPr>
              <w:t xml:space="preserve">tabase (PubMed: 892; EMBASE: 748; Web of Science: 612; Scopus: 534; PsycINFO: 389; CINAHL: 312; CNKI: 218; </w:t>
            </w:r>
            <w:proofErr w:type="spellStart"/>
            <w:r w:rsidR="004906EA" w:rsidRPr="004416B5">
              <w:rPr>
                <w:rFonts w:ascii="Times New Roman" w:hAnsi="Times New Roman" w:cs="Times New Roman"/>
                <w:color w:val="000000" w:themeColor="text1"/>
                <w:sz w:val="24"/>
                <w:szCs w:val="24"/>
              </w:rPr>
              <w:t>Wanfang</w:t>
            </w:r>
            <w:proofErr w:type="spellEnd"/>
            <w:r w:rsidR="004906EA" w:rsidRPr="004416B5">
              <w:rPr>
                <w:rFonts w:ascii="Times New Roman" w:hAnsi="Times New Roman" w:cs="Times New Roman"/>
                <w:color w:val="000000" w:themeColor="text1"/>
                <w:sz w:val="24"/>
                <w:szCs w:val="24"/>
              </w:rPr>
              <w:t>: 142); 1,203 duplicates removed; 2,644 screened; 412 full-texts assessed; 382 excluded with reasons (wrong population n=98; no BE component n</w:t>
            </w:r>
            <w:r w:rsidR="004906EA" w:rsidRPr="004416B5">
              <w:rPr>
                <w:rFonts w:ascii="Times New Roman" w:hAnsi="Times New Roman" w:cs="Times New Roman"/>
                <w:color w:val="000000" w:themeColor="text1"/>
                <w:sz w:val="24"/>
                <w:szCs w:val="24"/>
              </w:rPr>
              <w:t>=127; irrelevant outcomes n=84; wrong design n=43; insufficient data n=30); 30 included. PRISMA flow diagram referenced (Figure 1).</w:t>
            </w:r>
          </w:p>
        </w:tc>
        <w:tc>
          <w:tcPr>
            <w:tcW w:w="2300" w:type="dxa"/>
          </w:tcPr>
          <w:p w14:paraId="58AD1625"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3.1; Figure 1</w:t>
            </w:r>
          </w:p>
        </w:tc>
      </w:tr>
      <w:tr w:rsidR="00AF791D" w:rsidRPr="004416B5" w14:paraId="5BE064D1" w14:textId="77777777" w:rsidTr="00AF791D">
        <w:tc>
          <w:tcPr>
            <w:tcW w:w="1200" w:type="dxa"/>
          </w:tcPr>
          <w:p w14:paraId="7EA395EE"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w:t>
            </w:r>
          </w:p>
        </w:tc>
        <w:tc>
          <w:tcPr>
            <w:tcW w:w="700" w:type="dxa"/>
          </w:tcPr>
          <w:p w14:paraId="64BBBB08"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18</w:t>
            </w:r>
          </w:p>
        </w:tc>
        <w:tc>
          <w:tcPr>
            <w:tcW w:w="5160" w:type="dxa"/>
          </w:tcPr>
          <w:p w14:paraId="1102FE25"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Study characteristics: Cite each included study and present its characteristics.</w:t>
            </w:r>
          </w:p>
          <w:p w14:paraId="3ADC9BEC" w14:textId="44DE0FE4"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3.2 and Table 2 present characteristics of all 30 included studies including country, setting, design, sample size, </w:t>
            </w:r>
            <w:proofErr w:type="spellStart"/>
            <w:r w:rsidR="004906EA" w:rsidRPr="004416B5">
              <w:rPr>
                <w:rFonts w:ascii="Times New Roman" w:hAnsi="Times New Roman" w:cs="Times New Roman"/>
                <w:color w:val="000000" w:themeColor="text1"/>
                <w:sz w:val="24"/>
                <w:szCs w:val="24"/>
              </w:rPr>
              <w:t>behavioral</w:t>
            </w:r>
            <w:proofErr w:type="spellEnd"/>
            <w:r w:rsidR="004906EA" w:rsidRPr="004416B5">
              <w:rPr>
                <w:rFonts w:ascii="Times New Roman" w:hAnsi="Times New Roman" w:cs="Times New Roman"/>
                <w:color w:val="000000" w:themeColor="text1"/>
                <w:sz w:val="24"/>
                <w:szCs w:val="24"/>
              </w:rPr>
              <w:t xml:space="preserve"> economics intervention type, outcomes,</w:t>
            </w:r>
            <w:r w:rsidR="004906EA" w:rsidRPr="004416B5">
              <w:rPr>
                <w:rFonts w:ascii="Times New Roman" w:hAnsi="Times New Roman" w:cs="Times New Roman"/>
                <w:color w:val="000000" w:themeColor="text1"/>
                <w:sz w:val="24"/>
                <w:szCs w:val="24"/>
              </w:rPr>
              <w:t xml:space="preserve"> and follow-up duration. Geographic distribution and income-level distribution are also described.</w:t>
            </w:r>
          </w:p>
        </w:tc>
        <w:tc>
          <w:tcPr>
            <w:tcW w:w="2300" w:type="dxa"/>
          </w:tcPr>
          <w:p w14:paraId="3C567557"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3.2; Table 2</w:t>
            </w:r>
          </w:p>
        </w:tc>
      </w:tr>
      <w:tr w:rsidR="00AF791D" w:rsidRPr="004416B5" w14:paraId="5341A20B" w14:textId="77777777" w:rsidTr="00AF791D">
        <w:tc>
          <w:tcPr>
            <w:tcW w:w="1200" w:type="dxa"/>
          </w:tcPr>
          <w:p w14:paraId="4A889A70"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w:t>
            </w:r>
          </w:p>
        </w:tc>
        <w:tc>
          <w:tcPr>
            <w:tcW w:w="700" w:type="dxa"/>
          </w:tcPr>
          <w:p w14:paraId="7599A5D5"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19</w:t>
            </w:r>
          </w:p>
        </w:tc>
        <w:tc>
          <w:tcPr>
            <w:tcW w:w="5160" w:type="dxa"/>
          </w:tcPr>
          <w:p w14:paraId="227BD2D8"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Risk of bias in studies: Present assessments of risk of bias for each included study.</w:t>
            </w:r>
          </w:p>
          <w:p w14:paraId="035462B1" w14:textId="477CACE3"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Risk of bias assessments are referenced and inform GRADE ratings (Table 4), and sensitivity analyses excluding high-risk studies are reported (§3.5.2). However, a dedi</w:t>
            </w:r>
            <w:r w:rsidR="004906EA" w:rsidRPr="004416B5">
              <w:rPr>
                <w:rFonts w:ascii="Times New Roman" w:hAnsi="Times New Roman" w:cs="Times New Roman"/>
                <w:color w:val="000000" w:themeColor="text1"/>
                <w:sz w:val="24"/>
                <w:szCs w:val="24"/>
              </w:rPr>
              <w:t xml:space="preserve">cated risk of bias summary table for </w:t>
            </w:r>
            <w:r w:rsidR="004906EA" w:rsidRPr="004416B5">
              <w:rPr>
                <w:rFonts w:ascii="Times New Roman" w:hAnsi="Times New Roman" w:cs="Times New Roman"/>
                <w:color w:val="000000" w:themeColor="text1"/>
                <w:sz w:val="24"/>
                <w:szCs w:val="24"/>
              </w:rPr>
              <w:lastRenderedPageBreak/>
              <w:t xml:space="preserve">individual studies is not explicitly presented. Authors should consider adding a formal per-study risk of bias summary table (e.g., </w:t>
            </w:r>
            <w:proofErr w:type="spellStart"/>
            <w:r w:rsidR="004906EA" w:rsidRPr="004416B5">
              <w:rPr>
                <w:rFonts w:ascii="Times New Roman" w:hAnsi="Times New Roman" w:cs="Times New Roman"/>
                <w:color w:val="000000" w:themeColor="text1"/>
                <w:sz w:val="24"/>
                <w:szCs w:val="24"/>
              </w:rPr>
              <w:t>RoB</w:t>
            </w:r>
            <w:proofErr w:type="spellEnd"/>
            <w:r w:rsidR="004906EA" w:rsidRPr="004416B5">
              <w:rPr>
                <w:rFonts w:ascii="Times New Roman" w:hAnsi="Times New Roman" w:cs="Times New Roman"/>
                <w:color w:val="000000" w:themeColor="text1"/>
                <w:sz w:val="24"/>
                <w:szCs w:val="24"/>
              </w:rPr>
              <w:t xml:space="preserve"> 2 traffic light plot or summary table).</w:t>
            </w:r>
          </w:p>
        </w:tc>
        <w:tc>
          <w:tcPr>
            <w:tcW w:w="2300" w:type="dxa"/>
          </w:tcPr>
          <w:p w14:paraId="575AD8F2"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lastRenderedPageBreak/>
              <w:t>§3.5.2; Table 4 (indirect)</w:t>
            </w:r>
          </w:p>
        </w:tc>
      </w:tr>
      <w:tr w:rsidR="00AF791D" w:rsidRPr="004416B5" w14:paraId="5C19CDB3" w14:textId="77777777" w:rsidTr="00AF791D">
        <w:tc>
          <w:tcPr>
            <w:tcW w:w="1200" w:type="dxa"/>
          </w:tcPr>
          <w:p w14:paraId="17F26095"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w:t>
            </w:r>
          </w:p>
        </w:tc>
        <w:tc>
          <w:tcPr>
            <w:tcW w:w="700" w:type="dxa"/>
          </w:tcPr>
          <w:p w14:paraId="486FECC6"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20</w:t>
            </w:r>
          </w:p>
        </w:tc>
        <w:tc>
          <w:tcPr>
            <w:tcW w:w="5160" w:type="dxa"/>
          </w:tcPr>
          <w:p w14:paraId="08DB4E10"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 of individual studies: For all outcomes, present for each study: (a) summary statistics for each group (where appropriate) and (b) an effect estimate and its precision.</w:t>
            </w:r>
          </w:p>
          <w:p w14:paraId="604E5F07" w14:textId="050BEDAD"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Table 3 presents effect sizes (SMD), standard errors, sample sizes, and weigh</w:t>
            </w:r>
            <w:r w:rsidR="004906EA" w:rsidRPr="004416B5">
              <w:rPr>
                <w:rFonts w:ascii="Times New Roman" w:hAnsi="Times New Roman" w:cs="Times New Roman"/>
                <w:color w:val="000000" w:themeColor="text1"/>
                <w:sz w:val="24"/>
                <w:szCs w:val="24"/>
              </w:rPr>
              <w:t>ts for all 30 included studies. Table 2 presents absolute percentage change from baseline for each study. Individual study results are therefore available for both effect measures.</w:t>
            </w:r>
          </w:p>
        </w:tc>
        <w:tc>
          <w:tcPr>
            <w:tcW w:w="2300" w:type="dxa"/>
          </w:tcPr>
          <w:p w14:paraId="39A0779E"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Tables 2 and 3</w:t>
            </w:r>
          </w:p>
        </w:tc>
      </w:tr>
      <w:tr w:rsidR="00AF791D" w:rsidRPr="004416B5" w14:paraId="2D4067D6" w14:textId="77777777" w:rsidTr="00AF791D">
        <w:tc>
          <w:tcPr>
            <w:tcW w:w="1200" w:type="dxa"/>
          </w:tcPr>
          <w:p w14:paraId="64F53C0B"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w:t>
            </w:r>
          </w:p>
        </w:tc>
        <w:tc>
          <w:tcPr>
            <w:tcW w:w="700" w:type="dxa"/>
          </w:tcPr>
          <w:p w14:paraId="2F0D610B"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21</w:t>
            </w:r>
          </w:p>
        </w:tc>
        <w:tc>
          <w:tcPr>
            <w:tcW w:w="5160" w:type="dxa"/>
          </w:tcPr>
          <w:p w14:paraId="2F509DD1"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 of syntheses: For each synthesis, present the results including, if done, results from meta-analyses (e.g., effect estimates and their precision).</w:t>
            </w:r>
          </w:p>
          <w:p w14:paraId="42C324F5" w14:textId="64B91B74"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3.4 presents: pooled SMD = 0.55 (95% CI: 0.47–0.63; RE model); mean absolute improvement = </w:t>
            </w:r>
            <w:r w:rsidR="004906EA" w:rsidRPr="004416B5">
              <w:rPr>
                <w:rFonts w:ascii="Times New Roman" w:hAnsi="Times New Roman" w:cs="Times New Roman"/>
                <w:color w:val="000000" w:themeColor="text1"/>
                <w:sz w:val="24"/>
                <w:szCs w:val="24"/>
              </w:rPr>
              <w:t>20.2% (SD = 7.2; range 10–40%); I² = 58%; consistency of direction across all 30 studies. Forest plot referenced (Figure 3). GRADE Summary of Findings presented in Table 4.</w:t>
            </w:r>
          </w:p>
        </w:tc>
        <w:tc>
          <w:tcPr>
            <w:tcW w:w="2300" w:type="dxa"/>
          </w:tcPr>
          <w:p w14:paraId="536D9029"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3.4; Table 3; Figure 3; Table 4</w:t>
            </w:r>
          </w:p>
        </w:tc>
      </w:tr>
      <w:tr w:rsidR="00AF791D" w:rsidRPr="004416B5" w14:paraId="1EECAC2B" w14:textId="77777777" w:rsidTr="00AF791D">
        <w:tc>
          <w:tcPr>
            <w:tcW w:w="1200" w:type="dxa"/>
          </w:tcPr>
          <w:p w14:paraId="1ADC48A6"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w:t>
            </w:r>
          </w:p>
        </w:tc>
        <w:tc>
          <w:tcPr>
            <w:tcW w:w="700" w:type="dxa"/>
          </w:tcPr>
          <w:p w14:paraId="0FDBBBDC"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22</w:t>
            </w:r>
          </w:p>
        </w:tc>
        <w:tc>
          <w:tcPr>
            <w:tcW w:w="5160" w:type="dxa"/>
          </w:tcPr>
          <w:p w14:paraId="7BC29932"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Reporting biases: Present assessments of risk of bias due to missing results (arising from reporting bias) for each synthesis assessed.</w:t>
            </w:r>
          </w:p>
          <w:p w14:paraId="737C0ECB" w14:textId="5FF6750E"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3.6 presents funnel plot assessment (described as generally symmetrical) and Egger's test result (p = 0.21, no</w:t>
            </w:r>
            <w:r w:rsidR="004906EA" w:rsidRPr="004416B5">
              <w:rPr>
                <w:rFonts w:ascii="Times New Roman" w:hAnsi="Times New Roman" w:cs="Times New Roman"/>
                <w:color w:val="000000" w:themeColor="text1"/>
                <w:sz w:val="24"/>
                <w:szCs w:val="24"/>
              </w:rPr>
              <w:t>n-significant). The possibility of unpublished null-effect studies is explicitly acknowledged. Funnel plot referenced (Figure 4).</w:t>
            </w:r>
          </w:p>
        </w:tc>
        <w:tc>
          <w:tcPr>
            <w:tcW w:w="2300" w:type="dxa"/>
          </w:tcPr>
          <w:p w14:paraId="795076DB"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3.6; Figure 4</w:t>
            </w:r>
          </w:p>
        </w:tc>
      </w:tr>
      <w:tr w:rsidR="00AF791D" w:rsidRPr="004416B5" w14:paraId="6F287E2F" w14:textId="77777777" w:rsidTr="00AF791D">
        <w:tc>
          <w:tcPr>
            <w:tcW w:w="1200" w:type="dxa"/>
          </w:tcPr>
          <w:p w14:paraId="7895A3CB"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RESULTS</w:t>
            </w:r>
          </w:p>
        </w:tc>
        <w:tc>
          <w:tcPr>
            <w:tcW w:w="700" w:type="dxa"/>
          </w:tcPr>
          <w:p w14:paraId="1FB9891A"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23</w:t>
            </w:r>
          </w:p>
        </w:tc>
        <w:tc>
          <w:tcPr>
            <w:tcW w:w="5160" w:type="dxa"/>
          </w:tcPr>
          <w:p w14:paraId="2BCD62B8"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Certainty of evidence: Present assessments of certainty (or confidence) in the body of evidence for each outcome assessed.</w:t>
            </w:r>
          </w:p>
          <w:p w14:paraId="0150F022" w14:textId="67FE6F6D"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Table 4 (GRADE Summary of Findings) presents certainty ratings for all five outcome domains: MODERATE (self-management </w:t>
            </w:r>
            <w:proofErr w:type="spellStart"/>
            <w:r w:rsidR="004906EA" w:rsidRPr="004416B5">
              <w:rPr>
                <w:rFonts w:ascii="Times New Roman" w:hAnsi="Times New Roman" w:cs="Times New Roman"/>
                <w:color w:val="000000" w:themeColor="text1"/>
                <w:sz w:val="24"/>
                <w:szCs w:val="24"/>
              </w:rPr>
              <w:t>behaviors</w:t>
            </w:r>
            <w:proofErr w:type="spellEnd"/>
            <w:r w:rsidR="004906EA" w:rsidRPr="004416B5">
              <w:rPr>
                <w:rFonts w:ascii="Times New Roman" w:hAnsi="Times New Roman" w:cs="Times New Roman"/>
                <w:color w:val="000000" w:themeColor="text1"/>
                <w:sz w:val="24"/>
                <w:szCs w:val="24"/>
              </w:rPr>
              <w:t xml:space="preserve"> pr</w:t>
            </w:r>
            <w:r w:rsidR="004906EA" w:rsidRPr="004416B5">
              <w:rPr>
                <w:rFonts w:ascii="Times New Roman" w:hAnsi="Times New Roman" w:cs="Times New Roman"/>
                <w:color w:val="000000" w:themeColor="text1"/>
                <w:sz w:val="24"/>
                <w:szCs w:val="24"/>
              </w:rPr>
              <w:t>imary; psychological outcomes; clinical outcomes), LOW (</w:t>
            </w:r>
            <w:proofErr w:type="spellStart"/>
            <w:r w:rsidR="004906EA" w:rsidRPr="004416B5">
              <w:rPr>
                <w:rFonts w:ascii="Times New Roman" w:hAnsi="Times New Roman" w:cs="Times New Roman"/>
                <w:color w:val="000000" w:themeColor="text1"/>
                <w:sz w:val="24"/>
                <w:szCs w:val="24"/>
              </w:rPr>
              <w:t>HRQoL</w:t>
            </w:r>
            <w:proofErr w:type="spellEnd"/>
            <w:r w:rsidR="004906EA" w:rsidRPr="004416B5">
              <w:rPr>
                <w:rFonts w:ascii="Times New Roman" w:hAnsi="Times New Roman" w:cs="Times New Roman"/>
                <w:color w:val="000000" w:themeColor="text1"/>
                <w:sz w:val="24"/>
                <w:szCs w:val="24"/>
              </w:rPr>
              <w:t>; healthcare utilization). Detailed rationale for downgrading is provided for each domain.</w:t>
            </w:r>
          </w:p>
        </w:tc>
        <w:tc>
          <w:tcPr>
            <w:tcW w:w="2300" w:type="dxa"/>
          </w:tcPr>
          <w:p w14:paraId="1919002D"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Table 4; §3.8</w:t>
            </w:r>
          </w:p>
        </w:tc>
      </w:tr>
      <w:tr w:rsidR="00AF791D" w:rsidRPr="004416B5" w14:paraId="19272EC4" w14:textId="77777777" w:rsidTr="00AF791D">
        <w:tc>
          <w:tcPr>
            <w:tcW w:w="0" w:type="auto"/>
            <w:gridSpan w:val="4"/>
          </w:tcPr>
          <w:p w14:paraId="7F7DD37C"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DISCUSSION</w:t>
            </w:r>
          </w:p>
        </w:tc>
      </w:tr>
      <w:tr w:rsidR="00AF791D" w:rsidRPr="004416B5" w14:paraId="0CAB11AE" w14:textId="77777777" w:rsidTr="00AF791D">
        <w:tc>
          <w:tcPr>
            <w:tcW w:w="1200" w:type="dxa"/>
          </w:tcPr>
          <w:p w14:paraId="0F39CC47"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DISCUSSION</w:t>
            </w:r>
          </w:p>
        </w:tc>
        <w:tc>
          <w:tcPr>
            <w:tcW w:w="700" w:type="dxa"/>
          </w:tcPr>
          <w:p w14:paraId="375E86AD"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24</w:t>
            </w:r>
          </w:p>
        </w:tc>
        <w:tc>
          <w:tcPr>
            <w:tcW w:w="5160" w:type="dxa"/>
          </w:tcPr>
          <w:p w14:paraId="40616E3E"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Discussion: Provide a general interpretation of the results in the context of other evidence; discuss any limitations of the evidence included in the review; discuss any limitations of the review processes used; discuss implications of the results for prac</w:t>
            </w:r>
            <w:r w:rsidRPr="004416B5">
              <w:rPr>
                <w:rFonts w:ascii="Times New Roman" w:hAnsi="Times New Roman" w:cs="Times New Roman"/>
                <w:color w:val="000000" w:themeColor="text1"/>
                <w:sz w:val="24"/>
                <w:szCs w:val="24"/>
              </w:rPr>
              <w:t>tice, policy, and future research.</w:t>
            </w:r>
          </w:p>
          <w:p w14:paraId="74CF20BA" w14:textId="0F5B14E3"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4.1 interprets principal findings in </w:t>
            </w:r>
            <w:r w:rsidRPr="004416B5">
              <w:rPr>
                <w:rFonts w:ascii="Times New Roman" w:hAnsi="Times New Roman" w:cs="Times New Roman"/>
                <w:color w:val="000000" w:themeColor="text1"/>
                <w:sz w:val="24"/>
                <w:szCs w:val="24"/>
              </w:rPr>
              <w:t xml:space="preserve">the </w:t>
            </w:r>
            <w:r w:rsidR="004906EA" w:rsidRPr="004416B5">
              <w:rPr>
                <w:rFonts w:ascii="Times New Roman" w:hAnsi="Times New Roman" w:cs="Times New Roman"/>
                <w:color w:val="000000" w:themeColor="text1"/>
                <w:sz w:val="24"/>
                <w:szCs w:val="24"/>
              </w:rPr>
              <w:t>context of prior reviews (</w:t>
            </w:r>
            <w:proofErr w:type="spellStart"/>
            <w:r w:rsidR="004906EA" w:rsidRPr="004416B5">
              <w:rPr>
                <w:rFonts w:ascii="Times New Roman" w:hAnsi="Times New Roman" w:cs="Times New Roman"/>
                <w:color w:val="000000" w:themeColor="text1"/>
                <w:sz w:val="24"/>
                <w:szCs w:val="24"/>
              </w:rPr>
              <w:t>Nieuwlaat</w:t>
            </w:r>
            <w:proofErr w:type="spellEnd"/>
            <w:r w:rsidR="004906EA" w:rsidRPr="004416B5">
              <w:rPr>
                <w:rFonts w:ascii="Times New Roman" w:hAnsi="Times New Roman" w:cs="Times New Roman"/>
                <w:color w:val="000000" w:themeColor="text1"/>
                <w:sz w:val="24"/>
                <w:szCs w:val="24"/>
              </w:rPr>
              <w:t xml:space="preserve"> et al., 2014; McGrady et al., 2018). Section 4.2 </w:t>
            </w:r>
            <w:r w:rsidR="004906EA" w:rsidRPr="004416B5">
              <w:rPr>
                <w:rFonts w:ascii="Times New Roman" w:hAnsi="Times New Roman" w:cs="Times New Roman"/>
                <w:color w:val="000000" w:themeColor="text1"/>
                <w:sz w:val="24"/>
                <w:szCs w:val="24"/>
              </w:rPr>
              <w:lastRenderedPageBreak/>
              <w:t xml:space="preserve">interprets findings through </w:t>
            </w:r>
            <w:proofErr w:type="spellStart"/>
            <w:r w:rsidR="004906EA" w:rsidRPr="004416B5">
              <w:rPr>
                <w:rFonts w:ascii="Times New Roman" w:hAnsi="Times New Roman" w:cs="Times New Roman"/>
                <w:color w:val="000000" w:themeColor="text1"/>
                <w:sz w:val="24"/>
                <w:szCs w:val="24"/>
              </w:rPr>
              <w:t>behavioral</w:t>
            </w:r>
            <w:proofErr w:type="spellEnd"/>
            <w:r w:rsidR="004906EA" w:rsidRPr="004416B5">
              <w:rPr>
                <w:rFonts w:ascii="Times New Roman" w:hAnsi="Times New Roman" w:cs="Times New Roman"/>
                <w:color w:val="000000" w:themeColor="text1"/>
                <w:sz w:val="24"/>
                <w:szCs w:val="24"/>
              </w:rPr>
              <w:t xml:space="preserve"> economics theory. Section 4.3 discusses practice i</w:t>
            </w:r>
            <w:r w:rsidR="004906EA" w:rsidRPr="004416B5">
              <w:rPr>
                <w:rFonts w:ascii="Times New Roman" w:hAnsi="Times New Roman" w:cs="Times New Roman"/>
                <w:color w:val="000000" w:themeColor="text1"/>
                <w:sz w:val="24"/>
                <w:szCs w:val="24"/>
              </w:rPr>
              <w:t>mplications. Section 4.4 addresses cultural and contextual factors. Section 4.5 lists seven enumerated methodological limitations. Sections 4.6 and 5.1–5.2 address implications for practice, policy, and future research.</w:t>
            </w:r>
          </w:p>
        </w:tc>
        <w:tc>
          <w:tcPr>
            <w:tcW w:w="2300" w:type="dxa"/>
          </w:tcPr>
          <w:p w14:paraId="49278877"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lastRenderedPageBreak/>
              <w:t>Sections 4.1–4.6; 5.1–5.2</w:t>
            </w:r>
          </w:p>
        </w:tc>
      </w:tr>
      <w:tr w:rsidR="00AF791D" w:rsidRPr="004416B5" w14:paraId="24D22BE2" w14:textId="77777777" w:rsidTr="00AF791D">
        <w:tc>
          <w:tcPr>
            <w:tcW w:w="0" w:type="auto"/>
            <w:gridSpan w:val="4"/>
          </w:tcPr>
          <w:p w14:paraId="19D1E886"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OTHER INFORMATION</w:t>
            </w:r>
          </w:p>
        </w:tc>
      </w:tr>
      <w:tr w:rsidR="00AF791D" w:rsidRPr="004416B5" w14:paraId="1A3CD54E" w14:textId="77777777" w:rsidTr="00AF791D">
        <w:tc>
          <w:tcPr>
            <w:tcW w:w="1200" w:type="dxa"/>
          </w:tcPr>
          <w:p w14:paraId="2DEA305B"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OTHER INFORMATION</w:t>
            </w:r>
          </w:p>
        </w:tc>
        <w:tc>
          <w:tcPr>
            <w:tcW w:w="700" w:type="dxa"/>
          </w:tcPr>
          <w:p w14:paraId="0C4DCFD4"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25</w:t>
            </w:r>
          </w:p>
        </w:tc>
        <w:tc>
          <w:tcPr>
            <w:tcW w:w="5160" w:type="dxa"/>
          </w:tcPr>
          <w:p w14:paraId="202AB768"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Registration and protocol: Provide registration information for the review, including register name and registration number, or state that the review was not registered.</w:t>
            </w:r>
          </w:p>
          <w:p w14:paraId="21CADDE2" w14:textId="4AD6FAD7"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Section 2.1 states prospective registration in PROSPERO with registration number CRD</w:t>
            </w:r>
            <w:r w:rsidR="004906EA" w:rsidRPr="004416B5">
              <w:rPr>
                <w:rFonts w:ascii="Times New Roman" w:hAnsi="Times New Roman" w:cs="Times New Roman"/>
                <w:color w:val="000000" w:themeColor="text1"/>
                <w:sz w:val="24"/>
                <w:szCs w:val="24"/>
              </w:rPr>
              <w:t xml:space="preserve">420251274173. </w:t>
            </w:r>
            <w:r w:rsidRPr="004416B5">
              <w:rPr>
                <w:rFonts w:ascii="Times New Roman" w:hAnsi="Times New Roman" w:cs="Times New Roman"/>
                <w:color w:val="000000" w:themeColor="text1"/>
                <w:sz w:val="24"/>
                <w:szCs w:val="24"/>
              </w:rPr>
              <w:t>The protocol</w:t>
            </w:r>
            <w:r w:rsidR="004906EA" w:rsidRPr="004416B5">
              <w:rPr>
                <w:rFonts w:ascii="Times New Roman" w:hAnsi="Times New Roman" w:cs="Times New Roman"/>
                <w:color w:val="000000" w:themeColor="text1"/>
                <w:sz w:val="24"/>
                <w:szCs w:val="24"/>
              </w:rPr>
              <w:t xml:space="preserve"> was finalized before data extraction.</w:t>
            </w:r>
          </w:p>
        </w:tc>
        <w:tc>
          <w:tcPr>
            <w:tcW w:w="2300" w:type="dxa"/>
          </w:tcPr>
          <w:p w14:paraId="7EAEFD6A"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Section 2.1; Abstract</w:t>
            </w:r>
          </w:p>
        </w:tc>
      </w:tr>
      <w:tr w:rsidR="00AF791D" w:rsidRPr="004416B5" w14:paraId="3FE18D96" w14:textId="77777777" w:rsidTr="00AF791D">
        <w:tc>
          <w:tcPr>
            <w:tcW w:w="1200" w:type="dxa"/>
          </w:tcPr>
          <w:p w14:paraId="2ACFC650"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OTHER INFORMATION</w:t>
            </w:r>
          </w:p>
        </w:tc>
        <w:tc>
          <w:tcPr>
            <w:tcW w:w="700" w:type="dxa"/>
          </w:tcPr>
          <w:p w14:paraId="7FF7AEA5"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26</w:t>
            </w:r>
          </w:p>
        </w:tc>
        <w:tc>
          <w:tcPr>
            <w:tcW w:w="5160" w:type="dxa"/>
          </w:tcPr>
          <w:p w14:paraId="5BF3EA00"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Support: Describe sources of financial or other support for the review; describe the role of the funders or sponsors in the review.</w:t>
            </w:r>
          </w:p>
          <w:p w14:paraId="3764D7CB" w14:textId="06D2C752"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w:t>
            </w:r>
            <w:r w:rsidRPr="004416B5">
              <w:rPr>
                <w:rFonts w:ascii="Times New Roman" w:hAnsi="Times New Roman" w:cs="Times New Roman"/>
                <w:color w:val="000000" w:themeColor="text1"/>
                <w:sz w:val="24"/>
                <w:szCs w:val="24"/>
              </w:rPr>
              <w:t>The declarations</w:t>
            </w:r>
            <w:r w:rsidR="004906EA" w:rsidRPr="004416B5">
              <w:rPr>
                <w:rFonts w:ascii="Times New Roman" w:hAnsi="Times New Roman" w:cs="Times New Roman"/>
                <w:color w:val="000000" w:themeColor="text1"/>
                <w:sz w:val="24"/>
                <w:szCs w:val="24"/>
              </w:rPr>
              <w:t xml:space="preserve"> section states: "This research was financially supported by M.L." and explicitly clarifies that the funder co</w:t>
            </w:r>
            <w:r w:rsidR="004906EA" w:rsidRPr="004416B5">
              <w:rPr>
                <w:rFonts w:ascii="Times New Roman" w:hAnsi="Times New Roman" w:cs="Times New Roman"/>
                <w:color w:val="000000" w:themeColor="text1"/>
                <w:sz w:val="24"/>
                <w:szCs w:val="24"/>
              </w:rPr>
              <w:t>ntributed to study supervision and methodological guidance only, with no role in data extraction, analysis, or interpretation.</w:t>
            </w:r>
          </w:p>
        </w:tc>
        <w:tc>
          <w:tcPr>
            <w:tcW w:w="2300" w:type="dxa"/>
          </w:tcPr>
          <w:p w14:paraId="32B75FC3"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Declarations</w:t>
            </w:r>
          </w:p>
        </w:tc>
      </w:tr>
      <w:tr w:rsidR="00AF791D" w:rsidRPr="004416B5" w14:paraId="311FD56E" w14:textId="77777777" w:rsidTr="00AF791D">
        <w:tc>
          <w:tcPr>
            <w:tcW w:w="1200" w:type="dxa"/>
          </w:tcPr>
          <w:p w14:paraId="4B0193DA"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OTHER INFORMATION</w:t>
            </w:r>
          </w:p>
        </w:tc>
        <w:tc>
          <w:tcPr>
            <w:tcW w:w="700" w:type="dxa"/>
          </w:tcPr>
          <w:p w14:paraId="1691DC4D"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27</w:t>
            </w:r>
          </w:p>
        </w:tc>
        <w:tc>
          <w:tcPr>
            <w:tcW w:w="5160" w:type="dxa"/>
          </w:tcPr>
          <w:p w14:paraId="74BD4219"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Competing interests: Declare any competing interests of review authors.</w:t>
            </w:r>
          </w:p>
          <w:p w14:paraId="1B9DA7E7" w14:textId="491B4637"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Pr="004416B5">
              <w:rPr>
                <w:rFonts w:ascii="Times New Roman" w:hAnsi="Times New Roman" w:cs="Times New Roman"/>
                <w:color w:val="000000" w:themeColor="text1"/>
                <w:sz w:val="24"/>
                <w:szCs w:val="24"/>
              </w:rPr>
              <w:t>The declarations</w:t>
            </w:r>
            <w:r w:rsidR="004906EA" w:rsidRPr="004416B5">
              <w:rPr>
                <w:rFonts w:ascii="Times New Roman" w:hAnsi="Times New Roman" w:cs="Times New Roman"/>
                <w:color w:val="000000" w:themeColor="text1"/>
                <w:sz w:val="24"/>
                <w:szCs w:val="24"/>
              </w:rPr>
              <w:t xml:space="preserve"> section explicitly states: "The authors declare no competing interests."</w:t>
            </w:r>
          </w:p>
        </w:tc>
        <w:tc>
          <w:tcPr>
            <w:tcW w:w="2300" w:type="dxa"/>
          </w:tcPr>
          <w:p w14:paraId="0A3F1546"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Declarations</w:t>
            </w:r>
          </w:p>
        </w:tc>
      </w:tr>
      <w:tr w:rsidR="00AF791D" w:rsidRPr="004416B5" w14:paraId="58D24F29" w14:textId="77777777" w:rsidTr="00AF791D">
        <w:tc>
          <w:tcPr>
            <w:tcW w:w="1200" w:type="dxa"/>
          </w:tcPr>
          <w:p w14:paraId="2D4B9CE0" w14:textId="77777777" w:rsidR="00E7028F" w:rsidRPr="004416B5" w:rsidRDefault="004906EA"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OTHER INFORMATION</w:t>
            </w:r>
          </w:p>
        </w:tc>
        <w:tc>
          <w:tcPr>
            <w:tcW w:w="700" w:type="dxa"/>
          </w:tcPr>
          <w:p w14:paraId="48CE14E4"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b/>
                <w:bCs/>
                <w:color w:val="000000" w:themeColor="text1"/>
                <w:sz w:val="24"/>
                <w:szCs w:val="24"/>
              </w:rPr>
              <w:t>28</w:t>
            </w:r>
          </w:p>
        </w:tc>
        <w:tc>
          <w:tcPr>
            <w:tcW w:w="5160" w:type="dxa"/>
          </w:tcPr>
          <w:p w14:paraId="25044EAA" w14:textId="77777777" w:rsidR="00E7028F" w:rsidRPr="004416B5" w:rsidRDefault="004906EA" w:rsidP="00AF791D">
            <w:pPr>
              <w:spacing w:after="40"/>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Availability of data, code, and other materials: Report which of the following are publicly available and where they can be found: template data collection forms; data extracted from included studies; data used for all analyses; analytic code; any other ma</w:t>
            </w:r>
            <w:r w:rsidRPr="004416B5">
              <w:rPr>
                <w:rFonts w:ascii="Times New Roman" w:hAnsi="Times New Roman" w:cs="Times New Roman"/>
                <w:color w:val="000000" w:themeColor="text1"/>
                <w:sz w:val="24"/>
                <w:szCs w:val="24"/>
              </w:rPr>
              <w:t>terials used in the review.</w:t>
            </w:r>
          </w:p>
          <w:p w14:paraId="314A8F73" w14:textId="6C523218" w:rsidR="00E7028F" w:rsidRPr="004416B5" w:rsidRDefault="004416B5" w:rsidP="00AF791D">
            <w:pP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lang w:val="en-US"/>
              </w:rPr>
              <w:t xml:space="preserve">      </w:t>
            </w:r>
            <w:r w:rsidR="004906EA" w:rsidRPr="004416B5">
              <w:rPr>
                <w:rFonts w:ascii="Times New Roman" w:hAnsi="Times New Roman" w:cs="Times New Roman"/>
                <w:color w:val="000000" w:themeColor="text1"/>
                <w:sz w:val="24"/>
                <w:szCs w:val="24"/>
              </w:rPr>
              <w:t xml:space="preserve"> </w:t>
            </w:r>
            <w:r w:rsidRPr="004416B5">
              <w:rPr>
                <w:rFonts w:ascii="Times New Roman" w:hAnsi="Times New Roman" w:cs="Times New Roman"/>
                <w:color w:val="000000" w:themeColor="text1"/>
                <w:sz w:val="24"/>
                <w:szCs w:val="24"/>
              </w:rPr>
              <w:t>The declarations</w:t>
            </w:r>
            <w:r w:rsidR="004906EA" w:rsidRPr="004416B5">
              <w:rPr>
                <w:rFonts w:ascii="Times New Roman" w:hAnsi="Times New Roman" w:cs="Times New Roman"/>
                <w:color w:val="000000" w:themeColor="text1"/>
                <w:sz w:val="24"/>
                <w:szCs w:val="24"/>
              </w:rPr>
              <w:t xml:space="preserve"> section states: "All data </w:t>
            </w:r>
            <w:proofErr w:type="spellStart"/>
            <w:r w:rsidR="004906EA" w:rsidRPr="004416B5">
              <w:rPr>
                <w:rFonts w:ascii="Times New Roman" w:hAnsi="Times New Roman" w:cs="Times New Roman"/>
                <w:color w:val="000000" w:themeColor="text1"/>
                <w:sz w:val="24"/>
                <w:szCs w:val="24"/>
              </w:rPr>
              <w:t>analyzed</w:t>
            </w:r>
            <w:proofErr w:type="spellEnd"/>
            <w:r w:rsidR="004906EA" w:rsidRPr="004416B5">
              <w:rPr>
                <w:rFonts w:ascii="Times New Roman" w:hAnsi="Times New Roman" w:cs="Times New Roman"/>
                <w:color w:val="000000" w:themeColor="text1"/>
                <w:sz w:val="24"/>
                <w:szCs w:val="24"/>
              </w:rPr>
              <w:t xml:space="preserve"> are from published articles cited in this review. Extracted datasets will be available from the corresponding author upon reasonable request." Note: </w:t>
            </w:r>
            <w:r w:rsidRPr="004416B5">
              <w:rPr>
                <w:rFonts w:ascii="Times New Roman" w:hAnsi="Times New Roman" w:cs="Times New Roman"/>
                <w:color w:val="000000" w:themeColor="text1"/>
                <w:sz w:val="24"/>
                <w:szCs w:val="24"/>
              </w:rPr>
              <w:t xml:space="preserve">a </w:t>
            </w:r>
            <w:r w:rsidR="004906EA" w:rsidRPr="004416B5">
              <w:rPr>
                <w:rFonts w:ascii="Times New Roman" w:hAnsi="Times New Roman" w:cs="Times New Roman"/>
                <w:color w:val="000000" w:themeColor="text1"/>
                <w:sz w:val="24"/>
                <w:szCs w:val="24"/>
              </w:rPr>
              <w:t>publicly accessible repositor</w:t>
            </w:r>
            <w:r w:rsidR="004906EA" w:rsidRPr="004416B5">
              <w:rPr>
                <w:rFonts w:ascii="Times New Roman" w:hAnsi="Times New Roman" w:cs="Times New Roman"/>
                <w:color w:val="000000" w:themeColor="text1"/>
                <w:sz w:val="24"/>
                <w:szCs w:val="24"/>
              </w:rPr>
              <w:t xml:space="preserve">y (e.g., OSF, </w:t>
            </w:r>
            <w:proofErr w:type="spellStart"/>
            <w:r w:rsidR="004906EA" w:rsidRPr="004416B5">
              <w:rPr>
                <w:rFonts w:ascii="Times New Roman" w:hAnsi="Times New Roman" w:cs="Times New Roman"/>
                <w:color w:val="000000" w:themeColor="text1"/>
                <w:sz w:val="24"/>
                <w:szCs w:val="24"/>
              </w:rPr>
              <w:t>Zenodo</w:t>
            </w:r>
            <w:proofErr w:type="spellEnd"/>
            <w:r w:rsidR="004906EA" w:rsidRPr="004416B5">
              <w:rPr>
                <w:rFonts w:ascii="Times New Roman" w:hAnsi="Times New Roman" w:cs="Times New Roman"/>
                <w:color w:val="000000" w:themeColor="text1"/>
                <w:sz w:val="24"/>
                <w:szCs w:val="24"/>
              </w:rPr>
              <w:t>) is not specified; authors may wish to consider depositing materials for fuller compliance.</w:t>
            </w:r>
          </w:p>
        </w:tc>
        <w:tc>
          <w:tcPr>
            <w:tcW w:w="2300" w:type="dxa"/>
          </w:tcPr>
          <w:p w14:paraId="146DF164" w14:textId="77777777" w:rsidR="00E7028F" w:rsidRPr="004416B5" w:rsidRDefault="004906EA" w:rsidP="00AF791D">
            <w:pPr>
              <w:jc w:val="center"/>
              <w:rPr>
                <w:rFonts w:ascii="Times New Roman" w:hAnsi="Times New Roman" w:cs="Times New Roman"/>
                <w:color w:val="000000" w:themeColor="text1"/>
                <w:sz w:val="24"/>
                <w:szCs w:val="24"/>
              </w:rPr>
            </w:pPr>
            <w:r w:rsidRPr="004416B5">
              <w:rPr>
                <w:rFonts w:ascii="Times New Roman" w:hAnsi="Times New Roman" w:cs="Times New Roman"/>
                <w:color w:val="000000" w:themeColor="text1"/>
                <w:sz w:val="24"/>
                <w:szCs w:val="24"/>
              </w:rPr>
              <w:t>Declarations</w:t>
            </w:r>
          </w:p>
        </w:tc>
      </w:tr>
    </w:tbl>
    <w:p w14:paraId="1733BCD3" w14:textId="77777777" w:rsidR="00E7028F" w:rsidRPr="00AF791D" w:rsidRDefault="00E7028F" w:rsidP="00AF791D">
      <w:pPr>
        <w:spacing w:before="300" w:after="60"/>
        <w:rPr>
          <w:rFonts w:ascii="Times New Roman" w:hAnsi="Times New Roman" w:cs="Times New Roman"/>
          <w:color w:val="000000" w:themeColor="text1"/>
        </w:rPr>
      </w:pPr>
    </w:p>
    <w:p w14:paraId="36DFB7D4" w14:textId="77777777" w:rsidR="00E7028F" w:rsidRPr="00AF791D" w:rsidRDefault="004906EA" w:rsidP="00AF791D">
      <w:pPr>
        <w:spacing w:after="60"/>
        <w:rPr>
          <w:rFonts w:ascii="Times New Roman" w:hAnsi="Times New Roman" w:cs="Times New Roman"/>
          <w:color w:val="000000" w:themeColor="text1"/>
        </w:rPr>
      </w:pPr>
      <w:r w:rsidRPr="00AF791D">
        <w:rPr>
          <w:rFonts w:ascii="Times New Roman" w:hAnsi="Times New Roman" w:cs="Times New Roman"/>
          <w:b/>
          <w:bCs/>
          <w:color w:val="000000" w:themeColor="text1"/>
          <w:sz w:val="22"/>
          <w:szCs w:val="22"/>
        </w:rPr>
        <w:t>COMPLIANCE SUMMARY</w:t>
      </w:r>
    </w:p>
    <w:p w14:paraId="3F9C1D4D" w14:textId="77777777" w:rsidR="00E7028F" w:rsidRPr="00AF791D" w:rsidRDefault="004906EA" w:rsidP="00AF791D">
      <w:pPr>
        <w:spacing w:after="40"/>
        <w:rPr>
          <w:rFonts w:ascii="Times New Roman" w:hAnsi="Times New Roman" w:cs="Times New Roman"/>
          <w:color w:val="000000" w:themeColor="text1"/>
          <w:sz w:val="24"/>
          <w:szCs w:val="24"/>
        </w:rPr>
      </w:pPr>
      <w:r w:rsidRPr="00AF791D">
        <w:rPr>
          <w:rFonts w:ascii="Times New Roman" w:hAnsi="Times New Roman" w:cs="Times New Roman"/>
          <w:color w:val="000000" w:themeColor="text1"/>
          <w:sz w:val="24"/>
          <w:szCs w:val="24"/>
        </w:rPr>
        <w:t>Overall: 27/28 items fully compliant (</w:t>
      </w:r>
      <w:r w:rsidRPr="00AF791D">
        <w:rPr>
          <w:rFonts w:ascii="Segoe UI Emoji" w:hAnsi="Segoe UI Emoji" w:cs="Segoe UI Emoji"/>
          <w:color w:val="000000" w:themeColor="text1"/>
          <w:sz w:val="24"/>
          <w:szCs w:val="24"/>
        </w:rPr>
        <w:t>✅</w:t>
      </w:r>
      <w:r w:rsidRPr="00AF791D">
        <w:rPr>
          <w:rFonts w:ascii="Times New Roman" w:hAnsi="Times New Roman" w:cs="Times New Roman"/>
          <w:color w:val="000000" w:themeColor="text1"/>
          <w:sz w:val="24"/>
          <w:szCs w:val="24"/>
        </w:rPr>
        <w:t>). 1 item partially compliant (</w:t>
      </w:r>
      <w:r w:rsidRPr="00AF791D">
        <w:rPr>
          <w:rFonts w:ascii="Segoe UI Emoji" w:hAnsi="Segoe UI Emoji" w:cs="Segoe UI Emoji"/>
          <w:color w:val="000000" w:themeColor="text1"/>
          <w:sz w:val="24"/>
          <w:szCs w:val="24"/>
        </w:rPr>
        <w:t>⚠</w:t>
      </w:r>
      <w:r w:rsidRPr="00AF791D">
        <w:rPr>
          <w:rFonts w:ascii="Times New Roman" w:hAnsi="Times New Roman" w:cs="Times New Roman"/>
          <w:color w:val="000000" w:themeColor="text1"/>
          <w:sz w:val="24"/>
          <w:szCs w:val="24"/>
        </w:rPr>
        <w:t>️</w:t>
      </w:r>
      <w:r w:rsidRPr="00AF791D">
        <w:rPr>
          <w:rFonts w:ascii="Times New Roman" w:hAnsi="Times New Roman" w:cs="Times New Roman"/>
          <w:color w:val="000000" w:themeColor="text1"/>
          <w:sz w:val="24"/>
          <w:szCs w:val="24"/>
        </w:rPr>
        <w:t>).</w:t>
      </w:r>
    </w:p>
    <w:p w14:paraId="631CF248" w14:textId="001E4825" w:rsidR="00E7028F" w:rsidRPr="00AF791D" w:rsidRDefault="004906EA" w:rsidP="00AF791D">
      <w:pPr>
        <w:spacing w:after="40"/>
        <w:rPr>
          <w:rFonts w:ascii="Times New Roman" w:hAnsi="Times New Roman" w:cs="Times New Roman"/>
          <w:color w:val="000000" w:themeColor="text1"/>
          <w:sz w:val="24"/>
          <w:szCs w:val="24"/>
        </w:rPr>
      </w:pPr>
      <w:r w:rsidRPr="00AF791D">
        <w:rPr>
          <w:rFonts w:ascii="Times New Roman" w:hAnsi="Times New Roman" w:cs="Times New Roman"/>
          <w:color w:val="000000" w:themeColor="text1"/>
          <w:sz w:val="24"/>
          <w:szCs w:val="24"/>
        </w:rPr>
        <w:t>Item 19 (Risk of bias in studies): Risk of bias assessments are applied in sensitivity analyses and inform GRADE ratings</w:t>
      </w:r>
      <w:r w:rsidR="00AF791D" w:rsidRPr="00AF791D">
        <w:rPr>
          <w:rFonts w:ascii="Times New Roman" w:hAnsi="Times New Roman" w:cs="Times New Roman"/>
          <w:color w:val="000000" w:themeColor="text1"/>
          <w:sz w:val="24"/>
          <w:szCs w:val="24"/>
        </w:rPr>
        <w:t>,</w:t>
      </w:r>
      <w:r w:rsidRPr="00AF791D">
        <w:rPr>
          <w:rFonts w:ascii="Times New Roman" w:hAnsi="Times New Roman" w:cs="Times New Roman"/>
          <w:color w:val="000000" w:themeColor="text1"/>
          <w:sz w:val="24"/>
          <w:szCs w:val="24"/>
        </w:rPr>
        <w:t xml:space="preserve"> but are not presented as a dedicated per-study summary table</w:t>
      </w:r>
      <w:r w:rsidRPr="00AF791D">
        <w:rPr>
          <w:rFonts w:ascii="Times New Roman" w:hAnsi="Times New Roman" w:cs="Times New Roman"/>
          <w:color w:val="000000" w:themeColor="text1"/>
          <w:sz w:val="24"/>
          <w:szCs w:val="24"/>
        </w:rPr>
        <w:t xml:space="preserve"> (e.g., </w:t>
      </w:r>
      <w:proofErr w:type="spellStart"/>
      <w:r w:rsidRPr="00AF791D">
        <w:rPr>
          <w:rFonts w:ascii="Times New Roman" w:hAnsi="Times New Roman" w:cs="Times New Roman"/>
          <w:color w:val="000000" w:themeColor="text1"/>
          <w:sz w:val="24"/>
          <w:szCs w:val="24"/>
        </w:rPr>
        <w:t>RoB</w:t>
      </w:r>
      <w:proofErr w:type="spellEnd"/>
      <w:r w:rsidRPr="00AF791D">
        <w:rPr>
          <w:rFonts w:ascii="Times New Roman" w:hAnsi="Times New Roman" w:cs="Times New Roman"/>
          <w:color w:val="000000" w:themeColor="text1"/>
          <w:sz w:val="24"/>
          <w:szCs w:val="24"/>
        </w:rPr>
        <w:t xml:space="preserve"> 2 traffic-light table). Authors are recommended to add a formal risk of bias summary table in the supplementary materials.</w:t>
      </w:r>
    </w:p>
    <w:p w14:paraId="67CA3FBB" w14:textId="77777777" w:rsidR="00AF791D" w:rsidRPr="00AF791D" w:rsidRDefault="00AF791D" w:rsidP="00AF791D">
      <w:pPr>
        <w:spacing w:after="40"/>
        <w:rPr>
          <w:rFonts w:ascii="Times New Roman" w:hAnsi="Times New Roman" w:cs="Times New Roman"/>
          <w:b/>
          <w:bCs/>
          <w:color w:val="000000" w:themeColor="text1"/>
          <w:sz w:val="24"/>
          <w:szCs w:val="24"/>
        </w:rPr>
      </w:pPr>
    </w:p>
    <w:p w14:paraId="68878FCB" w14:textId="54FBDFD8" w:rsidR="00E7028F" w:rsidRPr="00AF791D" w:rsidRDefault="004906EA" w:rsidP="00AF791D">
      <w:pPr>
        <w:spacing w:after="40"/>
        <w:rPr>
          <w:rFonts w:ascii="Times New Roman" w:hAnsi="Times New Roman" w:cs="Times New Roman"/>
          <w:color w:val="000000" w:themeColor="text1"/>
          <w:sz w:val="24"/>
          <w:szCs w:val="24"/>
        </w:rPr>
      </w:pPr>
      <w:r w:rsidRPr="00AF791D">
        <w:rPr>
          <w:rFonts w:ascii="Times New Roman" w:hAnsi="Times New Roman" w:cs="Times New Roman"/>
          <w:b/>
          <w:bCs/>
          <w:color w:val="000000" w:themeColor="text1"/>
          <w:sz w:val="24"/>
          <w:szCs w:val="24"/>
        </w:rPr>
        <w:t xml:space="preserve">Minor Recommendation (Item 28): </w:t>
      </w:r>
      <w:r w:rsidRPr="00AF791D">
        <w:rPr>
          <w:rFonts w:ascii="Times New Roman" w:hAnsi="Times New Roman" w:cs="Times New Roman"/>
          <w:color w:val="000000" w:themeColor="text1"/>
          <w:sz w:val="24"/>
          <w:szCs w:val="24"/>
        </w:rPr>
        <w:t xml:space="preserve">The data availability statement notes </w:t>
      </w:r>
      <w:r w:rsidR="00AF791D" w:rsidRPr="00AF791D">
        <w:rPr>
          <w:rFonts w:ascii="Times New Roman" w:hAnsi="Times New Roman" w:cs="Times New Roman"/>
          <w:color w:val="000000" w:themeColor="text1"/>
          <w:sz w:val="24"/>
          <w:szCs w:val="24"/>
        </w:rPr>
        <w:t xml:space="preserve">that </w:t>
      </w:r>
      <w:r w:rsidRPr="00AF791D">
        <w:rPr>
          <w:rFonts w:ascii="Times New Roman" w:hAnsi="Times New Roman" w:cs="Times New Roman"/>
          <w:color w:val="000000" w:themeColor="text1"/>
          <w:sz w:val="24"/>
          <w:szCs w:val="24"/>
        </w:rPr>
        <w:t>extracted datasets are available from the correspon</w:t>
      </w:r>
      <w:r w:rsidRPr="00AF791D">
        <w:rPr>
          <w:rFonts w:ascii="Times New Roman" w:hAnsi="Times New Roman" w:cs="Times New Roman"/>
          <w:color w:val="000000" w:themeColor="text1"/>
          <w:sz w:val="24"/>
          <w:szCs w:val="24"/>
        </w:rPr>
        <w:t xml:space="preserve">ding author upon request. For full open-science compliance, authors may consider depositing materials in a public repository (e.g., OSF, </w:t>
      </w:r>
      <w:proofErr w:type="spellStart"/>
      <w:r w:rsidRPr="00AF791D">
        <w:rPr>
          <w:rFonts w:ascii="Times New Roman" w:hAnsi="Times New Roman" w:cs="Times New Roman"/>
          <w:color w:val="000000" w:themeColor="text1"/>
          <w:sz w:val="24"/>
          <w:szCs w:val="24"/>
        </w:rPr>
        <w:t>Zenodo</w:t>
      </w:r>
      <w:proofErr w:type="spellEnd"/>
      <w:r w:rsidRPr="00AF791D">
        <w:rPr>
          <w:rFonts w:ascii="Times New Roman" w:hAnsi="Times New Roman" w:cs="Times New Roman"/>
          <w:color w:val="000000" w:themeColor="text1"/>
          <w:sz w:val="24"/>
          <w:szCs w:val="24"/>
        </w:rPr>
        <w:t xml:space="preserve">, </w:t>
      </w:r>
      <w:proofErr w:type="spellStart"/>
      <w:r w:rsidRPr="00AF791D">
        <w:rPr>
          <w:rFonts w:ascii="Times New Roman" w:hAnsi="Times New Roman" w:cs="Times New Roman"/>
          <w:color w:val="000000" w:themeColor="text1"/>
          <w:sz w:val="24"/>
          <w:szCs w:val="24"/>
        </w:rPr>
        <w:t>Figshare</w:t>
      </w:r>
      <w:proofErr w:type="spellEnd"/>
      <w:r w:rsidRPr="00AF791D">
        <w:rPr>
          <w:rFonts w:ascii="Times New Roman" w:hAnsi="Times New Roman" w:cs="Times New Roman"/>
          <w:color w:val="000000" w:themeColor="text1"/>
          <w:sz w:val="24"/>
          <w:szCs w:val="24"/>
        </w:rPr>
        <w:t>).</w:t>
      </w:r>
    </w:p>
    <w:p w14:paraId="33A43E35" w14:textId="629C3EFB" w:rsidR="00E7028F" w:rsidRPr="00AF791D" w:rsidRDefault="004906EA" w:rsidP="00AF791D">
      <w:pPr>
        <w:spacing w:before="120" w:after="40"/>
        <w:rPr>
          <w:rFonts w:ascii="Times New Roman" w:hAnsi="Times New Roman" w:cs="Times New Roman"/>
          <w:color w:val="000000" w:themeColor="text1"/>
          <w:sz w:val="24"/>
          <w:szCs w:val="24"/>
        </w:rPr>
      </w:pPr>
      <w:r w:rsidRPr="00AF791D">
        <w:rPr>
          <w:rFonts w:ascii="Times New Roman" w:hAnsi="Times New Roman" w:cs="Times New Roman"/>
          <w:color w:val="000000" w:themeColor="text1"/>
          <w:sz w:val="24"/>
          <w:szCs w:val="24"/>
        </w:rPr>
        <w:t>This checklist was completed based on the PRISMA 2020 statement (Page et al., BMJ 2021;</w:t>
      </w:r>
      <w:proofErr w:type="gramStart"/>
      <w:r w:rsidRPr="00AF791D">
        <w:rPr>
          <w:rFonts w:ascii="Times New Roman" w:hAnsi="Times New Roman" w:cs="Times New Roman"/>
          <w:color w:val="000000" w:themeColor="text1"/>
          <w:sz w:val="24"/>
          <w:szCs w:val="24"/>
        </w:rPr>
        <w:t>372:n</w:t>
      </w:r>
      <w:proofErr w:type="gramEnd"/>
      <w:r w:rsidRPr="00AF791D">
        <w:rPr>
          <w:rFonts w:ascii="Times New Roman" w:hAnsi="Times New Roman" w:cs="Times New Roman"/>
          <w:color w:val="000000" w:themeColor="text1"/>
          <w:sz w:val="24"/>
          <w:szCs w:val="24"/>
        </w:rPr>
        <w:t>71). For</w:t>
      </w:r>
      <w:r w:rsidRPr="00AF791D">
        <w:rPr>
          <w:rFonts w:ascii="Times New Roman" w:hAnsi="Times New Roman" w:cs="Times New Roman"/>
          <w:color w:val="000000" w:themeColor="text1"/>
          <w:sz w:val="24"/>
          <w:szCs w:val="24"/>
        </w:rPr>
        <w:t xml:space="preserve"> systematic reviews with meta-analysis, all 27 applicable items plus the abstract item are addressed. Items specific to network meta-analysis (items for indirect comparisons) </w:t>
      </w:r>
      <w:r w:rsidR="00AF791D" w:rsidRPr="00AF791D">
        <w:rPr>
          <w:rFonts w:ascii="Times New Roman" w:hAnsi="Times New Roman" w:cs="Times New Roman"/>
          <w:color w:val="000000" w:themeColor="text1"/>
          <w:sz w:val="24"/>
          <w:szCs w:val="24"/>
        </w:rPr>
        <w:t>do not apply</w:t>
      </w:r>
      <w:r w:rsidRPr="00AF791D">
        <w:rPr>
          <w:rFonts w:ascii="Times New Roman" w:hAnsi="Times New Roman" w:cs="Times New Roman"/>
          <w:color w:val="000000" w:themeColor="text1"/>
          <w:sz w:val="24"/>
          <w:szCs w:val="24"/>
        </w:rPr>
        <w:t xml:space="preserve"> to this review.</w:t>
      </w:r>
    </w:p>
    <w:sectPr w:rsidR="00E7028F" w:rsidRPr="00AF791D">
      <w:pgSz w:w="15840" w:h="122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6768AE"/>
    <w:multiLevelType w:val="hybridMultilevel"/>
    <w:tmpl w:val="6D96AE20"/>
    <w:lvl w:ilvl="0" w:tplc="7D7092E4">
      <w:start w:val="1"/>
      <w:numFmt w:val="bullet"/>
      <w:lvlText w:val="●"/>
      <w:lvlJc w:val="left"/>
      <w:pPr>
        <w:ind w:left="720" w:hanging="360"/>
      </w:pPr>
    </w:lvl>
    <w:lvl w:ilvl="1" w:tplc="D17E6D8C">
      <w:start w:val="1"/>
      <w:numFmt w:val="bullet"/>
      <w:lvlText w:val="○"/>
      <w:lvlJc w:val="left"/>
      <w:pPr>
        <w:ind w:left="1440" w:hanging="360"/>
      </w:pPr>
    </w:lvl>
    <w:lvl w:ilvl="2" w:tplc="0E5E7A52">
      <w:start w:val="1"/>
      <w:numFmt w:val="bullet"/>
      <w:lvlText w:val="■"/>
      <w:lvlJc w:val="left"/>
      <w:pPr>
        <w:ind w:left="2160" w:hanging="360"/>
      </w:pPr>
    </w:lvl>
    <w:lvl w:ilvl="3" w:tplc="F8BAB97C">
      <w:start w:val="1"/>
      <w:numFmt w:val="bullet"/>
      <w:lvlText w:val="●"/>
      <w:lvlJc w:val="left"/>
      <w:pPr>
        <w:ind w:left="2880" w:hanging="360"/>
      </w:pPr>
    </w:lvl>
    <w:lvl w:ilvl="4" w:tplc="76AAE6DA">
      <w:start w:val="1"/>
      <w:numFmt w:val="bullet"/>
      <w:lvlText w:val="○"/>
      <w:lvlJc w:val="left"/>
      <w:pPr>
        <w:ind w:left="3600" w:hanging="360"/>
      </w:pPr>
    </w:lvl>
    <w:lvl w:ilvl="5" w:tplc="F67486D4">
      <w:start w:val="1"/>
      <w:numFmt w:val="bullet"/>
      <w:lvlText w:val="■"/>
      <w:lvlJc w:val="left"/>
      <w:pPr>
        <w:ind w:left="4320" w:hanging="360"/>
      </w:pPr>
    </w:lvl>
    <w:lvl w:ilvl="6" w:tplc="ED8256AA">
      <w:start w:val="1"/>
      <w:numFmt w:val="bullet"/>
      <w:lvlText w:val="●"/>
      <w:lvlJc w:val="left"/>
      <w:pPr>
        <w:ind w:left="5040" w:hanging="360"/>
      </w:pPr>
    </w:lvl>
    <w:lvl w:ilvl="7" w:tplc="082AA9F8">
      <w:start w:val="1"/>
      <w:numFmt w:val="bullet"/>
      <w:lvlText w:val="●"/>
      <w:lvlJc w:val="left"/>
      <w:pPr>
        <w:ind w:left="5760" w:hanging="360"/>
      </w:pPr>
    </w:lvl>
    <w:lvl w:ilvl="8" w:tplc="FD7033D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28F"/>
    <w:rsid w:val="0018462D"/>
    <w:rsid w:val="004416B5"/>
    <w:rsid w:val="004906EA"/>
    <w:rsid w:val="007F2E6C"/>
    <w:rsid w:val="00AF791D"/>
    <w:rsid w:val="00E55B81"/>
    <w:rsid w:val="00E7028F"/>
  </w:rsids>
  <m:mathPr>
    <m:mathFont m:val="Cambria Math"/>
    <m:brkBin m:val="before"/>
    <m:brkBinSub m:val="--"/>
    <m:smallFrac m:val="0"/>
    <m:dispDef/>
    <m:lMargin m:val="0"/>
    <m:rMargin m:val="0"/>
    <m:defJc m:val="centerGroup"/>
    <m:wrapIndent m:val="1440"/>
    <m:intLim m:val="subSup"/>
    <m:naryLim m:val="undOvr"/>
  </m:mathPr>
  <w:themeFontLang w:val="en-L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6BE73"/>
  <w15:docId w15:val="{743AA046-FCEE-4EED-9C6B-41F3193E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LR" w:eastAsia="en-L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4E79"/>
      <w:sz w:val="28"/>
      <w:szCs w:val="28"/>
    </w:rPr>
  </w:style>
  <w:style w:type="paragraph" w:styleId="Heading2">
    <w:name w:val="heading 2"/>
    <w:uiPriority w:val="9"/>
    <w:semiHidden/>
    <w:unhideWhenUsed/>
    <w:qFormat/>
    <w:pPr>
      <w:spacing w:before="180" w:after="80"/>
      <w:outlineLvl w:val="1"/>
    </w:pPr>
    <w:rPr>
      <w:b/>
      <w:bCs/>
      <w:color w:val="2E75B6"/>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AF7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416B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7</Pages>
  <Words>2178</Words>
  <Characters>12418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Jovinah</cp:lastModifiedBy>
  <cp:revision>3</cp:revision>
  <cp:lastPrinted>2026-04-26T18:45:00Z</cp:lastPrinted>
  <dcterms:created xsi:type="dcterms:W3CDTF">2026-04-25T09:52:00Z</dcterms:created>
  <dcterms:modified xsi:type="dcterms:W3CDTF">2026-04-27T13:59:00Z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ba74f839-8c20-41e6-b48a-a88d8a4463f1</vt:lpwstr>
  </property>
</Properties>
</file>