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DA741">
      <w:pPr>
        <w:spacing w:beforeLines="0" w:afterLines="0"/>
        <w:jc w:val="center"/>
        <w:rPr>
          <w:rFonts w:hint="default" w:ascii="Times New Roman" w:hAnsi="Times New Roman" w:cs="Times New Roman" w:eastAsiaTheme="minorEastAsia"/>
          <w:color w:val="auto"/>
          <w:kern w:val="0"/>
          <w:sz w:val="28"/>
          <w:szCs w:val="28"/>
          <w:vertAlign w:val="baseline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color w:val="auto"/>
          <w:kern w:val="0"/>
          <w:sz w:val="28"/>
          <w:szCs w:val="28"/>
          <w:vertAlign w:val="baseline"/>
          <w:lang w:val="en-US" w:eastAsia="zh-CN" w:bidi="ar"/>
        </w:rPr>
        <w:t xml:space="preserve">Detailed </w:t>
      </w:r>
      <w:r>
        <w:rPr>
          <w:rFonts w:hint="eastAsia" w:ascii="Times New Roman" w:hAnsi="Times New Roman" w:cs="Times New Roman" w:eastAsiaTheme="minorEastAsia"/>
          <w:color w:val="auto"/>
          <w:kern w:val="0"/>
          <w:sz w:val="28"/>
          <w:szCs w:val="28"/>
          <w:vertAlign w:val="baseline"/>
          <w:lang w:val="en-US" w:eastAsia="zh-CN" w:bidi="ar"/>
        </w:rPr>
        <w:t>R</w:t>
      </w:r>
      <w:r>
        <w:rPr>
          <w:rFonts w:hint="default" w:ascii="Times New Roman" w:hAnsi="Times New Roman" w:cs="Times New Roman" w:eastAsiaTheme="minorEastAsia"/>
          <w:color w:val="auto"/>
          <w:kern w:val="0"/>
          <w:sz w:val="28"/>
          <w:szCs w:val="28"/>
          <w:vertAlign w:val="baseline"/>
          <w:lang w:val="en-US" w:eastAsia="zh-CN" w:bidi="ar"/>
        </w:rPr>
        <w:t xml:space="preserve">esults of the Kolmogorov–Smirnov </w:t>
      </w:r>
      <w:r>
        <w:rPr>
          <w:rFonts w:hint="eastAsia" w:ascii="Times New Roman" w:hAnsi="Times New Roman" w:cs="Times New Roman" w:eastAsiaTheme="minorEastAsia"/>
          <w:color w:val="auto"/>
          <w:kern w:val="0"/>
          <w:sz w:val="28"/>
          <w:szCs w:val="28"/>
          <w:vertAlign w:val="baseline"/>
          <w:lang w:val="en-US" w:eastAsia="zh-CN" w:bidi="ar"/>
        </w:rPr>
        <w:t>T</w:t>
      </w:r>
      <w:r>
        <w:rPr>
          <w:rFonts w:hint="default" w:ascii="Times New Roman" w:hAnsi="Times New Roman" w:cs="Times New Roman" w:eastAsiaTheme="minorEastAsia"/>
          <w:color w:val="auto"/>
          <w:kern w:val="0"/>
          <w:sz w:val="28"/>
          <w:szCs w:val="28"/>
          <w:vertAlign w:val="baseline"/>
          <w:lang w:val="en-US" w:eastAsia="zh-CN" w:bidi="ar"/>
        </w:rPr>
        <w:t xml:space="preserve">ests and Q–Q </w:t>
      </w:r>
      <w:r>
        <w:rPr>
          <w:rFonts w:hint="eastAsia" w:ascii="Times New Roman" w:hAnsi="Times New Roman" w:cs="Times New Roman" w:eastAsiaTheme="minorEastAsia"/>
          <w:color w:val="auto"/>
          <w:kern w:val="0"/>
          <w:sz w:val="28"/>
          <w:szCs w:val="28"/>
          <w:vertAlign w:val="baseline"/>
          <w:lang w:val="en-US" w:eastAsia="zh-CN" w:bidi="ar"/>
        </w:rPr>
        <w:t>P</w:t>
      </w:r>
      <w:r>
        <w:rPr>
          <w:rFonts w:hint="default" w:ascii="Times New Roman" w:hAnsi="Times New Roman" w:cs="Times New Roman" w:eastAsiaTheme="minorEastAsia"/>
          <w:color w:val="auto"/>
          <w:kern w:val="0"/>
          <w:sz w:val="28"/>
          <w:szCs w:val="28"/>
          <w:vertAlign w:val="baseline"/>
          <w:lang w:val="en-US" w:eastAsia="zh-CN" w:bidi="ar"/>
        </w:rPr>
        <w:t>lots</w:t>
      </w:r>
    </w:p>
    <w:p w14:paraId="456460F2">
      <w:pPr>
        <w:spacing w:beforeLines="0" w:afterLines="0"/>
        <w:jc w:val="center"/>
        <w:rPr>
          <w:rFonts w:hint="default" w:ascii="Times New Roman" w:hAnsi="Times New Roman" w:cs="Times New Roman" w:eastAsiaTheme="minorEastAsia"/>
          <w:color w:val="auto"/>
          <w:kern w:val="0"/>
          <w:sz w:val="28"/>
          <w:szCs w:val="28"/>
          <w:vertAlign w:val="baseline"/>
          <w:lang w:val="en-US" w:eastAsia="zh-CN" w:bidi="ar"/>
        </w:rPr>
      </w:pPr>
    </w:p>
    <w:p w14:paraId="1E776BC3">
      <w:pPr>
        <w:widowControl w:val="0"/>
        <w:snapToGrid w:val="0"/>
        <w:ind w:left="0" w:leftChars="0" w:right="0" w:rightChars="0" w:firstLine="0" w:firstLineChars="0"/>
        <w:jc w:val="center"/>
        <w:rPr>
          <w:rFonts w:hint="default" w:ascii="Times New Roman" w:hAnsi="Times New Roman" w:eastAsia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2"/>
          <w:szCs w:val="22"/>
          <w:u w:val="none"/>
          <w:lang w:val="en-US" w:eastAsia="zh-CN" w:bidi="ar-SA"/>
        </w:rPr>
        <w:t>Results of Normality Tests for Continuous Variables (n = 155)</w:t>
      </w:r>
    </w:p>
    <w:tbl>
      <w:tblPr>
        <w:tblStyle w:val="2"/>
        <w:tblW w:w="9638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2"/>
        <w:gridCol w:w="3580"/>
        <w:gridCol w:w="1116"/>
      </w:tblGrid>
      <w:tr w14:paraId="58100DF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942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6D7E017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Variable</w:t>
            </w:r>
          </w:p>
        </w:tc>
        <w:tc>
          <w:tcPr>
            <w:tcW w:w="358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8FD66A8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Kolmogorov–Smirnov Statistic</w:t>
            </w:r>
          </w:p>
        </w:tc>
        <w:tc>
          <w:tcPr>
            <w:tcW w:w="111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B1612B1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p-value</w:t>
            </w:r>
          </w:p>
        </w:tc>
      </w:tr>
      <w:tr w14:paraId="12464B0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4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01DAA5A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Emotional Burden Dimension</w:t>
            </w:r>
          </w:p>
        </w:tc>
        <w:tc>
          <w:tcPr>
            <w:tcW w:w="358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80379E6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0.156</w:t>
            </w:r>
          </w:p>
        </w:tc>
        <w:tc>
          <w:tcPr>
            <w:tcW w:w="111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EBF2991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&lt;0.001</w:t>
            </w:r>
          </w:p>
        </w:tc>
      </w:tr>
      <w:tr w14:paraId="7385E18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F963C9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Doctor-Related Distress Dimension</w:t>
            </w:r>
          </w:p>
        </w:tc>
        <w:tc>
          <w:tcPr>
            <w:tcW w:w="3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D168DC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0.25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A5C765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&lt;0.001</w:t>
            </w:r>
          </w:p>
        </w:tc>
      </w:tr>
      <w:tr w14:paraId="2D7A4F2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4CFE00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Life Routine-Related Distress Dimension</w:t>
            </w:r>
          </w:p>
        </w:tc>
        <w:tc>
          <w:tcPr>
            <w:tcW w:w="3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1222B6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0.112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4056B9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&lt;0.001</w:t>
            </w:r>
          </w:p>
        </w:tc>
      </w:tr>
      <w:tr w14:paraId="660FBD9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6FE0F3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Interpersonal Relationship-Related Distress Dimension</w:t>
            </w:r>
          </w:p>
        </w:tc>
        <w:tc>
          <w:tcPr>
            <w:tcW w:w="3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45E8E2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0.27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11C918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&lt;0.001</w:t>
            </w:r>
          </w:p>
        </w:tc>
      </w:tr>
      <w:tr w14:paraId="61FD7C1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9F8A15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Diabetes Distress Scale Total Score</w:t>
            </w:r>
          </w:p>
        </w:tc>
        <w:tc>
          <w:tcPr>
            <w:tcW w:w="3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43441D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0.096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EE605A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0.001</w:t>
            </w:r>
          </w:p>
        </w:tc>
      </w:tr>
      <w:tr w14:paraId="0332864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CADA35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Cognitive Dimension</w:t>
            </w:r>
          </w:p>
        </w:tc>
        <w:tc>
          <w:tcPr>
            <w:tcW w:w="3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EDABE0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0.133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41220A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&lt;0.001</w:t>
            </w:r>
          </w:p>
        </w:tc>
      </w:tr>
      <w:tr w14:paraId="5D53075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97F596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Emotional Dimension</w:t>
            </w:r>
          </w:p>
        </w:tc>
        <w:tc>
          <w:tcPr>
            <w:tcW w:w="3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268EDC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0.12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9DCF20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&lt;0.001</w:t>
            </w:r>
          </w:p>
        </w:tc>
      </w:tr>
      <w:tr w14:paraId="253C190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43E9DB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Behavioral Dimension</w:t>
            </w:r>
          </w:p>
        </w:tc>
        <w:tc>
          <w:tcPr>
            <w:tcW w:w="3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CB63B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0.158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D0608B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&lt;0.001</w:t>
            </w:r>
          </w:p>
        </w:tc>
      </w:tr>
      <w:tr w14:paraId="5FBD3F7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9D9CA2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Self-Regulation Fatigue Total Score</w:t>
            </w:r>
          </w:p>
        </w:tc>
        <w:tc>
          <w:tcPr>
            <w:tcW w:w="3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D9A20A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0.126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BFC6C5">
            <w:pPr>
              <w:widowControl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 w:bidi="ar-SA"/>
              </w:rPr>
              <w:t>&lt;0.001</w:t>
            </w:r>
          </w:p>
        </w:tc>
      </w:tr>
    </w:tbl>
    <w:p w14:paraId="2ABD3CC5">
      <w:pPr>
        <w:spacing w:beforeLines="0" w:afterLines="0"/>
        <w:jc w:val="center"/>
        <w:rPr>
          <w:rFonts w:hint="default" w:ascii="Times New Roman" w:hAnsi="Times New Roman" w:cs="Times New Roman" w:eastAsiaTheme="minorEastAsia"/>
          <w:color w:val="auto"/>
          <w:kern w:val="0"/>
          <w:sz w:val="28"/>
          <w:szCs w:val="28"/>
          <w:vertAlign w:val="baseline"/>
          <w:lang w:val="en-US" w:eastAsia="zh-CN" w:bidi="ar"/>
        </w:rPr>
      </w:pPr>
    </w:p>
    <w:p w14:paraId="16813733">
      <w:pPr>
        <w:spacing w:beforeLines="0" w:afterLines="0"/>
        <w:jc w:val="center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drawing>
          <wp:inline distT="0" distB="0" distL="114300" distR="114300">
            <wp:extent cx="4037965" cy="3231515"/>
            <wp:effectExtent l="0" t="0" r="635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7965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7CA96">
      <w:pPr>
        <w:spacing w:beforeLines="0" w:afterLines="0"/>
        <w:jc w:val="left"/>
        <w:rPr>
          <w:rFonts w:hint="default"/>
          <w:sz w:val="24"/>
          <w:szCs w:val="24"/>
        </w:rPr>
      </w:pPr>
    </w:p>
    <w:p w14:paraId="59B1D6F4"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  <w:szCs w:val="24"/>
        </w:rPr>
      </w:pPr>
    </w:p>
    <w:p w14:paraId="16B856E0">
      <w:pPr>
        <w:spacing w:beforeLines="0" w:afterLines="0"/>
        <w:jc w:val="left"/>
        <w:rPr>
          <w:rFonts w:hint="default"/>
          <w:sz w:val="24"/>
          <w:szCs w:val="24"/>
        </w:rPr>
      </w:pPr>
    </w:p>
    <w:p w14:paraId="1D0F0DBA">
      <w:pPr>
        <w:spacing w:beforeLines="0" w:afterLines="0"/>
        <w:jc w:val="left"/>
        <w:rPr>
          <w:rFonts w:hint="default"/>
          <w:sz w:val="24"/>
          <w:szCs w:val="24"/>
        </w:rPr>
      </w:pPr>
    </w:p>
    <w:p w14:paraId="58DA4C4F"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  <w:szCs w:val="24"/>
        </w:rPr>
      </w:pPr>
    </w:p>
    <w:p w14:paraId="55CACA67">
      <w:pPr>
        <w:spacing w:beforeLines="0" w:afterLines="0"/>
        <w:jc w:val="center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drawing>
          <wp:inline distT="0" distB="0" distL="114300" distR="114300">
            <wp:extent cx="4412615" cy="3531870"/>
            <wp:effectExtent l="0" t="0" r="698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2615" cy="353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683E2">
      <w:pPr>
        <w:spacing w:beforeLines="0" w:afterLines="0"/>
        <w:jc w:val="left"/>
        <w:rPr>
          <w:rFonts w:hint="default"/>
          <w:sz w:val="24"/>
          <w:szCs w:val="24"/>
        </w:rPr>
      </w:pPr>
    </w:p>
    <w:p w14:paraId="1C515FB5"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  <w:szCs w:val="24"/>
        </w:rPr>
      </w:pPr>
    </w:p>
    <w:p w14:paraId="41A2019E">
      <w:pPr>
        <w:spacing w:beforeLines="0" w:afterLines="0"/>
        <w:jc w:val="center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drawing>
          <wp:inline distT="0" distB="0" distL="114300" distR="114300">
            <wp:extent cx="4331335" cy="3466465"/>
            <wp:effectExtent l="0" t="0" r="12065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31335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7F1B7">
      <w:pPr>
        <w:spacing w:beforeLines="0" w:afterLines="0"/>
        <w:jc w:val="left"/>
        <w:rPr>
          <w:rFonts w:hint="default"/>
          <w:sz w:val="24"/>
          <w:szCs w:val="24"/>
        </w:rPr>
      </w:pPr>
    </w:p>
    <w:p w14:paraId="1F7FA13B"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  <w:szCs w:val="24"/>
        </w:rPr>
      </w:pPr>
    </w:p>
    <w:p w14:paraId="5637D2EF">
      <w:pPr>
        <w:spacing w:beforeLines="0" w:afterLines="0"/>
        <w:jc w:val="left"/>
        <w:rPr>
          <w:rFonts w:hint="default"/>
          <w:sz w:val="24"/>
          <w:szCs w:val="24"/>
        </w:rPr>
      </w:pPr>
    </w:p>
    <w:p w14:paraId="346A63EA">
      <w:pPr>
        <w:spacing w:beforeLines="0" w:afterLines="0"/>
        <w:jc w:val="center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drawing>
          <wp:inline distT="0" distB="0" distL="114300" distR="114300">
            <wp:extent cx="4407535" cy="3527425"/>
            <wp:effectExtent l="0" t="0" r="12065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07535" cy="352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D1781">
      <w:pPr>
        <w:spacing w:beforeLines="0" w:afterLines="0"/>
        <w:jc w:val="left"/>
        <w:rPr>
          <w:rFonts w:hint="default"/>
          <w:sz w:val="24"/>
          <w:szCs w:val="24"/>
        </w:rPr>
      </w:pPr>
    </w:p>
    <w:p w14:paraId="70BE8B13">
      <w:pPr>
        <w:spacing w:beforeLines="0" w:afterLines="0"/>
        <w:jc w:val="left"/>
        <w:rPr>
          <w:rFonts w:hint="default"/>
          <w:sz w:val="24"/>
          <w:szCs w:val="24"/>
        </w:rPr>
      </w:pPr>
    </w:p>
    <w:p w14:paraId="0A67D305">
      <w:pPr>
        <w:spacing w:beforeLines="0" w:afterLines="0"/>
        <w:jc w:val="center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drawing>
          <wp:inline distT="0" distB="0" distL="114300" distR="114300">
            <wp:extent cx="4219575" cy="3376930"/>
            <wp:effectExtent l="0" t="0" r="1905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3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D6579">
      <w:pPr>
        <w:spacing w:beforeLines="0" w:afterLines="0"/>
        <w:jc w:val="left"/>
        <w:rPr>
          <w:rFonts w:hint="default"/>
          <w:sz w:val="24"/>
          <w:szCs w:val="24"/>
        </w:rPr>
      </w:pPr>
    </w:p>
    <w:p w14:paraId="5A5D2A67"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  <w:szCs w:val="24"/>
        </w:rPr>
      </w:pPr>
    </w:p>
    <w:p w14:paraId="1C49ED23">
      <w:pPr>
        <w:spacing w:beforeLines="0" w:afterLines="0"/>
        <w:jc w:val="center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drawing>
          <wp:inline distT="0" distB="0" distL="114300" distR="114300">
            <wp:extent cx="4110990" cy="3291205"/>
            <wp:effectExtent l="0" t="0" r="381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09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9874A">
      <w:pPr>
        <w:spacing w:beforeLines="0" w:afterLines="0"/>
        <w:jc w:val="left"/>
        <w:rPr>
          <w:rFonts w:hint="default"/>
          <w:sz w:val="24"/>
          <w:szCs w:val="24"/>
        </w:rPr>
      </w:pPr>
    </w:p>
    <w:p w14:paraId="1AE0EDD0"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b/>
          <w:bCs/>
          <w:sz w:val="24"/>
          <w:szCs w:val="24"/>
        </w:rPr>
      </w:pPr>
    </w:p>
    <w:p w14:paraId="78B26359">
      <w:pPr>
        <w:spacing w:beforeLines="0" w:afterLines="0"/>
        <w:jc w:val="center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drawing>
          <wp:inline distT="0" distB="0" distL="114300" distR="114300">
            <wp:extent cx="4846320" cy="3878580"/>
            <wp:effectExtent l="0" t="0" r="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C07AC">
      <w:pPr>
        <w:spacing w:beforeLines="0" w:afterLines="0"/>
        <w:jc w:val="left"/>
        <w:rPr>
          <w:rFonts w:hint="default"/>
          <w:sz w:val="24"/>
          <w:szCs w:val="24"/>
        </w:rPr>
      </w:pPr>
    </w:p>
    <w:p w14:paraId="122CA842"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  <w:szCs w:val="24"/>
        </w:rPr>
      </w:pPr>
    </w:p>
    <w:p w14:paraId="2DC5EE1E">
      <w:pPr>
        <w:spacing w:beforeLines="0" w:afterLines="0"/>
        <w:jc w:val="center"/>
        <w:rPr>
          <w:rFonts w:hint="default"/>
          <w:sz w:val="24"/>
          <w:szCs w:val="24"/>
        </w:rPr>
      </w:pPr>
      <w:bookmarkStart w:id="0" w:name="_GoBack"/>
      <w:r>
        <w:rPr>
          <w:rFonts w:hint="default"/>
          <w:sz w:val="24"/>
          <w:szCs w:val="24"/>
        </w:rPr>
        <w:drawing>
          <wp:inline distT="0" distB="0" distL="114300" distR="114300">
            <wp:extent cx="4554220" cy="3644900"/>
            <wp:effectExtent l="0" t="0" r="2540" b="1270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DB08FB0">
      <w:pPr>
        <w:spacing w:beforeLines="0" w:afterLines="0"/>
        <w:jc w:val="left"/>
        <w:rPr>
          <w:rFonts w:hint="default"/>
          <w:sz w:val="24"/>
          <w:szCs w:val="24"/>
        </w:rPr>
      </w:pPr>
    </w:p>
    <w:p w14:paraId="541A0745"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  <w:szCs w:val="24"/>
        </w:rPr>
      </w:pPr>
    </w:p>
    <w:p w14:paraId="3805C90D">
      <w:pPr>
        <w:spacing w:beforeLines="0" w:afterLines="0"/>
        <w:jc w:val="center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drawing>
          <wp:inline distT="0" distB="0" distL="114300" distR="114300">
            <wp:extent cx="4361180" cy="3489960"/>
            <wp:effectExtent l="0" t="0" r="1270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6118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2B6CC">
      <w:pPr>
        <w:rPr>
          <w:b w:val="0"/>
          <w:bCs w:val="0"/>
        </w:rPr>
      </w:pPr>
    </w:p>
    <w:sectPr>
      <w:pgSz w:w="12242" w:h="15842"/>
      <w:pgMar w:top="1417" w:right="1417" w:bottom="1417" w:left="141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7E4A74"/>
    <w:rsid w:val="18797CF6"/>
    <w:rsid w:val="24F627AC"/>
    <w:rsid w:val="37A0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2026-05-15T11:30:00Z</dcterms:created>
  <dc:creator>环</dc:creator>
  <cp:lastModifiedBy>环</cp:lastModifiedBy>
  <dcterms:modified xsi:type="dcterms:W3CDTF">2026-05-17T09:38:48Z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29126FFA6D874CE79F55FBA637E0533D_11</vt:lpwstr>
  </property>
  <property fmtid="{D5CDD505-2E9C-101B-9397-08002B2CF9AE}" pid="4" name="KSOTemplateDocerSaveRecord">
    <vt:lpwstr>eyJoZGlkIjoiODAyNDAyYWFiMDA2ZGM1NDhiOGU4MjI3YzU2ZjEyMGUiLCJ1c2VySWQiOiIzOTkwNDA3OTYifQ==</vt:lpwstr>
  </property>
</Properties>
</file>