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DBD7C">
      <w:pPr>
        <w:spacing w:after="160"/>
        <w:jc w:val="center"/>
      </w:pPr>
      <w:r>
        <w:rPr>
          <w:rFonts w:ascii="Times New Roman" w:hAnsi="Times New Roman"/>
          <w:b/>
          <w:sz w:val="28"/>
        </w:rPr>
        <w:t>Supplementary Material: Outcome-Specific Risk-of-Bias Assessment and Sensitivity Analysis</w:t>
      </w:r>
    </w:p>
    <w:p w14:paraId="404B6CD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4"/>
          <w:szCs w:val="24"/>
        </w:rPr>
      </w:pPr>
      <w:r>
        <w:rPr>
          <w:rFonts w:ascii="Times New Roman" w:hAnsi="Times New Roman"/>
          <w:b/>
          <w:sz w:val="24"/>
          <w:szCs w:val="24"/>
        </w:rPr>
        <w:t xml:space="preserve">Assessment target and approach. </w:t>
      </w:r>
      <w:r>
        <w:rPr>
          <w:rFonts w:ascii="Times New Roman" w:hAnsi="Times New Roman"/>
          <w:sz w:val="24"/>
          <w:szCs w:val="24"/>
        </w:rPr>
        <w:t>Risk of bias was assessed at the study-outcome-time-point level for each primary outcome entering the quantitative evidence base. Separate RoB 2 assessments are presented for dichotomous NSSI/self-harm outcomes, continuous NSSI/self-harm outcomes, and broader dichotomous self-harm outcomes. Individually randomized trials were assessed using Cochrane RoB 2, and the school-based cluster trial was assessed using the corresponding cluster-randomized considerations. When a trial contributed more than one primary outcome type, the relevant outcome was assessed separately so that judgments for missing outcome data, outcome measurement, and selective reporting could differ where appropriate. Multiple reports from the same trial were considered jointly. Insufficient reporting was not assumed to indicate adequate methods.</w:t>
      </w:r>
    </w:p>
    <w:p w14:paraId="403B7CF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4"/>
          <w:szCs w:val="24"/>
        </w:rPr>
      </w:pPr>
      <w:r>
        <w:rPr>
          <w:rFonts w:ascii="Times New Roman" w:hAnsi="Times New Roman"/>
          <w:b/>
          <w:sz w:val="24"/>
          <w:szCs w:val="24"/>
        </w:rPr>
        <w:t xml:space="preserve">Outcome-specific summary. </w:t>
      </w:r>
      <w:r>
        <w:rPr>
          <w:rFonts w:ascii="Times New Roman" w:hAnsi="Times New Roman"/>
          <w:sz w:val="24"/>
          <w:szCs w:val="24"/>
        </w:rPr>
        <w:t>For dichotomous NSSI/self-harm outcomes, 3 of 10 assessments (30.0%) were judged at low risk, 6 (60.0%) raised some concerns, and 1 (10.0%) was judged at high risk. For continuous NSSI/self-harm outcomes, 1 of 19 assessments (5.3%) was judged at low risk, 12 (63.2%) raised some concerns, and 6 (31.6%) were judged at high risk. For broader dichotomous self-harm outcomes, both assessments raised some concerns. These distributions are reported by outcome rather than as a single study-level summary because the RoB 2 judgment is specific to the outcome and analysis time point.</w:t>
      </w:r>
    </w:p>
    <w:p w14:paraId="7DBAFD6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sz w:val="24"/>
          <w:szCs w:val="24"/>
        </w:rPr>
      </w:pPr>
      <w:r>
        <w:rPr>
          <w:rFonts w:ascii="Times New Roman" w:hAnsi="Times New Roman"/>
          <w:b/>
          <w:sz w:val="24"/>
          <w:szCs w:val="24"/>
        </w:rPr>
        <w:t xml:space="preserve">Clarification for trials contributing to more than one outcome. </w:t>
      </w:r>
      <w:r>
        <w:rPr>
          <w:rFonts w:ascii="Times New Roman" w:hAnsi="Times New Roman"/>
          <w:sz w:val="24"/>
          <w:szCs w:val="24"/>
        </w:rPr>
        <w:t>Li et al. (2025) contributed both dichotomous NSSI prevalence and continuous NSSI severity and is therefore represented separately in the corresponding outcome-specific assessments. The domain judgments are the same for these two outcomes because both were self-reported and the principal high-risk concern arose from the same school-level allocation/confounding issue; nevertheless, the assessments are reported separately to preserve outcome-specific transparency.</w:t>
      </w:r>
    </w:p>
    <w:p w14:paraId="494EB816">
      <w:pPr>
        <w:keepNext/>
        <w:spacing w:before="120" w:after="80"/>
      </w:pPr>
      <w:r>
        <w:rPr>
          <w:rFonts w:ascii="Times New Roman" w:hAnsi="Times New Roman"/>
          <w:b/>
          <w:sz w:val="21"/>
        </w:rPr>
        <w:t>Supplementary Figure S1A. Traffic-light summary for dichotomous NSSI/self-harm outcomes</w:t>
      </w:r>
    </w:p>
    <w:p w14:paraId="028F45E7">
      <w:pPr>
        <w:spacing w:after="60"/>
        <w:jc w:val="center"/>
      </w:pPr>
      <w:r>
        <w:drawing>
          <wp:inline distT="0" distB="0" distL="114300" distR="114300">
            <wp:extent cx="8686800" cy="38214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8686800" cy="3822038"/>
                    </a:xfrm>
                    <a:prstGeom prst="rect">
                      <a:avLst/>
                    </a:prstGeom>
                  </pic:spPr>
                </pic:pic>
              </a:graphicData>
            </a:graphic>
          </wp:inline>
        </w:drawing>
      </w:r>
    </w:p>
    <w:p w14:paraId="73ABACEA">
      <w:pPr>
        <w:jc w:val="center"/>
      </w:pPr>
      <w:r>
        <w:rPr>
          <w:rFonts w:ascii="Times New Roman" w:hAnsi="Times New Roman"/>
          <w:sz w:val="17"/>
        </w:rPr>
        <w:t>D1, randomization process; D2, deviations from intended interventions; D3, missing outcome data; D4, measurement of the outcome; D5, selection of the reported result.</w:t>
      </w:r>
    </w:p>
    <w:p w14:paraId="3F7C9D16">
      <w:r>
        <w:br w:type="page"/>
      </w:r>
    </w:p>
    <w:p w14:paraId="2B72A9A2">
      <w:pPr>
        <w:keepNext/>
        <w:spacing w:before="120" w:after="80"/>
      </w:pPr>
      <w:r>
        <w:rPr>
          <w:rFonts w:ascii="Times New Roman" w:hAnsi="Times New Roman"/>
          <w:b/>
          <w:sz w:val="21"/>
        </w:rPr>
        <w:t>Supplementary Figure S1B. Traffic-light summary for continuous NSSI/self-harm outcomes</w:t>
      </w:r>
    </w:p>
    <w:p w14:paraId="5842ED9D">
      <w:pPr>
        <w:spacing w:after="60"/>
        <w:jc w:val="center"/>
      </w:pPr>
      <w:r>
        <w:drawing>
          <wp:inline distT="0" distB="0" distL="114300" distR="114300">
            <wp:extent cx="8686800" cy="579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8686800" cy="5796311"/>
                    </a:xfrm>
                    <a:prstGeom prst="rect">
                      <a:avLst/>
                    </a:prstGeom>
                  </pic:spPr>
                </pic:pic>
              </a:graphicData>
            </a:graphic>
          </wp:inline>
        </w:drawing>
      </w:r>
    </w:p>
    <w:p w14:paraId="391E6E77">
      <w:pPr>
        <w:jc w:val="center"/>
      </w:pPr>
      <w:r>
        <w:rPr>
          <w:rFonts w:ascii="Times New Roman" w:hAnsi="Times New Roman"/>
          <w:sz w:val="17"/>
        </w:rPr>
        <w:t>D1, randomization process; D2, deviations from intended interventions; D3, missing outcome data; D4, measurement of the outcome; D5, selection of the reported result.</w:t>
      </w:r>
    </w:p>
    <w:p w14:paraId="30C4C4B8">
      <w:r>
        <w:br w:type="page"/>
      </w:r>
    </w:p>
    <w:p w14:paraId="467D48D2">
      <w:pPr>
        <w:keepNext/>
        <w:spacing w:before="120" w:after="80"/>
      </w:pPr>
      <w:r>
        <w:rPr>
          <w:rFonts w:ascii="Times New Roman" w:hAnsi="Times New Roman"/>
          <w:b/>
          <w:sz w:val="21"/>
        </w:rPr>
        <w:t>Supplementary Figure S1C. Traffic-light summary for broader dichotomous self-harm outcomes</w:t>
      </w:r>
    </w:p>
    <w:p w14:paraId="3A8067A7">
      <w:pPr>
        <w:spacing w:after="60"/>
        <w:jc w:val="center"/>
      </w:pPr>
      <w:r>
        <w:drawing>
          <wp:inline distT="0" distB="0" distL="114300" distR="114300">
            <wp:extent cx="8686800" cy="1625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a:stretch>
                      <a:fillRect/>
                    </a:stretch>
                  </pic:blipFill>
                  <pic:spPr>
                    <a:xfrm>
                      <a:off x="0" y="0"/>
                      <a:ext cx="8686800" cy="1626138"/>
                    </a:xfrm>
                    <a:prstGeom prst="rect">
                      <a:avLst/>
                    </a:prstGeom>
                  </pic:spPr>
                </pic:pic>
              </a:graphicData>
            </a:graphic>
          </wp:inline>
        </w:drawing>
      </w:r>
    </w:p>
    <w:p w14:paraId="0C7C343C">
      <w:pPr>
        <w:jc w:val="center"/>
      </w:pPr>
      <w:r>
        <w:rPr>
          <w:rFonts w:ascii="Times New Roman" w:hAnsi="Times New Roman"/>
          <w:sz w:val="17"/>
        </w:rPr>
        <w:t>D1, randomization process; D2, deviations from intended interventions; D3, missing outcome data; D4, measurement of the outcome; D5, selection of the reported result.</w:t>
      </w:r>
    </w:p>
    <w:p w14:paraId="31631C3A">
      <w:r>
        <w:br w:type="page"/>
      </w:r>
    </w:p>
    <w:p w14:paraId="23041B09">
      <w:pPr>
        <w:keepNext/>
        <w:spacing w:before="120" w:after="80"/>
      </w:pPr>
      <w:r>
        <w:rPr>
          <w:rFonts w:ascii="Times New Roman" w:hAnsi="Times New Roman"/>
          <w:b/>
          <w:sz w:val="21"/>
        </w:rPr>
        <w:t>Supplementary Table S1A. Detailed outcome-specific RoB 2 judgments for dichotomous NSSI/self-harm outcomes</w:t>
      </w:r>
    </w:p>
    <w:tbl>
      <w:tblPr>
        <w:tblStyle w:val="32"/>
        <w:tblW w:w="0" w:type="auto"/>
        <w:jc w:val="center"/>
        <w:tblLayout w:type="fixed"/>
        <w:tblCellMar>
          <w:top w:w="0" w:type="dxa"/>
          <w:left w:w="108" w:type="dxa"/>
          <w:bottom w:w="0" w:type="dxa"/>
          <w:right w:w="108" w:type="dxa"/>
        </w:tblCellMar>
      </w:tblPr>
      <w:tblGrid>
        <w:gridCol w:w="1616"/>
        <w:gridCol w:w="1616"/>
        <w:gridCol w:w="1616"/>
        <w:gridCol w:w="1616"/>
        <w:gridCol w:w="1616"/>
        <w:gridCol w:w="1616"/>
        <w:gridCol w:w="1616"/>
        <w:gridCol w:w="1616"/>
        <w:gridCol w:w="1616"/>
      </w:tblGrid>
      <w:tr w14:paraId="224A417D">
        <w:tblPrEx>
          <w:tblCellMar>
            <w:top w:w="0" w:type="dxa"/>
            <w:left w:w="108" w:type="dxa"/>
            <w:bottom w:w="0" w:type="dxa"/>
            <w:right w:w="108" w:type="dxa"/>
          </w:tblCellMar>
        </w:tblPrEx>
        <w:trPr>
          <w:cantSplit/>
          <w:tblHeader/>
          <w:jc w:val="center"/>
        </w:trPr>
        <w:tc>
          <w:tcPr>
            <w:tcW w:w="1800" w:type="dxa"/>
            <w:shd w:val="clear" w:color="auto" w:fill="D9E2F3"/>
            <w:tcMar>
              <w:top w:w="40" w:type="dxa"/>
              <w:left w:w="50" w:type="dxa"/>
              <w:bottom w:w="40" w:type="dxa"/>
              <w:right w:w="50" w:type="dxa"/>
            </w:tcMar>
            <w:vAlign w:val="center"/>
          </w:tcPr>
          <w:p w14:paraId="550006E6">
            <w:pPr>
              <w:spacing w:before="0" w:after="0"/>
              <w:jc w:val="center"/>
            </w:pPr>
            <w:r>
              <w:rPr>
                <w:rFonts w:ascii="Times New Roman" w:hAnsi="Times New Roman"/>
                <w:b/>
                <w:sz w:val="15"/>
              </w:rPr>
              <w:t>Study</w:t>
            </w:r>
          </w:p>
        </w:tc>
        <w:tc>
          <w:tcPr>
            <w:tcW w:w="2520" w:type="dxa"/>
            <w:shd w:val="clear" w:color="auto" w:fill="D9E2F3"/>
            <w:tcMar>
              <w:top w:w="40" w:type="dxa"/>
              <w:left w:w="50" w:type="dxa"/>
              <w:bottom w:w="40" w:type="dxa"/>
              <w:right w:w="50" w:type="dxa"/>
            </w:tcMar>
            <w:vAlign w:val="center"/>
          </w:tcPr>
          <w:p w14:paraId="29EF1533">
            <w:pPr>
              <w:spacing w:before="0" w:after="0"/>
              <w:jc w:val="center"/>
            </w:pPr>
            <w:r>
              <w:rPr>
                <w:rFonts w:ascii="Times New Roman" w:hAnsi="Times New Roman"/>
                <w:b/>
                <w:sz w:val="15"/>
              </w:rPr>
              <w:t>Target outcome/time point</w:t>
            </w:r>
          </w:p>
        </w:tc>
        <w:tc>
          <w:tcPr>
            <w:tcW w:w="720" w:type="dxa"/>
            <w:shd w:val="clear" w:color="auto" w:fill="D9E2F3"/>
            <w:tcMar>
              <w:top w:w="40" w:type="dxa"/>
              <w:left w:w="50" w:type="dxa"/>
              <w:bottom w:w="40" w:type="dxa"/>
              <w:right w:w="50" w:type="dxa"/>
            </w:tcMar>
            <w:vAlign w:val="center"/>
          </w:tcPr>
          <w:p w14:paraId="537CEDB3">
            <w:pPr>
              <w:spacing w:before="0" w:after="0"/>
              <w:jc w:val="center"/>
            </w:pPr>
            <w:r>
              <w:rPr>
                <w:rFonts w:ascii="Times New Roman" w:hAnsi="Times New Roman"/>
                <w:b/>
                <w:sz w:val="15"/>
              </w:rPr>
              <w:t>D1</w:t>
            </w:r>
          </w:p>
        </w:tc>
        <w:tc>
          <w:tcPr>
            <w:tcW w:w="720" w:type="dxa"/>
            <w:shd w:val="clear" w:color="auto" w:fill="D9E2F3"/>
            <w:tcMar>
              <w:top w:w="40" w:type="dxa"/>
              <w:left w:w="50" w:type="dxa"/>
              <w:bottom w:w="40" w:type="dxa"/>
              <w:right w:w="50" w:type="dxa"/>
            </w:tcMar>
            <w:vAlign w:val="center"/>
          </w:tcPr>
          <w:p w14:paraId="53DD3D55">
            <w:pPr>
              <w:spacing w:before="0" w:after="0"/>
              <w:jc w:val="center"/>
            </w:pPr>
            <w:r>
              <w:rPr>
                <w:rFonts w:ascii="Times New Roman" w:hAnsi="Times New Roman"/>
                <w:b/>
                <w:sz w:val="15"/>
              </w:rPr>
              <w:t>D2</w:t>
            </w:r>
          </w:p>
        </w:tc>
        <w:tc>
          <w:tcPr>
            <w:tcW w:w="720" w:type="dxa"/>
            <w:shd w:val="clear" w:color="auto" w:fill="D9E2F3"/>
            <w:tcMar>
              <w:top w:w="40" w:type="dxa"/>
              <w:left w:w="50" w:type="dxa"/>
              <w:bottom w:w="40" w:type="dxa"/>
              <w:right w:w="50" w:type="dxa"/>
            </w:tcMar>
            <w:vAlign w:val="center"/>
          </w:tcPr>
          <w:p w14:paraId="40D415D1">
            <w:pPr>
              <w:spacing w:before="0" w:after="0"/>
              <w:jc w:val="center"/>
            </w:pPr>
            <w:r>
              <w:rPr>
                <w:rFonts w:ascii="Times New Roman" w:hAnsi="Times New Roman"/>
                <w:b/>
                <w:sz w:val="15"/>
              </w:rPr>
              <w:t>D3</w:t>
            </w:r>
          </w:p>
        </w:tc>
        <w:tc>
          <w:tcPr>
            <w:tcW w:w="720" w:type="dxa"/>
            <w:shd w:val="clear" w:color="auto" w:fill="D9E2F3"/>
            <w:tcMar>
              <w:top w:w="40" w:type="dxa"/>
              <w:left w:w="50" w:type="dxa"/>
              <w:bottom w:w="40" w:type="dxa"/>
              <w:right w:w="50" w:type="dxa"/>
            </w:tcMar>
            <w:vAlign w:val="center"/>
          </w:tcPr>
          <w:p w14:paraId="0E49066B">
            <w:pPr>
              <w:spacing w:before="0" w:after="0"/>
              <w:jc w:val="center"/>
            </w:pPr>
            <w:r>
              <w:rPr>
                <w:rFonts w:ascii="Times New Roman" w:hAnsi="Times New Roman"/>
                <w:b/>
                <w:sz w:val="15"/>
              </w:rPr>
              <w:t>D4</w:t>
            </w:r>
          </w:p>
        </w:tc>
        <w:tc>
          <w:tcPr>
            <w:tcW w:w="720" w:type="dxa"/>
            <w:shd w:val="clear" w:color="auto" w:fill="D9E2F3"/>
            <w:tcMar>
              <w:top w:w="40" w:type="dxa"/>
              <w:left w:w="50" w:type="dxa"/>
              <w:bottom w:w="40" w:type="dxa"/>
              <w:right w:w="50" w:type="dxa"/>
            </w:tcMar>
            <w:vAlign w:val="center"/>
          </w:tcPr>
          <w:p w14:paraId="47944FD8">
            <w:pPr>
              <w:spacing w:before="0" w:after="0"/>
              <w:jc w:val="center"/>
            </w:pPr>
            <w:r>
              <w:rPr>
                <w:rFonts w:ascii="Times New Roman" w:hAnsi="Times New Roman"/>
                <w:b/>
                <w:sz w:val="15"/>
              </w:rPr>
              <w:t>D5</w:t>
            </w:r>
          </w:p>
        </w:tc>
        <w:tc>
          <w:tcPr>
            <w:tcW w:w="1512" w:type="dxa"/>
            <w:shd w:val="clear" w:color="auto" w:fill="D9E2F3"/>
            <w:tcMar>
              <w:top w:w="40" w:type="dxa"/>
              <w:left w:w="50" w:type="dxa"/>
              <w:bottom w:w="40" w:type="dxa"/>
              <w:right w:w="50" w:type="dxa"/>
            </w:tcMar>
            <w:vAlign w:val="center"/>
          </w:tcPr>
          <w:p w14:paraId="67891012">
            <w:pPr>
              <w:spacing w:before="0" w:after="0"/>
              <w:jc w:val="center"/>
            </w:pPr>
            <w:r>
              <w:rPr>
                <w:rFonts w:ascii="Times New Roman" w:hAnsi="Times New Roman"/>
                <w:b/>
                <w:sz w:val="15"/>
              </w:rPr>
              <w:t>Overall</w:t>
            </w:r>
          </w:p>
        </w:tc>
        <w:tc>
          <w:tcPr>
            <w:tcW w:w="4392" w:type="dxa"/>
            <w:shd w:val="clear" w:color="auto" w:fill="D9E2F3"/>
            <w:tcMar>
              <w:top w:w="40" w:type="dxa"/>
              <w:left w:w="50" w:type="dxa"/>
              <w:bottom w:w="40" w:type="dxa"/>
              <w:right w:w="50" w:type="dxa"/>
            </w:tcMar>
            <w:vAlign w:val="center"/>
          </w:tcPr>
          <w:p w14:paraId="6CF089A8">
            <w:pPr>
              <w:spacing w:before="0" w:after="0"/>
              <w:jc w:val="center"/>
            </w:pPr>
            <w:r>
              <w:rPr>
                <w:rFonts w:ascii="Times New Roman" w:hAnsi="Times New Roman"/>
                <w:b/>
                <w:sz w:val="15"/>
              </w:rPr>
              <w:t>Key basis for judgment</w:t>
            </w:r>
          </w:p>
        </w:tc>
      </w:tr>
      <w:tr w14:paraId="0F0F2D62">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13B2564C">
            <w:pPr>
              <w:spacing w:before="0" w:after="0"/>
              <w:jc w:val="left"/>
            </w:pPr>
            <w:r>
              <w:rPr>
                <w:rFonts w:ascii="Times New Roman" w:hAnsi="Times New Roman"/>
                <w:b w:val="0"/>
                <w:sz w:val="14"/>
              </w:rPr>
              <w:t>Wood et al. (2001)</w:t>
            </w:r>
          </w:p>
        </w:tc>
        <w:tc>
          <w:tcPr>
            <w:tcW w:w="2520" w:type="dxa"/>
            <w:tcMar>
              <w:top w:w="40" w:type="dxa"/>
              <w:left w:w="50" w:type="dxa"/>
              <w:bottom w:w="40" w:type="dxa"/>
              <w:right w:w="50" w:type="dxa"/>
            </w:tcMar>
            <w:vAlign w:val="center"/>
          </w:tcPr>
          <w:p w14:paraId="17899FD7">
            <w:pPr>
              <w:spacing w:before="0" w:after="0"/>
              <w:jc w:val="left"/>
            </w:pPr>
            <w:r>
              <w:rPr>
                <w:rFonts w:ascii="Times New Roman" w:hAnsi="Times New Roman"/>
                <w:b w:val="0"/>
                <w:sz w:val="14"/>
              </w:rPr>
              <w:t>Repeated self-harm, approximately 29 weeks</w:t>
            </w:r>
          </w:p>
        </w:tc>
        <w:tc>
          <w:tcPr>
            <w:tcW w:w="720" w:type="dxa"/>
            <w:shd w:val="clear" w:color="auto" w:fill="FFD966"/>
            <w:tcMar>
              <w:top w:w="40" w:type="dxa"/>
              <w:left w:w="50" w:type="dxa"/>
              <w:bottom w:w="40" w:type="dxa"/>
              <w:right w:w="50" w:type="dxa"/>
            </w:tcMar>
            <w:vAlign w:val="center"/>
          </w:tcPr>
          <w:p w14:paraId="42857128">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04D9D6FB">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0E0CE7E4">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0AFE5FBF">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1361ACC4">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1828ADC1">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590B4698">
            <w:pPr>
              <w:spacing w:before="0" w:after="0"/>
              <w:jc w:val="left"/>
            </w:pPr>
            <w:r>
              <w:rPr>
                <w:rFonts w:ascii="Times New Roman" w:hAnsi="Times New Roman"/>
                <w:b w:val="0"/>
                <w:sz w:val="14"/>
              </w:rPr>
              <w:t>Single-blind randomized trial with near-complete follow-up and allocation-blinded outcome assessment; sequence generation, concealment, and a prespecified analysis plan were incompletely reported.</w:t>
            </w:r>
          </w:p>
        </w:tc>
      </w:tr>
      <w:tr w14:paraId="6BB65E7B">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1E7E4D50">
            <w:pPr>
              <w:spacing w:before="0" w:after="0"/>
              <w:jc w:val="left"/>
            </w:pPr>
            <w:r>
              <w:rPr>
                <w:rFonts w:ascii="Times New Roman" w:hAnsi="Times New Roman"/>
                <w:b w:val="0"/>
                <w:sz w:val="14"/>
              </w:rPr>
              <w:t>McCauley et al. (2018)</w:t>
            </w:r>
          </w:p>
        </w:tc>
        <w:tc>
          <w:tcPr>
            <w:tcW w:w="2520" w:type="dxa"/>
            <w:tcMar>
              <w:top w:w="40" w:type="dxa"/>
              <w:left w:w="50" w:type="dxa"/>
              <w:bottom w:w="40" w:type="dxa"/>
              <w:right w:w="50" w:type="dxa"/>
            </w:tcMar>
            <w:vAlign w:val="center"/>
          </w:tcPr>
          <w:p w14:paraId="32AA5E42">
            <w:pPr>
              <w:spacing w:before="0" w:after="0"/>
              <w:jc w:val="left"/>
            </w:pPr>
            <w:r>
              <w:rPr>
                <w:rFonts w:ascii="Times New Roman" w:hAnsi="Times New Roman"/>
                <w:b w:val="0"/>
                <w:sz w:val="14"/>
              </w:rPr>
              <w:t>NSSI/overall self-harm during the prespecified treatment period</w:t>
            </w:r>
          </w:p>
        </w:tc>
        <w:tc>
          <w:tcPr>
            <w:tcW w:w="720" w:type="dxa"/>
            <w:shd w:val="clear" w:color="auto" w:fill="70AD47"/>
            <w:tcMar>
              <w:top w:w="40" w:type="dxa"/>
              <w:left w:w="50" w:type="dxa"/>
              <w:bottom w:w="40" w:type="dxa"/>
              <w:right w:w="50" w:type="dxa"/>
            </w:tcMar>
            <w:vAlign w:val="center"/>
          </w:tcPr>
          <w:p w14:paraId="52E479A2">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33FD1144">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4D09ECEE">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7F7D99E7">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1F61D031">
            <w:pPr>
              <w:spacing w:before="0" w:after="0"/>
              <w:jc w:val="center"/>
            </w:pPr>
            <w:r>
              <w:rPr>
                <w:rFonts w:ascii="Times New Roman" w:hAnsi="Times New Roman"/>
                <w:b w:val="0"/>
                <w:color w:val="FFFFFF"/>
                <w:sz w:val="14"/>
              </w:rPr>
              <w:t>L</w:t>
            </w:r>
          </w:p>
        </w:tc>
        <w:tc>
          <w:tcPr>
            <w:tcW w:w="1512" w:type="dxa"/>
            <w:shd w:val="clear" w:color="auto" w:fill="70AD47"/>
            <w:tcMar>
              <w:top w:w="40" w:type="dxa"/>
              <w:left w:w="50" w:type="dxa"/>
              <w:bottom w:w="40" w:type="dxa"/>
              <w:right w:w="50" w:type="dxa"/>
            </w:tcMar>
            <w:vAlign w:val="center"/>
          </w:tcPr>
          <w:p w14:paraId="31F9D638">
            <w:pPr>
              <w:spacing w:before="0" w:after="0"/>
              <w:jc w:val="center"/>
            </w:pPr>
            <w:r>
              <w:rPr>
                <w:rFonts w:ascii="Times New Roman" w:hAnsi="Times New Roman"/>
                <w:b/>
                <w:color w:val="FFFFFF"/>
                <w:sz w:val="14"/>
              </w:rPr>
              <w:t>Low risk</w:t>
            </w:r>
          </w:p>
        </w:tc>
        <w:tc>
          <w:tcPr>
            <w:tcW w:w="4392" w:type="dxa"/>
            <w:tcMar>
              <w:top w:w="40" w:type="dxa"/>
              <w:left w:w="50" w:type="dxa"/>
              <w:bottom w:w="40" w:type="dxa"/>
              <w:right w:w="50" w:type="dxa"/>
            </w:tcMar>
            <w:vAlign w:val="center"/>
          </w:tcPr>
          <w:p w14:paraId="073D9802">
            <w:pPr>
              <w:spacing w:before="0" w:after="0"/>
              <w:jc w:val="left"/>
            </w:pPr>
            <w:r>
              <w:rPr>
                <w:rFonts w:ascii="Times New Roman" w:hAnsi="Times New Roman"/>
                <w:b w:val="0"/>
                <w:sz w:val="14"/>
              </w:rPr>
              <w:t>Randomized design with masked independent outcome assessment, intention-to-treat analysis, and prespecified registered outcomes.</w:t>
            </w:r>
          </w:p>
        </w:tc>
      </w:tr>
      <w:tr w14:paraId="59274A5D">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034A07EB">
            <w:pPr>
              <w:spacing w:before="0" w:after="0"/>
              <w:jc w:val="left"/>
            </w:pPr>
            <w:r>
              <w:rPr>
                <w:rFonts w:ascii="Times New Roman" w:hAnsi="Times New Roman"/>
                <w:b w:val="0"/>
                <w:sz w:val="14"/>
              </w:rPr>
              <w:t>Cottrell et al. (2018)</w:t>
            </w:r>
          </w:p>
        </w:tc>
        <w:tc>
          <w:tcPr>
            <w:tcW w:w="2520" w:type="dxa"/>
            <w:tcMar>
              <w:top w:w="40" w:type="dxa"/>
              <w:left w:w="50" w:type="dxa"/>
              <w:bottom w:w="40" w:type="dxa"/>
              <w:right w:w="50" w:type="dxa"/>
            </w:tcMar>
            <w:vAlign w:val="center"/>
          </w:tcPr>
          <w:p w14:paraId="7DACDF80">
            <w:pPr>
              <w:spacing w:before="0" w:after="0"/>
              <w:jc w:val="left"/>
            </w:pPr>
            <w:r>
              <w:rPr>
                <w:rFonts w:ascii="Times New Roman" w:hAnsi="Times New Roman"/>
                <w:b w:val="0"/>
                <w:sz w:val="14"/>
              </w:rPr>
              <w:t>Repeat self-harm during 18-month follow-up</w:t>
            </w:r>
          </w:p>
        </w:tc>
        <w:tc>
          <w:tcPr>
            <w:tcW w:w="720" w:type="dxa"/>
            <w:shd w:val="clear" w:color="auto" w:fill="70AD47"/>
            <w:tcMar>
              <w:top w:w="40" w:type="dxa"/>
              <w:left w:w="50" w:type="dxa"/>
              <w:bottom w:w="40" w:type="dxa"/>
              <w:right w:w="50" w:type="dxa"/>
            </w:tcMar>
            <w:vAlign w:val="center"/>
          </w:tcPr>
          <w:p w14:paraId="42ADCE1A">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4CBBDB37">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6CAB395D">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16B081A7">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7537B026">
            <w:pPr>
              <w:spacing w:before="0" w:after="0"/>
              <w:jc w:val="center"/>
            </w:pPr>
            <w:r>
              <w:rPr>
                <w:rFonts w:ascii="Times New Roman" w:hAnsi="Times New Roman"/>
                <w:b w:val="0"/>
                <w:color w:val="FFFFFF"/>
                <w:sz w:val="14"/>
              </w:rPr>
              <w:t>L</w:t>
            </w:r>
          </w:p>
        </w:tc>
        <w:tc>
          <w:tcPr>
            <w:tcW w:w="1512" w:type="dxa"/>
            <w:shd w:val="clear" w:color="auto" w:fill="70AD47"/>
            <w:tcMar>
              <w:top w:w="40" w:type="dxa"/>
              <w:left w:w="50" w:type="dxa"/>
              <w:bottom w:w="40" w:type="dxa"/>
              <w:right w:w="50" w:type="dxa"/>
            </w:tcMar>
            <w:vAlign w:val="center"/>
          </w:tcPr>
          <w:p w14:paraId="5EC44046">
            <w:pPr>
              <w:spacing w:before="0" w:after="0"/>
              <w:jc w:val="center"/>
            </w:pPr>
            <w:r>
              <w:rPr>
                <w:rFonts w:ascii="Times New Roman" w:hAnsi="Times New Roman"/>
                <w:b/>
                <w:color w:val="FFFFFF"/>
                <w:sz w:val="14"/>
              </w:rPr>
              <w:t>Low risk</w:t>
            </w:r>
          </w:p>
        </w:tc>
        <w:tc>
          <w:tcPr>
            <w:tcW w:w="4392" w:type="dxa"/>
            <w:tcMar>
              <w:top w:w="40" w:type="dxa"/>
              <w:left w:w="50" w:type="dxa"/>
              <w:bottom w:w="40" w:type="dxa"/>
              <w:right w:w="50" w:type="dxa"/>
            </w:tcMar>
            <w:vAlign w:val="center"/>
          </w:tcPr>
          <w:p w14:paraId="5FC7B84B">
            <w:pPr>
              <w:spacing w:before="0" w:after="0"/>
              <w:jc w:val="left"/>
            </w:pPr>
            <w:r>
              <w:rPr>
                <w:rFonts w:ascii="Times New Roman" w:hAnsi="Times New Roman"/>
                <w:b w:val="0"/>
                <w:sz w:val="14"/>
              </w:rPr>
              <w:t>Large multicenter trial with central allocation, prespecified registered outcomes, masked/objective ascertainment, and appropriate intention-to-treat analysis.</w:t>
            </w:r>
          </w:p>
        </w:tc>
      </w:tr>
      <w:tr w14:paraId="7C55A9E8">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1D96755A">
            <w:pPr>
              <w:spacing w:before="0" w:after="0"/>
              <w:jc w:val="left"/>
            </w:pPr>
            <w:r>
              <w:rPr>
                <w:rFonts w:ascii="Times New Roman" w:hAnsi="Times New Roman"/>
                <w:b w:val="0"/>
                <w:sz w:val="14"/>
              </w:rPr>
              <w:t>Chen et al. (2022)</w:t>
            </w:r>
          </w:p>
        </w:tc>
        <w:tc>
          <w:tcPr>
            <w:tcW w:w="2520" w:type="dxa"/>
            <w:tcMar>
              <w:top w:w="40" w:type="dxa"/>
              <w:left w:w="50" w:type="dxa"/>
              <w:bottom w:w="40" w:type="dxa"/>
              <w:right w:w="50" w:type="dxa"/>
            </w:tcMar>
            <w:vAlign w:val="center"/>
          </w:tcPr>
          <w:p w14:paraId="2C592FE8">
            <w:pPr>
              <w:spacing w:before="0" w:after="0"/>
              <w:jc w:val="left"/>
            </w:pPr>
            <w:r>
              <w:rPr>
                <w:rFonts w:ascii="Times New Roman" w:hAnsi="Times New Roman"/>
                <w:b w:val="0"/>
                <w:sz w:val="14"/>
              </w:rPr>
              <w:t>Dichotomous NSSI/self-harm endpoint used in synthesis</w:t>
            </w:r>
          </w:p>
        </w:tc>
        <w:tc>
          <w:tcPr>
            <w:tcW w:w="720" w:type="dxa"/>
            <w:shd w:val="clear" w:color="auto" w:fill="FFD966"/>
            <w:tcMar>
              <w:top w:w="40" w:type="dxa"/>
              <w:left w:w="50" w:type="dxa"/>
              <w:bottom w:w="40" w:type="dxa"/>
              <w:right w:w="50" w:type="dxa"/>
            </w:tcMar>
            <w:vAlign w:val="center"/>
          </w:tcPr>
          <w:p w14:paraId="02F9D191">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7AD3CF40">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05A70B1E">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1B9CA05F">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2F392E3A">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50036719">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6814E0CC">
            <w:pPr>
              <w:spacing w:before="0" w:after="0"/>
              <w:jc w:val="left"/>
            </w:pPr>
            <w:r>
              <w:rPr>
                <w:rFonts w:ascii="Times New Roman" w:hAnsi="Times New Roman"/>
                <w:b w:val="0"/>
                <w:sz w:val="14"/>
              </w:rPr>
              <w:t>Outcome data were largely complete, but sequence generation, allocation concealment, masking of the subjective outcome, and prospective analysis specification were insufficiently reported.</w:t>
            </w:r>
          </w:p>
        </w:tc>
      </w:tr>
      <w:tr w14:paraId="2CE3FFC3">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29AF771D">
            <w:pPr>
              <w:spacing w:before="0" w:after="0"/>
              <w:jc w:val="left"/>
            </w:pPr>
            <w:r>
              <w:rPr>
                <w:rFonts w:ascii="Times New Roman" w:hAnsi="Times New Roman"/>
                <w:b w:val="0"/>
                <w:sz w:val="14"/>
              </w:rPr>
              <w:t>Su et al. (2022)</w:t>
            </w:r>
          </w:p>
        </w:tc>
        <w:tc>
          <w:tcPr>
            <w:tcW w:w="2520" w:type="dxa"/>
            <w:tcMar>
              <w:top w:w="40" w:type="dxa"/>
              <w:left w:w="50" w:type="dxa"/>
              <w:bottom w:w="40" w:type="dxa"/>
              <w:right w:w="50" w:type="dxa"/>
            </w:tcMar>
            <w:vAlign w:val="center"/>
          </w:tcPr>
          <w:p w14:paraId="40094E1E">
            <w:pPr>
              <w:spacing w:before="0" w:after="0"/>
              <w:jc w:val="left"/>
            </w:pPr>
            <w:r>
              <w:rPr>
                <w:rFonts w:ascii="Times New Roman" w:hAnsi="Times New Roman"/>
                <w:b w:val="0"/>
                <w:sz w:val="14"/>
              </w:rPr>
              <w:t>Dichotomous NSSI/self-harm endpoint used in synthesis</w:t>
            </w:r>
          </w:p>
        </w:tc>
        <w:tc>
          <w:tcPr>
            <w:tcW w:w="720" w:type="dxa"/>
            <w:shd w:val="clear" w:color="auto" w:fill="FFD966"/>
            <w:tcMar>
              <w:top w:w="40" w:type="dxa"/>
              <w:left w:w="50" w:type="dxa"/>
              <w:bottom w:w="40" w:type="dxa"/>
              <w:right w:w="50" w:type="dxa"/>
            </w:tcMar>
            <w:vAlign w:val="center"/>
          </w:tcPr>
          <w:p w14:paraId="4E233C48">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5DE03F8F">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28FEC777">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18B5FBB6">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0072ADCE">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4FE3DFE1">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29284797">
            <w:pPr>
              <w:spacing w:before="0" w:after="0"/>
              <w:jc w:val="left"/>
            </w:pPr>
            <w:r>
              <w:rPr>
                <w:rFonts w:ascii="Times New Roman" w:hAnsi="Times New Roman"/>
                <w:b w:val="0"/>
                <w:sz w:val="14"/>
              </w:rPr>
              <w:t>Limited reporting of sequence generation and concealment; independent blinded outcome assessment and prospective outcome specification were not clearly documented.</w:t>
            </w:r>
          </w:p>
        </w:tc>
      </w:tr>
      <w:tr w14:paraId="362A165A">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05A6FA95">
            <w:pPr>
              <w:spacing w:before="0" w:after="0"/>
              <w:jc w:val="left"/>
            </w:pPr>
            <w:r>
              <w:rPr>
                <w:rFonts w:ascii="Times New Roman" w:hAnsi="Times New Roman"/>
                <w:b w:val="0"/>
                <w:sz w:val="14"/>
              </w:rPr>
              <w:t>Zhang et al. (2024b)</w:t>
            </w:r>
          </w:p>
        </w:tc>
        <w:tc>
          <w:tcPr>
            <w:tcW w:w="2520" w:type="dxa"/>
            <w:tcMar>
              <w:top w:w="40" w:type="dxa"/>
              <w:left w:w="50" w:type="dxa"/>
              <w:bottom w:w="40" w:type="dxa"/>
              <w:right w:w="50" w:type="dxa"/>
            </w:tcMar>
            <w:vAlign w:val="center"/>
          </w:tcPr>
          <w:p w14:paraId="047DB6B0">
            <w:pPr>
              <w:spacing w:before="0" w:after="0"/>
              <w:jc w:val="left"/>
            </w:pPr>
            <w:r>
              <w:rPr>
                <w:rFonts w:ascii="Times New Roman" w:hAnsi="Times New Roman"/>
                <w:b w:val="0"/>
                <w:sz w:val="14"/>
              </w:rPr>
              <w:t>Dichotomous NSSI/self-harm endpoint used in synthesis</w:t>
            </w:r>
          </w:p>
        </w:tc>
        <w:tc>
          <w:tcPr>
            <w:tcW w:w="720" w:type="dxa"/>
            <w:shd w:val="clear" w:color="auto" w:fill="FFD966"/>
            <w:tcMar>
              <w:top w:w="40" w:type="dxa"/>
              <w:left w:w="50" w:type="dxa"/>
              <w:bottom w:w="40" w:type="dxa"/>
              <w:right w:w="50" w:type="dxa"/>
            </w:tcMar>
            <w:vAlign w:val="center"/>
          </w:tcPr>
          <w:p w14:paraId="009FEC5E">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4EA9B6B9">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1B76A9E4">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4FE062B7">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5BEF5B74">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0DF46FBB">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7D530417">
            <w:pPr>
              <w:spacing w:before="0" w:after="0"/>
              <w:jc w:val="left"/>
            </w:pPr>
            <w:r>
              <w:rPr>
                <w:rFonts w:ascii="Times New Roman" w:hAnsi="Times New Roman"/>
                <w:b w:val="0"/>
                <w:sz w:val="14"/>
              </w:rPr>
              <w:t>Intervention and endpoint were reported, but concealment, deviations/adherence, assessor masking, and prespecified reporting were incompletely described.</w:t>
            </w:r>
          </w:p>
        </w:tc>
      </w:tr>
      <w:tr w14:paraId="3A846F22">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4CEA1166">
            <w:pPr>
              <w:spacing w:before="0" w:after="0"/>
              <w:jc w:val="left"/>
            </w:pPr>
            <w:r>
              <w:rPr>
                <w:rFonts w:ascii="Times New Roman" w:hAnsi="Times New Roman"/>
                <w:b w:val="0"/>
                <w:sz w:val="14"/>
              </w:rPr>
              <w:t>Li et al. (2025)</w:t>
            </w:r>
          </w:p>
        </w:tc>
        <w:tc>
          <w:tcPr>
            <w:tcW w:w="2520" w:type="dxa"/>
            <w:tcMar>
              <w:top w:w="40" w:type="dxa"/>
              <w:left w:w="50" w:type="dxa"/>
              <w:bottom w:w="40" w:type="dxa"/>
              <w:right w:w="50" w:type="dxa"/>
            </w:tcMar>
            <w:vAlign w:val="center"/>
          </w:tcPr>
          <w:p w14:paraId="0893A664">
            <w:pPr>
              <w:spacing w:before="0" w:after="0"/>
              <w:jc w:val="left"/>
            </w:pPr>
            <w:r>
              <w:rPr>
                <w:rFonts w:ascii="Times New Roman" w:hAnsi="Times New Roman"/>
                <w:b w:val="0"/>
                <w:sz w:val="14"/>
              </w:rPr>
              <w:t>Dichotomous NSSI prevalence after the 6-month school intervention</w:t>
            </w:r>
          </w:p>
        </w:tc>
        <w:tc>
          <w:tcPr>
            <w:tcW w:w="720" w:type="dxa"/>
            <w:shd w:val="clear" w:color="auto" w:fill="C00000"/>
            <w:tcMar>
              <w:top w:w="40" w:type="dxa"/>
              <w:left w:w="50" w:type="dxa"/>
              <w:bottom w:w="40" w:type="dxa"/>
              <w:right w:w="50" w:type="dxa"/>
            </w:tcMar>
            <w:vAlign w:val="center"/>
          </w:tcPr>
          <w:p w14:paraId="43FDA1B6">
            <w:pPr>
              <w:spacing w:before="0" w:after="0"/>
              <w:jc w:val="center"/>
            </w:pPr>
            <w:r>
              <w:rPr>
                <w:rFonts w:ascii="Times New Roman" w:hAnsi="Times New Roman"/>
                <w:b w:val="0"/>
                <w:color w:val="FFFFFF"/>
                <w:sz w:val="14"/>
              </w:rPr>
              <w:t>H</w:t>
            </w:r>
          </w:p>
        </w:tc>
        <w:tc>
          <w:tcPr>
            <w:tcW w:w="720" w:type="dxa"/>
            <w:shd w:val="clear" w:color="auto" w:fill="FFD966"/>
            <w:tcMar>
              <w:top w:w="40" w:type="dxa"/>
              <w:left w:w="50" w:type="dxa"/>
              <w:bottom w:w="40" w:type="dxa"/>
              <w:right w:w="50" w:type="dxa"/>
            </w:tcMar>
            <w:vAlign w:val="center"/>
          </w:tcPr>
          <w:p w14:paraId="2CD31CE9">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31905600">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1587F66C">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2376C390">
            <w:pPr>
              <w:spacing w:before="0" w:after="0"/>
              <w:jc w:val="center"/>
            </w:pPr>
            <w:r>
              <w:rPr>
                <w:rFonts w:ascii="Times New Roman" w:hAnsi="Times New Roman"/>
                <w:b w:val="0"/>
                <w:sz w:val="14"/>
              </w:rPr>
              <w:t>SC</w:t>
            </w:r>
          </w:p>
        </w:tc>
        <w:tc>
          <w:tcPr>
            <w:tcW w:w="1512" w:type="dxa"/>
            <w:shd w:val="clear" w:color="auto" w:fill="C00000"/>
            <w:tcMar>
              <w:top w:w="40" w:type="dxa"/>
              <w:left w:w="50" w:type="dxa"/>
              <w:bottom w:w="40" w:type="dxa"/>
              <w:right w:w="50" w:type="dxa"/>
            </w:tcMar>
            <w:vAlign w:val="center"/>
          </w:tcPr>
          <w:p w14:paraId="0E0EB19B">
            <w:pPr>
              <w:spacing w:before="0" w:after="0"/>
              <w:jc w:val="center"/>
            </w:pPr>
            <w:r>
              <w:rPr>
                <w:rFonts w:ascii="Times New Roman" w:hAnsi="Times New Roman"/>
                <w:b/>
                <w:color w:val="FFFFFF"/>
                <w:sz w:val="14"/>
              </w:rPr>
              <w:t>High risk</w:t>
            </w:r>
          </w:p>
        </w:tc>
        <w:tc>
          <w:tcPr>
            <w:tcW w:w="4392" w:type="dxa"/>
            <w:tcMar>
              <w:top w:w="40" w:type="dxa"/>
              <w:left w:w="50" w:type="dxa"/>
              <w:bottom w:w="40" w:type="dxa"/>
              <w:right w:w="50" w:type="dxa"/>
            </w:tcMar>
            <w:vAlign w:val="center"/>
          </w:tcPr>
          <w:p w14:paraId="39CD472C">
            <w:pPr>
              <w:spacing w:before="0" w:after="0"/>
              <w:jc w:val="left"/>
            </w:pPr>
            <w:r>
              <w:rPr>
                <w:rFonts w:ascii="Times New Roman" w:hAnsi="Times New Roman"/>
                <w:b w:val="0"/>
                <w:sz w:val="14"/>
              </w:rPr>
              <w:t>Classes from one school were assigned to intervention and classes from another to control, creating potential school-level confounding; cluster-adjusted primary analysis was not clearly reported and outcomes were self-reported.</w:t>
            </w:r>
          </w:p>
        </w:tc>
      </w:tr>
      <w:tr w14:paraId="38FEE78A">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5905E9B6">
            <w:pPr>
              <w:spacing w:before="0" w:after="0"/>
              <w:jc w:val="left"/>
            </w:pPr>
            <w:r>
              <w:rPr>
                <w:rFonts w:ascii="Times New Roman" w:hAnsi="Times New Roman"/>
                <w:b w:val="0"/>
                <w:sz w:val="14"/>
              </w:rPr>
              <w:t>Husain et al. (2025)</w:t>
            </w:r>
          </w:p>
        </w:tc>
        <w:tc>
          <w:tcPr>
            <w:tcW w:w="2520" w:type="dxa"/>
            <w:tcMar>
              <w:top w:w="40" w:type="dxa"/>
              <w:left w:w="50" w:type="dxa"/>
              <w:bottom w:w="40" w:type="dxa"/>
              <w:right w:w="50" w:type="dxa"/>
            </w:tcMar>
            <w:vAlign w:val="center"/>
          </w:tcPr>
          <w:p w14:paraId="3EC0D70A">
            <w:pPr>
              <w:spacing w:before="0" w:after="0"/>
              <w:jc w:val="left"/>
            </w:pPr>
            <w:r>
              <w:rPr>
                <w:rFonts w:ascii="Times New Roman" w:hAnsi="Times New Roman"/>
                <w:b w:val="0"/>
                <w:sz w:val="14"/>
              </w:rPr>
              <w:t>Repetition of self-harm at 12 months</w:t>
            </w:r>
          </w:p>
        </w:tc>
        <w:tc>
          <w:tcPr>
            <w:tcW w:w="720" w:type="dxa"/>
            <w:shd w:val="clear" w:color="auto" w:fill="70AD47"/>
            <w:tcMar>
              <w:top w:w="40" w:type="dxa"/>
              <w:left w:w="50" w:type="dxa"/>
              <w:bottom w:w="40" w:type="dxa"/>
              <w:right w:w="50" w:type="dxa"/>
            </w:tcMar>
            <w:vAlign w:val="center"/>
          </w:tcPr>
          <w:p w14:paraId="56294658">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6504070D">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73B32BB6">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0C842145">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3688EC81">
            <w:pPr>
              <w:spacing w:before="0" w:after="0"/>
              <w:jc w:val="center"/>
            </w:pPr>
            <w:r>
              <w:rPr>
                <w:rFonts w:ascii="Times New Roman" w:hAnsi="Times New Roman"/>
                <w:b w:val="0"/>
                <w:color w:val="FFFFFF"/>
                <w:sz w:val="14"/>
              </w:rPr>
              <w:t>L</w:t>
            </w:r>
          </w:p>
        </w:tc>
        <w:tc>
          <w:tcPr>
            <w:tcW w:w="1512" w:type="dxa"/>
            <w:shd w:val="clear" w:color="auto" w:fill="70AD47"/>
            <w:tcMar>
              <w:top w:w="40" w:type="dxa"/>
              <w:left w:w="50" w:type="dxa"/>
              <w:bottom w:w="40" w:type="dxa"/>
              <w:right w:w="50" w:type="dxa"/>
            </w:tcMar>
            <w:vAlign w:val="center"/>
          </w:tcPr>
          <w:p w14:paraId="3B322BBD">
            <w:pPr>
              <w:spacing w:before="0" w:after="0"/>
              <w:jc w:val="center"/>
            </w:pPr>
            <w:r>
              <w:rPr>
                <w:rFonts w:ascii="Times New Roman" w:hAnsi="Times New Roman"/>
                <w:b/>
                <w:color w:val="FFFFFF"/>
                <w:sz w:val="14"/>
              </w:rPr>
              <w:t>Low risk</w:t>
            </w:r>
          </w:p>
        </w:tc>
        <w:tc>
          <w:tcPr>
            <w:tcW w:w="4392" w:type="dxa"/>
            <w:tcMar>
              <w:top w:w="40" w:type="dxa"/>
              <w:left w:w="50" w:type="dxa"/>
              <w:bottom w:w="40" w:type="dxa"/>
              <w:right w:w="50" w:type="dxa"/>
            </w:tcMar>
            <w:vAlign w:val="center"/>
          </w:tcPr>
          <w:p w14:paraId="02FA7694">
            <w:pPr>
              <w:spacing w:before="0" w:after="0"/>
              <w:jc w:val="left"/>
            </w:pPr>
            <w:r>
              <w:rPr>
                <w:rFonts w:ascii="Times New Roman" w:hAnsi="Times New Roman"/>
                <w:b w:val="0"/>
                <w:sz w:val="14"/>
              </w:rPr>
              <w:t>Large multicenter, prospectively registered, rater-blind randomized trial with prespecified follow-up, appropriate allocation, and intention-to-treat analysis.</w:t>
            </w:r>
          </w:p>
        </w:tc>
      </w:tr>
      <w:tr w14:paraId="17F5F85A">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697E70AD">
            <w:pPr>
              <w:spacing w:before="0" w:after="0"/>
              <w:jc w:val="left"/>
            </w:pPr>
            <w:r>
              <w:rPr>
                <w:rFonts w:ascii="Times New Roman" w:hAnsi="Times New Roman"/>
                <w:b w:val="0"/>
                <w:sz w:val="14"/>
              </w:rPr>
              <w:t>Zheng et al. (2025)</w:t>
            </w:r>
          </w:p>
        </w:tc>
        <w:tc>
          <w:tcPr>
            <w:tcW w:w="2520" w:type="dxa"/>
            <w:tcMar>
              <w:top w:w="40" w:type="dxa"/>
              <w:left w:w="50" w:type="dxa"/>
              <w:bottom w:w="40" w:type="dxa"/>
              <w:right w:w="50" w:type="dxa"/>
            </w:tcMar>
            <w:vAlign w:val="center"/>
          </w:tcPr>
          <w:p w14:paraId="7D74EB2F">
            <w:pPr>
              <w:spacing w:before="0" w:after="0"/>
              <w:jc w:val="left"/>
            </w:pPr>
            <w:r>
              <w:rPr>
                <w:rFonts w:ascii="Times New Roman" w:hAnsi="Times New Roman"/>
                <w:b w:val="0"/>
                <w:sz w:val="14"/>
              </w:rPr>
              <w:t>Dichotomous NSSI/self-harm endpoint used in synthesis</w:t>
            </w:r>
          </w:p>
        </w:tc>
        <w:tc>
          <w:tcPr>
            <w:tcW w:w="720" w:type="dxa"/>
            <w:shd w:val="clear" w:color="auto" w:fill="FFD966"/>
            <w:tcMar>
              <w:top w:w="40" w:type="dxa"/>
              <w:left w:w="50" w:type="dxa"/>
              <w:bottom w:w="40" w:type="dxa"/>
              <w:right w:w="50" w:type="dxa"/>
            </w:tcMar>
            <w:vAlign w:val="center"/>
          </w:tcPr>
          <w:p w14:paraId="27D6A8BF">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61B58038">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5270B096">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2548FF6E">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2F01AC32">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528D25D7">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633AE148">
            <w:pPr>
              <w:spacing w:before="0" w:after="0"/>
              <w:jc w:val="left"/>
            </w:pPr>
            <w:r>
              <w:rPr>
                <w:rFonts w:ascii="Times New Roman" w:hAnsi="Times New Roman"/>
                <w:b w:val="0"/>
                <w:sz w:val="14"/>
              </w:rPr>
              <w:t>Group outcome data were reported, but concealed allocation, deviations, blinded measurement, and prospective outcome specification were incompletely described.</w:t>
            </w:r>
          </w:p>
        </w:tc>
      </w:tr>
      <w:tr w14:paraId="394CED8B">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4B9EBD0A">
            <w:pPr>
              <w:spacing w:before="0" w:after="0"/>
              <w:jc w:val="left"/>
            </w:pPr>
            <w:r>
              <w:rPr>
                <w:rFonts w:ascii="Times New Roman" w:hAnsi="Times New Roman"/>
                <w:b w:val="0"/>
                <w:sz w:val="14"/>
              </w:rPr>
              <w:t>Jiang et al. (2025)</w:t>
            </w:r>
          </w:p>
        </w:tc>
        <w:tc>
          <w:tcPr>
            <w:tcW w:w="2520" w:type="dxa"/>
            <w:tcMar>
              <w:top w:w="40" w:type="dxa"/>
              <w:left w:w="50" w:type="dxa"/>
              <w:bottom w:w="40" w:type="dxa"/>
              <w:right w:w="50" w:type="dxa"/>
            </w:tcMar>
            <w:vAlign w:val="center"/>
          </w:tcPr>
          <w:p w14:paraId="2332A965">
            <w:pPr>
              <w:spacing w:before="0" w:after="0"/>
              <w:jc w:val="left"/>
            </w:pPr>
            <w:r>
              <w:rPr>
                <w:rFonts w:ascii="Times New Roman" w:hAnsi="Times New Roman"/>
                <w:b w:val="0"/>
                <w:sz w:val="14"/>
              </w:rPr>
              <w:t>Dichotomous NSSI/self-harm endpoint used in synthesis</w:t>
            </w:r>
          </w:p>
        </w:tc>
        <w:tc>
          <w:tcPr>
            <w:tcW w:w="720" w:type="dxa"/>
            <w:shd w:val="clear" w:color="auto" w:fill="FFD966"/>
            <w:tcMar>
              <w:top w:w="40" w:type="dxa"/>
              <w:left w:w="50" w:type="dxa"/>
              <w:bottom w:w="40" w:type="dxa"/>
              <w:right w:w="50" w:type="dxa"/>
            </w:tcMar>
            <w:vAlign w:val="center"/>
          </w:tcPr>
          <w:p w14:paraId="34489E24">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12C5EE9C">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427F1D0D">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7F94098F">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6CC54905">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1BE6D75D">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5FCDDB9F">
            <w:pPr>
              <w:spacing w:before="0" w:after="0"/>
              <w:jc w:val="left"/>
            </w:pPr>
            <w:r>
              <w:rPr>
                <w:rFonts w:ascii="Times New Roman" w:hAnsi="Times New Roman"/>
                <w:b w:val="0"/>
                <w:sz w:val="14"/>
              </w:rPr>
              <w:t>Outcome completeness appeared acceptable; randomization safeguards, assessor masking, and a prospective protocol/analysis plan were not clearly available.</w:t>
            </w:r>
          </w:p>
        </w:tc>
      </w:tr>
    </w:tbl>
    <w:p w14:paraId="30BE0F8A">
      <w:pPr>
        <w:spacing w:before="60" w:after="80"/>
      </w:pPr>
      <w:r>
        <w:rPr>
          <w:rFonts w:ascii="Times New Roman" w:hAnsi="Times New Roman"/>
          <w:sz w:val="17"/>
        </w:rPr>
        <w:t>Abbreviations: L, low risk; SC, some concerns; H, high risk; D1, randomization process; D2, deviations from intended interventions; D3, missing outcome data; D4, measurement of the outcome; D5, selection of the reported result.</w:t>
      </w:r>
    </w:p>
    <w:p w14:paraId="23F05E9E">
      <w:r>
        <w:br w:type="page"/>
      </w:r>
    </w:p>
    <w:p w14:paraId="1D8D83C4">
      <w:pPr>
        <w:keepNext/>
        <w:spacing w:before="120" w:after="80"/>
      </w:pPr>
      <w:r>
        <w:rPr>
          <w:rFonts w:ascii="Times New Roman" w:hAnsi="Times New Roman"/>
          <w:b/>
          <w:sz w:val="21"/>
        </w:rPr>
        <w:t>Supplementary Table S1B. Detailed outcome-specific RoB 2 judgments for continuous NSSI/self-harm outcomes</w:t>
      </w:r>
    </w:p>
    <w:tbl>
      <w:tblPr>
        <w:tblStyle w:val="32"/>
        <w:tblW w:w="0" w:type="auto"/>
        <w:jc w:val="center"/>
        <w:tblLayout w:type="fixed"/>
        <w:tblCellMar>
          <w:top w:w="0" w:type="dxa"/>
          <w:left w:w="108" w:type="dxa"/>
          <w:bottom w:w="0" w:type="dxa"/>
          <w:right w:w="108" w:type="dxa"/>
        </w:tblCellMar>
      </w:tblPr>
      <w:tblGrid>
        <w:gridCol w:w="1616"/>
        <w:gridCol w:w="1616"/>
        <w:gridCol w:w="1616"/>
        <w:gridCol w:w="1616"/>
        <w:gridCol w:w="1616"/>
        <w:gridCol w:w="1616"/>
        <w:gridCol w:w="1616"/>
        <w:gridCol w:w="1616"/>
        <w:gridCol w:w="1616"/>
      </w:tblGrid>
      <w:tr w14:paraId="5D11D44B">
        <w:tblPrEx>
          <w:tblCellMar>
            <w:top w:w="0" w:type="dxa"/>
            <w:left w:w="108" w:type="dxa"/>
            <w:bottom w:w="0" w:type="dxa"/>
            <w:right w:w="108" w:type="dxa"/>
          </w:tblCellMar>
        </w:tblPrEx>
        <w:trPr>
          <w:cantSplit/>
          <w:tblHeader/>
          <w:jc w:val="center"/>
        </w:trPr>
        <w:tc>
          <w:tcPr>
            <w:tcW w:w="1800" w:type="dxa"/>
            <w:shd w:val="clear" w:color="auto" w:fill="D9E2F3"/>
            <w:tcMar>
              <w:top w:w="40" w:type="dxa"/>
              <w:left w:w="50" w:type="dxa"/>
              <w:bottom w:w="40" w:type="dxa"/>
              <w:right w:w="50" w:type="dxa"/>
            </w:tcMar>
            <w:vAlign w:val="center"/>
          </w:tcPr>
          <w:p w14:paraId="535F2075">
            <w:pPr>
              <w:spacing w:before="0" w:after="0"/>
              <w:jc w:val="center"/>
            </w:pPr>
            <w:r>
              <w:rPr>
                <w:rFonts w:ascii="Times New Roman" w:hAnsi="Times New Roman"/>
                <w:b/>
                <w:sz w:val="15"/>
              </w:rPr>
              <w:t>Study</w:t>
            </w:r>
          </w:p>
        </w:tc>
        <w:tc>
          <w:tcPr>
            <w:tcW w:w="2520" w:type="dxa"/>
            <w:shd w:val="clear" w:color="auto" w:fill="D9E2F3"/>
            <w:tcMar>
              <w:top w:w="40" w:type="dxa"/>
              <w:left w:w="50" w:type="dxa"/>
              <w:bottom w:w="40" w:type="dxa"/>
              <w:right w:w="50" w:type="dxa"/>
            </w:tcMar>
            <w:vAlign w:val="center"/>
          </w:tcPr>
          <w:p w14:paraId="6768CE7D">
            <w:pPr>
              <w:spacing w:before="0" w:after="0"/>
              <w:jc w:val="center"/>
            </w:pPr>
            <w:r>
              <w:rPr>
                <w:rFonts w:ascii="Times New Roman" w:hAnsi="Times New Roman"/>
                <w:b/>
                <w:sz w:val="15"/>
              </w:rPr>
              <w:t>Target outcome/time point</w:t>
            </w:r>
          </w:p>
        </w:tc>
        <w:tc>
          <w:tcPr>
            <w:tcW w:w="720" w:type="dxa"/>
            <w:shd w:val="clear" w:color="auto" w:fill="D9E2F3"/>
            <w:tcMar>
              <w:top w:w="40" w:type="dxa"/>
              <w:left w:w="50" w:type="dxa"/>
              <w:bottom w:w="40" w:type="dxa"/>
              <w:right w:w="50" w:type="dxa"/>
            </w:tcMar>
            <w:vAlign w:val="center"/>
          </w:tcPr>
          <w:p w14:paraId="10C4074E">
            <w:pPr>
              <w:spacing w:before="0" w:after="0"/>
              <w:jc w:val="center"/>
            </w:pPr>
            <w:r>
              <w:rPr>
                <w:rFonts w:ascii="Times New Roman" w:hAnsi="Times New Roman"/>
                <w:b/>
                <w:sz w:val="15"/>
              </w:rPr>
              <w:t>D1</w:t>
            </w:r>
          </w:p>
        </w:tc>
        <w:tc>
          <w:tcPr>
            <w:tcW w:w="720" w:type="dxa"/>
            <w:shd w:val="clear" w:color="auto" w:fill="D9E2F3"/>
            <w:tcMar>
              <w:top w:w="40" w:type="dxa"/>
              <w:left w:w="50" w:type="dxa"/>
              <w:bottom w:w="40" w:type="dxa"/>
              <w:right w:w="50" w:type="dxa"/>
            </w:tcMar>
            <w:vAlign w:val="center"/>
          </w:tcPr>
          <w:p w14:paraId="3AECA702">
            <w:pPr>
              <w:spacing w:before="0" w:after="0"/>
              <w:jc w:val="center"/>
            </w:pPr>
            <w:r>
              <w:rPr>
                <w:rFonts w:ascii="Times New Roman" w:hAnsi="Times New Roman"/>
                <w:b/>
                <w:sz w:val="15"/>
              </w:rPr>
              <w:t>D2</w:t>
            </w:r>
          </w:p>
        </w:tc>
        <w:tc>
          <w:tcPr>
            <w:tcW w:w="720" w:type="dxa"/>
            <w:shd w:val="clear" w:color="auto" w:fill="D9E2F3"/>
            <w:tcMar>
              <w:top w:w="40" w:type="dxa"/>
              <w:left w:w="50" w:type="dxa"/>
              <w:bottom w:w="40" w:type="dxa"/>
              <w:right w:w="50" w:type="dxa"/>
            </w:tcMar>
            <w:vAlign w:val="center"/>
          </w:tcPr>
          <w:p w14:paraId="4D2DC127">
            <w:pPr>
              <w:spacing w:before="0" w:after="0"/>
              <w:jc w:val="center"/>
            </w:pPr>
            <w:r>
              <w:rPr>
                <w:rFonts w:ascii="Times New Roman" w:hAnsi="Times New Roman"/>
                <w:b/>
                <w:sz w:val="15"/>
              </w:rPr>
              <w:t>D3</w:t>
            </w:r>
          </w:p>
        </w:tc>
        <w:tc>
          <w:tcPr>
            <w:tcW w:w="720" w:type="dxa"/>
            <w:shd w:val="clear" w:color="auto" w:fill="D9E2F3"/>
            <w:tcMar>
              <w:top w:w="40" w:type="dxa"/>
              <w:left w:w="50" w:type="dxa"/>
              <w:bottom w:w="40" w:type="dxa"/>
              <w:right w:w="50" w:type="dxa"/>
            </w:tcMar>
            <w:vAlign w:val="center"/>
          </w:tcPr>
          <w:p w14:paraId="28FF8B0C">
            <w:pPr>
              <w:spacing w:before="0" w:after="0"/>
              <w:jc w:val="center"/>
            </w:pPr>
            <w:r>
              <w:rPr>
                <w:rFonts w:ascii="Times New Roman" w:hAnsi="Times New Roman"/>
                <w:b/>
                <w:sz w:val="15"/>
              </w:rPr>
              <w:t>D4</w:t>
            </w:r>
          </w:p>
        </w:tc>
        <w:tc>
          <w:tcPr>
            <w:tcW w:w="720" w:type="dxa"/>
            <w:shd w:val="clear" w:color="auto" w:fill="D9E2F3"/>
            <w:tcMar>
              <w:top w:w="40" w:type="dxa"/>
              <w:left w:w="50" w:type="dxa"/>
              <w:bottom w:w="40" w:type="dxa"/>
              <w:right w:w="50" w:type="dxa"/>
            </w:tcMar>
            <w:vAlign w:val="center"/>
          </w:tcPr>
          <w:p w14:paraId="74AD199C">
            <w:pPr>
              <w:spacing w:before="0" w:after="0"/>
              <w:jc w:val="center"/>
            </w:pPr>
            <w:r>
              <w:rPr>
                <w:rFonts w:ascii="Times New Roman" w:hAnsi="Times New Roman"/>
                <w:b/>
                <w:sz w:val="15"/>
              </w:rPr>
              <w:t>D5</w:t>
            </w:r>
          </w:p>
        </w:tc>
        <w:tc>
          <w:tcPr>
            <w:tcW w:w="1512" w:type="dxa"/>
            <w:shd w:val="clear" w:color="auto" w:fill="D9E2F3"/>
            <w:tcMar>
              <w:top w:w="40" w:type="dxa"/>
              <w:left w:w="50" w:type="dxa"/>
              <w:bottom w:w="40" w:type="dxa"/>
              <w:right w:w="50" w:type="dxa"/>
            </w:tcMar>
            <w:vAlign w:val="center"/>
          </w:tcPr>
          <w:p w14:paraId="0F18F27E">
            <w:pPr>
              <w:spacing w:before="0" w:after="0"/>
              <w:jc w:val="center"/>
            </w:pPr>
            <w:r>
              <w:rPr>
                <w:rFonts w:ascii="Times New Roman" w:hAnsi="Times New Roman"/>
                <w:b/>
                <w:sz w:val="15"/>
              </w:rPr>
              <w:t>Overall</w:t>
            </w:r>
          </w:p>
        </w:tc>
        <w:tc>
          <w:tcPr>
            <w:tcW w:w="4392" w:type="dxa"/>
            <w:shd w:val="clear" w:color="auto" w:fill="D9E2F3"/>
            <w:tcMar>
              <w:top w:w="40" w:type="dxa"/>
              <w:left w:w="50" w:type="dxa"/>
              <w:bottom w:w="40" w:type="dxa"/>
              <w:right w:w="50" w:type="dxa"/>
            </w:tcMar>
            <w:vAlign w:val="center"/>
          </w:tcPr>
          <w:p w14:paraId="5536D6A5">
            <w:pPr>
              <w:spacing w:before="0" w:after="0"/>
              <w:jc w:val="center"/>
            </w:pPr>
            <w:r>
              <w:rPr>
                <w:rFonts w:ascii="Times New Roman" w:hAnsi="Times New Roman"/>
                <w:b/>
                <w:sz w:val="15"/>
              </w:rPr>
              <w:t>Key basis for judgment</w:t>
            </w:r>
          </w:p>
        </w:tc>
      </w:tr>
      <w:tr w14:paraId="400DB08A">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733D28B8">
            <w:pPr>
              <w:spacing w:before="0" w:after="0"/>
              <w:jc w:val="left"/>
            </w:pPr>
            <w:r>
              <w:rPr>
                <w:rFonts w:ascii="Times New Roman" w:hAnsi="Times New Roman"/>
                <w:b w:val="0"/>
                <w:sz w:val="14"/>
              </w:rPr>
              <w:t>Mehlum et al. (2014)</w:t>
            </w:r>
          </w:p>
        </w:tc>
        <w:tc>
          <w:tcPr>
            <w:tcW w:w="2520" w:type="dxa"/>
            <w:tcMar>
              <w:top w:w="40" w:type="dxa"/>
              <w:left w:w="50" w:type="dxa"/>
              <w:bottom w:w="40" w:type="dxa"/>
              <w:right w:w="50" w:type="dxa"/>
            </w:tcMar>
            <w:vAlign w:val="center"/>
          </w:tcPr>
          <w:p w14:paraId="0650707A">
            <w:pPr>
              <w:spacing w:before="0" w:after="0"/>
              <w:jc w:val="left"/>
            </w:pPr>
            <w:r>
              <w:rPr>
                <w:rFonts w:ascii="Times New Roman" w:hAnsi="Times New Roman"/>
                <w:b w:val="0"/>
                <w:sz w:val="14"/>
              </w:rPr>
              <w:t>Self-harm frequency at 19 weeks</w:t>
            </w:r>
          </w:p>
        </w:tc>
        <w:tc>
          <w:tcPr>
            <w:tcW w:w="720" w:type="dxa"/>
            <w:shd w:val="clear" w:color="auto" w:fill="70AD47"/>
            <w:tcMar>
              <w:top w:w="40" w:type="dxa"/>
              <w:left w:w="50" w:type="dxa"/>
              <w:bottom w:w="40" w:type="dxa"/>
              <w:right w:w="50" w:type="dxa"/>
            </w:tcMar>
            <w:vAlign w:val="center"/>
          </w:tcPr>
          <w:p w14:paraId="21D4E550">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1D9A1AE4">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4E708E40">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26E72545">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35D03DAE">
            <w:pPr>
              <w:spacing w:before="0" w:after="0"/>
              <w:jc w:val="center"/>
            </w:pPr>
            <w:r>
              <w:rPr>
                <w:rFonts w:ascii="Times New Roman" w:hAnsi="Times New Roman"/>
                <w:b w:val="0"/>
                <w:color w:val="FFFFFF"/>
                <w:sz w:val="14"/>
              </w:rPr>
              <w:t>L</w:t>
            </w:r>
          </w:p>
        </w:tc>
        <w:tc>
          <w:tcPr>
            <w:tcW w:w="1512" w:type="dxa"/>
            <w:shd w:val="clear" w:color="auto" w:fill="70AD47"/>
            <w:tcMar>
              <w:top w:w="40" w:type="dxa"/>
              <w:left w:w="50" w:type="dxa"/>
              <w:bottom w:w="40" w:type="dxa"/>
              <w:right w:w="50" w:type="dxa"/>
            </w:tcMar>
            <w:vAlign w:val="center"/>
          </w:tcPr>
          <w:p w14:paraId="7C8BA415">
            <w:pPr>
              <w:spacing w:before="0" w:after="0"/>
              <w:jc w:val="center"/>
            </w:pPr>
            <w:r>
              <w:rPr>
                <w:rFonts w:ascii="Times New Roman" w:hAnsi="Times New Roman"/>
                <w:b/>
                <w:color w:val="FFFFFF"/>
                <w:sz w:val="14"/>
              </w:rPr>
              <w:t>Low risk</w:t>
            </w:r>
          </w:p>
        </w:tc>
        <w:tc>
          <w:tcPr>
            <w:tcW w:w="4392" w:type="dxa"/>
            <w:tcMar>
              <w:top w:w="40" w:type="dxa"/>
              <w:left w:w="50" w:type="dxa"/>
              <w:bottom w:w="40" w:type="dxa"/>
              <w:right w:w="50" w:type="dxa"/>
            </w:tcMar>
            <w:vAlign w:val="center"/>
          </w:tcPr>
          <w:p w14:paraId="0396DAFD">
            <w:pPr>
              <w:spacing w:before="0" w:after="0"/>
              <w:jc w:val="left"/>
            </w:pPr>
            <w:r>
              <w:rPr>
                <w:rFonts w:ascii="Times New Roman" w:hAnsi="Times New Roman"/>
                <w:b w:val="0"/>
                <w:sz w:val="14"/>
              </w:rPr>
              <w:t>Concealed block randomization, successful assessor masking, treatment-fidelity monitoring, intention-to-treat analysis, and no research dropout were reported.</w:t>
            </w:r>
          </w:p>
        </w:tc>
      </w:tr>
      <w:tr w14:paraId="6C3088F7">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21F80481">
            <w:pPr>
              <w:spacing w:before="0" w:after="0"/>
              <w:jc w:val="left"/>
            </w:pPr>
            <w:r>
              <w:rPr>
                <w:rFonts w:ascii="Times New Roman" w:hAnsi="Times New Roman"/>
                <w:b w:val="0"/>
                <w:sz w:val="14"/>
              </w:rPr>
              <w:t>Wang et al. (2022a)</w:t>
            </w:r>
          </w:p>
        </w:tc>
        <w:tc>
          <w:tcPr>
            <w:tcW w:w="2520" w:type="dxa"/>
            <w:tcMar>
              <w:top w:w="40" w:type="dxa"/>
              <w:left w:w="50" w:type="dxa"/>
              <w:bottom w:w="40" w:type="dxa"/>
              <w:right w:w="50" w:type="dxa"/>
            </w:tcMar>
            <w:vAlign w:val="center"/>
          </w:tcPr>
          <w:p w14:paraId="399492D7">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1FA27BF6">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5EE0FC47">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0D81DE4A">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2F95EA71">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7B7DC179">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280D985D">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43A321F4">
            <w:pPr>
              <w:spacing w:before="0" w:after="0"/>
              <w:jc w:val="left"/>
            </w:pPr>
            <w:r>
              <w:rPr>
                <w:rFonts w:ascii="Times New Roman" w:hAnsi="Times New Roman"/>
                <w:b w:val="0"/>
                <w:sz w:val="14"/>
              </w:rPr>
              <w:t>Outcome data appeared complete; allocation concealment, deviations, blinded assessment of subjective outcomes, and prospective outcome specification were unclear.</w:t>
            </w:r>
          </w:p>
        </w:tc>
      </w:tr>
      <w:tr w14:paraId="1A7BC139">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3E667AC2">
            <w:pPr>
              <w:spacing w:before="0" w:after="0"/>
              <w:jc w:val="left"/>
            </w:pPr>
            <w:r>
              <w:rPr>
                <w:rFonts w:ascii="Times New Roman" w:hAnsi="Times New Roman"/>
                <w:b w:val="0"/>
                <w:sz w:val="14"/>
              </w:rPr>
              <w:t>Huang et al. (2022)</w:t>
            </w:r>
          </w:p>
        </w:tc>
        <w:tc>
          <w:tcPr>
            <w:tcW w:w="2520" w:type="dxa"/>
            <w:tcMar>
              <w:top w:w="40" w:type="dxa"/>
              <w:left w:w="50" w:type="dxa"/>
              <w:bottom w:w="40" w:type="dxa"/>
              <w:right w:w="50" w:type="dxa"/>
            </w:tcMar>
            <w:vAlign w:val="center"/>
          </w:tcPr>
          <w:p w14:paraId="13A444AB">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085EAD8E">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5AB053CB">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2233EB2B">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664462DE">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0CB72890">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37C159AF">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6502F48A">
            <w:pPr>
              <w:spacing w:before="0" w:after="0"/>
              <w:jc w:val="left"/>
            </w:pPr>
            <w:r>
              <w:rPr>
                <w:rFonts w:ascii="Times New Roman" w:hAnsi="Times New Roman"/>
                <w:b w:val="0"/>
                <w:sz w:val="14"/>
              </w:rPr>
              <w:t>Randomized/controlled methods were briefly reported; concealment, masking, adherence, and prespecified outcome selection could not be fully verified.</w:t>
            </w:r>
          </w:p>
        </w:tc>
      </w:tr>
      <w:tr w14:paraId="59090653">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664F9F40">
            <w:pPr>
              <w:spacing w:before="0" w:after="0"/>
              <w:jc w:val="left"/>
            </w:pPr>
            <w:r>
              <w:rPr>
                <w:rFonts w:ascii="Times New Roman" w:hAnsi="Times New Roman"/>
                <w:b w:val="0"/>
                <w:sz w:val="14"/>
              </w:rPr>
              <w:t>Wang et al. (2022b)</w:t>
            </w:r>
          </w:p>
        </w:tc>
        <w:tc>
          <w:tcPr>
            <w:tcW w:w="2520" w:type="dxa"/>
            <w:tcMar>
              <w:top w:w="40" w:type="dxa"/>
              <w:left w:w="50" w:type="dxa"/>
              <w:bottom w:w="40" w:type="dxa"/>
              <w:right w:w="50" w:type="dxa"/>
            </w:tcMar>
            <w:vAlign w:val="center"/>
          </w:tcPr>
          <w:p w14:paraId="36812D11">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4D971C36">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5533C3DC">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354AFE68">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50AC1031">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1094AC8C">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1B1540E1">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6D8E6740">
            <w:pPr>
              <w:spacing w:before="0" w:after="0"/>
              <w:jc w:val="left"/>
            </w:pPr>
            <w:r>
              <w:rPr>
                <w:rFonts w:ascii="Times New Roman" w:hAnsi="Times New Roman"/>
                <w:b w:val="0"/>
                <w:sz w:val="14"/>
              </w:rPr>
              <w:t>No major missing data were evident, but allocation concealment, blinded outcome assessment, and a prespecified analysis plan were not adequately described.</w:t>
            </w:r>
          </w:p>
        </w:tc>
      </w:tr>
      <w:tr w14:paraId="44926CE7">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17A6B1BB">
            <w:pPr>
              <w:spacing w:before="0" w:after="0"/>
              <w:jc w:val="left"/>
            </w:pPr>
            <w:r>
              <w:rPr>
                <w:rFonts w:ascii="Times New Roman" w:hAnsi="Times New Roman"/>
                <w:b w:val="0"/>
                <w:sz w:val="14"/>
              </w:rPr>
              <w:t>Stallard et al. (2024)</w:t>
            </w:r>
          </w:p>
        </w:tc>
        <w:tc>
          <w:tcPr>
            <w:tcW w:w="2520" w:type="dxa"/>
            <w:tcMar>
              <w:top w:w="40" w:type="dxa"/>
              <w:left w:w="50" w:type="dxa"/>
              <w:bottom w:w="40" w:type="dxa"/>
              <w:right w:w="50" w:type="dxa"/>
            </w:tcMar>
            <w:vAlign w:val="center"/>
          </w:tcPr>
          <w:p w14:paraId="6C46260E">
            <w:pPr>
              <w:spacing w:before="0" w:after="0"/>
              <w:jc w:val="left"/>
            </w:pPr>
            <w:r>
              <w:rPr>
                <w:rFonts w:ascii="Times New Roman" w:hAnsi="Times New Roman"/>
                <w:b w:val="0"/>
                <w:sz w:val="14"/>
              </w:rPr>
              <w:t>Continuous self-harm endpoint at the main follow-up</w:t>
            </w:r>
          </w:p>
        </w:tc>
        <w:tc>
          <w:tcPr>
            <w:tcW w:w="720" w:type="dxa"/>
            <w:shd w:val="clear" w:color="auto" w:fill="70AD47"/>
            <w:tcMar>
              <w:top w:w="40" w:type="dxa"/>
              <w:left w:w="50" w:type="dxa"/>
              <w:bottom w:w="40" w:type="dxa"/>
              <w:right w:w="50" w:type="dxa"/>
            </w:tcMar>
            <w:vAlign w:val="center"/>
          </w:tcPr>
          <w:p w14:paraId="39D3C198">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41DB4DB6">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5C1E3DC3">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2985C8E2">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6D1F74E6">
            <w:pPr>
              <w:spacing w:before="0" w:after="0"/>
              <w:jc w:val="center"/>
            </w:pPr>
            <w:r>
              <w:rPr>
                <w:rFonts w:ascii="Times New Roman" w:hAnsi="Times New Roman"/>
                <w:b w:val="0"/>
                <w:color w:val="FFFFFF"/>
                <w:sz w:val="14"/>
              </w:rPr>
              <w:t>L</w:t>
            </w:r>
          </w:p>
        </w:tc>
        <w:tc>
          <w:tcPr>
            <w:tcW w:w="1512" w:type="dxa"/>
            <w:shd w:val="clear" w:color="auto" w:fill="FFD966"/>
            <w:tcMar>
              <w:top w:w="40" w:type="dxa"/>
              <w:left w:w="50" w:type="dxa"/>
              <w:bottom w:w="40" w:type="dxa"/>
              <w:right w:w="50" w:type="dxa"/>
            </w:tcMar>
            <w:vAlign w:val="center"/>
          </w:tcPr>
          <w:p w14:paraId="734728E4">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0195FBBF">
            <w:pPr>
              <w:spacing w:before="0" w:after="0"/>
              <w:jc w:val="left"/>
            </w:pPr>
            <w:r>
              <w:rPr>
                <w:rFonts w:ascii="Times New Roman" w:hAnsi="Times New Roman"/>
                <w:b w:val="0"/>
                <w:sz w:val="14"/>
              </w:rPr>
              <w:t>Published protocol and randomized design; concern remained because the principal behavioral outcome was self-reported in an unblinded app trial and relied on available follow-up data.</w:t>
            </w:r>
          </w:p>
        </w:tc>
      </w:tr>
      <w:tr w14:paraId="6F13A55E">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49F508BC">
            <w:pPr>
              <w:spacing w:before="0" w:after="0"/>
              <w:jc w:val="left"/>
            </w:pPr>
            <w:r>
              <w:rPr>
                <w:rFonts w:ascii="Times New Roman" w:hAnsi="Times New Roman"/>
                <w:b w:val="0"/>
                <w:sz w:val="14"/>
              </w:rPr>
              <w:t>Zhang et al. (2024a)</w:t>
            </w:r>
          </w:p>
        </w:tc>
        <w:tc>
          <w:tcPr>
            <w:tcW w:w="2520" w:type="dxa"/>
            <w:tcMar>
              <w:top w:w="40" w:type="dxa"/>
              <w:left w:w="50" w:type="dxa"/>
              <w:bottom w:w="40" w:type="dxa"/>
              <w:right w:w="50" w:type="dxa"/>
            </w:tcMar>
            <w:vAlign w:val="center"/>
          </w:tcPr>
          <w:p w14:paraId="29EE520C">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26C21FAB">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3FB1EA7D">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4B939BB7">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3B136AAD">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1849EA15">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16A7DF4A">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67C9D995">
            <w:pPr>
              <w:spacing w:before="0" w:after="0"/>
              <w:jc w:val="left"/>
            </w:pPr>
            <w:r>
              <w:rPr>
                <w:rFonts w:ascii="Times New Roman" w:hAnsi="Times New Roman"/>
                <w:b w:val="0"/>
                <w:sz w:val="14"/>
              </w:rPr>
              <w:t>Random sequence generation, allocation concealment, blinded assessment, and prospective endpoint selection were insufficiently described.</w:t>
            </w:r>
          </w:p>
        </w:tc>
      </w:tr>
      <w:tr w14:paraId="11810BB6">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0F289A53">
            <w:pPr>
              <w:spacing w:before="0" w:after="0"/>
              <w:jc w:val="left"/>
            </w:pPr>
            <w:r>
              <w:rPr>
                <w:rFonts w:ascii="Times New Roman" w:hAnsi="Times New Roman"/>
                <w:b w:val="0"/>
                <w:sz w:val="14"/>
              </w:rPr>
              <w:t>Zhang et al. (2024c)</w:t>
            </w:r>
          </w:p>
        </w:tc>
        <w:tc>
          <w:tcPr>
            <w:tcW w:w="2520" w:type="dxa"/>
            <w:tcMar>
              <w:top w:w="40" w:type="dxa"/>
              <w:left w:w="50" w:type="dxa"/>
              <w:bottom w:w="40" w:type="dxa"/>
              <w:right w:w="50" w:type="dxa"/>
            </w:tcMar>
            <w:vAlign w:val="center"/>
          </w:tcPr>
          <w:p w14:paraId="5ABEF79D">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3A15C978">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5C97E728">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44A5C610">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2903F4FD">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5BA18F66">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4D91B846">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2503977C">
            <w:pPr>
              <w:spacing w:before="0" w:after="0"/>
              <w:jc w:val="left"/>
            </w:pPr>
            <w:r>
              <w:rPr>
                <w:rFonts w:ascii="Times New Roman" w:hAnsi="Times New Roman"/>
                <w:b w:val="0"/>
                <w:sz w:val="14"/>
              </w:rPr>
              <w:t>No major attrition was apparent, but randomization safeguards, blinded outcome assessment, and prospective analysis specifications were not sufficiently documented.</w:t>
            </w:r>
          </w:p>
        </w:tc>
      </w:tr>
      <w:tr w14:paraId="09FC574A">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6A2530B0">
            <w:pPr>
              <w:spacing w:before="0" w:after="0"/>
              <w:jc w:val="left"/>
            </w:pPr>
            <w:r>
              <w:rPr>
                <w:rFonts w:ascii="Times New Roman" w:hAnsi="Times New Roman"/>
                <w:b w:val="0"/>
                <w:sz w:val="14"/>
              </w:rPr>
              <w:t>Li et al. (2025)</w:t>
            </w:r>
          </w:p>
        </w:tc>
        <w:tc>
          <w:tcPr>
            <w:tcW w:w="2520" w:type="dxa"/>
            <w:tcMar>
              <w:top w:w="40" w:type="dxa"/>
              <w:left w:w="50" w:type="dxa"/>
              <w:bottom w:w="40" w:type="dxa"/>
              <w:right w:w="50" w:type="dxa"/>
            </w:tcMar>
            <w:vAlign w:val="center"/>
          </w:tcPr>
          <w:p w14:paraId="58172D04">
            <w:pPr>
              <w:spacing w:before="0" w:after="0"/>
              <w:jc w:val="left"/>
            </w:pPr>
            <w:r>
              <w:rPr>
                <w:rFonts w:ascii="Times New Roman" w:hAnsi="Times New Roman"/>
                <w:b w:val="0"/>
                <w:sz w:val="14"/>
              </w:rPr>
              <w:t>Continuous NSSI severity after the 6-month school intervention</w:t>
            </w:r>
          </w:p>
        </w:tc>
        <w:tc>
          <w:tcPr>
            <w:tcW w:w="720" w:type="dxa"/>
            <w:shd w:val="clear" w:color="auto" w:fill="C00000"/>
            <w:tcMar>
              <w:top w:w="40" w:type="dxa"/>
              <w:left w:w="50" w:type="dxa"/>
              <w:bottom w:w="40" w:type="dxa"/>
              <w:right w:w="50" w:type="dxa"/>
            </w:tcMar>
            <w:vAlign w:val="center"/>
          </w:tcPr>
          <w:p w14:paraId="2C1A188F">
            <w:pPr>
              <w:spacing w:before="0" w:after="0"/>
              <w:jc w:val="center"/>
            </w:pPr>
            <w:r>
              <w:rPr>
                <w:rFonts w:ascii="Times New Roman" w:hAnsi="Times New Roman"/>
                <w:b w:val="0"/>
                <w:color w:val="FFFFFF"/>
                <w:sz w:val="14"/>
              </w:rPr>
              <w:t>H</w:t>
            </w:r>
          </w:p>
        </w:tc>
        <w:tc>
          <w:tcPr>
            <w:tcW w:w="720" w:type="dxa"/>
            <w:shd w:val="clear" w:color="auto" w:fill="FFD966"/>
            <w:tcMar>
              <w:top w:w="40" w:type="dxa"/>
              <w:left w:w="50" w:type="dxa"/>
              <w:bottom w:w="40" w:type="dxa"/>
              <w:right w:w="50" w:type="dxa"/>
            </w:tcMar>
            <w:vAlign w:val="center"/>
          </w:tcPr>
          <w:p w14:paraId="63F6F6AF">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20F427D2">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7C9D4331">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23642BD2">
            <w:pPr>
              <w:spacing w:before="0" w:after="0"/>
              <w:jc w:val="center"/>
            </w:pPr>
            <w:r>
              <w:rPr>
                <w:rFonts w:ascii="Times New Roman" w:hAnsi="Times New Roman"/>
                <w:b w:val="0"/>
                <w:sz w:val="14"/>
              </w:rPr>
              <w:t>SC</w:t>
            </w:r>
          </w:p>
        </w:tc>
        <w:tc>
          <w:tcPr>
            <w:tcW w:w="1512" w:type="dxa"/>
            <w:shd w:val="clear" w:color="auto" w:fill="C00000"/>
            <w:tcMar>
              <w:top w:w="40" w:type="dxa"/>
              <w:left w:w="50" w:type="dxa"/>
              <w:bottom w:w="40" w:type="dxa"/>
              <w:right w:w="50" w:type="dxa"/>
            </w:tcMar>
            <w:vAlign w:val="center"/>
          </w:tcPr>
          <w:p w14:paraId="39AFEEE4">
            <w:pPr>
              <w:spacing w:before="0" w:after="0"/>
              <w:jc w:val="center"/>
            </w:pPr>
            <w:r>
              <w:rPr>
                <w:rFonts w:ascii="Times New Roman" w:hAnsi="Times New Roman"/>
                <w:b/>
                <w:color w:val="FFFFFF"/>
                <w:sz w:val="14"/>
              </w:rPr>
              <w:t>High risk</w:t>
            </w:r>
          </w:p>
        </w:tc>
        <w:tc>
          <w:tcPr>
            <w:tcW w:w="4392" w:type="dxa"/>
            <w:tcMar>
              <w:top w:w="40" w:type="dxa"/>
              <w:left w:w="50" w:type="dxa"/>
              <w:bottom w:w="40" w:type="dxa"/>
              <w:right w:w="50" w:type="dxa"/>
            </w:tcMar>
            <w:vAlign w:val="center"/>
          </w:tcPr>
          <w:p w14:paraId="41B99028">
            <w:pPr>
              <w:spacing w:before="0" w:after="0"/>
              <w:jc w:val="left"/>
            </w:pPr>
            <w:r>
              <w:rPr>
                <w:rFonts w:ascii="Times New Roman" w:hAnsi="Times New Roman"/>
                <w:b w:val="0"/>
                <w:sz w:val="14"/>
              </w:rPr>
              <w:t>The same school-level allocation created potential confounding for the continuous severity outcome; cluster-adjusted primary analysis was not clearly reported and severity was self-reported.</w:t>
            </w:r>
          </w:p>
        </w:tc>
      </w:tr>
      <w:tr w14:paraId="223645B5">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78033313">
            <w:pPr>
              <w:spacing w:before="0" w:after="0"/>
              <w:jc w:val="left"/>
            </w:pPr>
            <w:r>
              <w:rPr>
                <w:rFonts w:ascii="Times New Roman" w:hAnsi="Times New Roman"/>
                <w:b w:val="0"/>
                <w:sz w:val="14"/>
              </w:rPr>
              <w:t>Pan et al. (2025)</w:t>
            </w:r>
          </w:p>
        </w:tc>
        <w:tc>
          <w:tcPr>
            <w:tcW w:w="2520" w:type="dxa"/>
            <w:tcMar>
              <w:top w:w="40" w:type="dxa"/>
              <w:left w:w="50" w:type="dxa"/>
              <w:bottom w:w="40" w:type="dxa"/>
              <w:right w:w="50" w:type="dxa"/>
            </w:tcMar>
            <w:vAlign w:val="center"/>
          </w:tcPr>
          <w:p w14:paraId="2B554E55">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114F661E">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68A72BB2">
            <w:pPr>
              <w:spacing w:before="0" w:after="0"/>
              <w:jc w:val="center"/>
            </w:pPr>
            <w:r>
              <w:rPr>
                <w:rFonts w:ascii="Times New Roman" w:hAnsi="Times New Roman"/>
                <w:b w:val="0"/>
                <w:sz w:val="14"/>
              </w:rPr>
              <w:t>SC</w:t>
            </w:r>
          </w:p>
        </w:tc>
        <w:tc>
          <w:tcPr>
            <w:tcW w:w="720" w:type="dxa"/>
            <w:shd w:val="clear" w:color="auto" w:fill="C00000"/>
            <w:tcMar>
              <w:top w:w="40" w:type="dxa"/>
              <w:left w:w="50" w:type="dxa"/>
              <w:bottom w:w="40" w:type="dxa"/>
              <w:right w:w="50" w:type="dxa"/>
            </w:tcMar>
            <w:vAlign w:val="center"/>
          </w:tcPr>
          <w:p w14:paraId="24AF73B4">
            <w:pPr>
              <w:spacing w:before="0" w:after="0"/>
              <w:jc w:val="center"/>
            </w:pPr>
            <w:r>
              <w:rPr>
                <w:rFonts w:ascii="Times New Roman" w:hAnsi="Times New Roman"/>
                <w:b w:val="0"/>
                <w:color w:val="FFFFFF"/>
                <w:sz w:val="14"/>
              </w:rPr>
              <w:t>H</w:t>
            </w:r>
          </w:p>
        </w:tc>
        <w:tc>
          <w:tcPr>
            <w:tcW w:w="720" w:type="dxa"/>
            <w:shd w:val="clear" w:color="auto" w:fill="FFD966"/>
            <w:tcMar>
              <w:top w:w="40" w:type="dxa"/>
              <w:left w:w="50" w:type="dxa"/>
              <w:bottom w:w="40" w:type="dxa"/>
              <w:right w:w="50" w:type="dxa"/>
            </w:tcMar>
            <w:vAlign w:val="center"/>
          </w:tcPr>
          <w:p w14:paraId="64E2D5EF">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1E19C402">
            <w:pPr>
              <w:spacing w:before="0" w:after="0"/>
              <w:jc w:val="center"/>
            </w:pPr>
            <w:r>
              <w:rPr>
                <w:rFonts w:ascii="Times New Roman" w:hAnsi="Times New Roman"/>
                <w:b w:val="0"/>
                <w:sz w:val="14"/>
              </w:rPr>
              <w:t>SC</w:t>
            </w:r>
          </w:p>
        </w:tc>
        <w:tc>
          <w:tcPr>
            <w:tcW w:w="1512" w:type="dxa"/>
            <w:shd w:val="clear" w:color="auto" w:fill="C00000"/>
            <w:tcMar>
              <w:top w:w="40" w:type="dxa"/>
              <w:left w:w="50" w:type="dxa"/>
              <w:bottom w:w="40" w:type="dxa"/>
              <w:right w:w="50" w:type="dxa"/>
            </w:tcMar>
            <w:vAlign w:val="center"/>
          </w:tcPr>
          <w:p w14:paraId="1C8F02BD">
            <w:pPr>
              <w:spacing w:before="0" w:after="0"/>
              <w:jc w:val="center"/>
            </w:pPr>
            <w:r>
              <w:rPr>
                <w:rFonts w:ascii="Times New Roman" w:hAnsi="Times New Roman"/>
                <w:b/>
                <w:color w:val="FFFFFF"/>
                <w:sz w:val="14"/>
              </w:rPr>
              <w:t>High risk</w:t>
            </w:r>
          </w:p>
        </w:tc>
        <w:tc>
          <w:tcPr>
            <w:tcW w:w="4392" w:type="dxa"/>
            <w:tcMar>
              <w:top w:w="40" w:type="dxa"/>
              <w:left w:w="50" w:type="dxa"/>
              <w:bottom w:w="40" w:type="dxa"/>
              <w:right w:w="50" w:type="dxa"/>
            </w:tcMar>
            <w:vAlign w:val="center"/>
          </w:tcPr>
          <w:p w14:paraId="7BC973E2">
            <w:pPr>
              <w:spacing w:before="0" w:after="0"/>
              <w:jc w:val="left"/>
            </w:pPr>
            <w:r>
              <w:rPr>
                <w:rFonts w:ascii="Times New Roman" w:hAnsi="Times New Roman"/>
                <w:b w:val="0"/>
                <w:sz w:val="14"/>
              </w:rPr>
              <w:t>Participant flow and analyzable sample size were insufficiently transparent to verify missing-data handling; concealment, masking, and prespecification were also unclear.</w:t>
            </w:r>
          </w:p>
        </w:tc>
      </w:tr>
      <w:tr w14:paraId="435A4F7E">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3DF7225D">
            <w:pPr>
              <w:spacing w:before="0" w:after="0"/>
              <w:jc w:val="left"/>
            </w:pPr>
            <w:r>
              <w:rPr>
                <w:rFonts w:ascii="Times New Roman" w:hAnsi="Times New Roman"/>
                <w:b w:val="0"/>
                <w:sz w:val="14"/>
              </w:rPr>
              <w:t>Ren et al. (2025)</w:t>
            </w:r>
          </w:p>
        </w:tc>
        <w:tc>
          <w:tcPr>
            <w:tcW w:w="2520" w:type="dxa"/>
            <w:tcMar>
              <w:top w:w="40" w:type="dxa"/>
              <w:left w:w="50" w:type="dxa"/>
              <w:bottom w:w="40" w:type="dxa"/>
              <w:right w:w="50" w:type="dxa"/>
            </w:tcMar>
            <w:vAlign w:val="center"/>
          </w:tcPr>
          <w:p w14:paraId="553DE2BD">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2CC2A54F">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5409E69D">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0B6B1AEF">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0BF89CA9">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6ED373C1">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492B8189">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4767577D">
            <w:pPr>
              <w:spacing w:before="0" w:after="0"/>
              <w:jc w:val="left"/>
            </w:pPr>
            <w:r>
              <w:rPr>
                <w:rFonts w:ascii="Times New Roman" w:hAnsi="Times New Roman"/>
                <w:b w:val="0"/>
                <w:sz w:val="14"/>
              </w:rPr>
              <w:t>Sequence generation, concealment, deviations, blinded measurement, and prospective selection of outcomes were reported in limited detail.</w:t>
            </w:r>
          </w:p>
        </w:tc>
      </w:tr>
      <w:tr w14:paraId="470A1307">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6D5FC5A3">
            <w:pPr>
              <w:spacing w:before="0" w:after="0"/>
              <w:jc w:val="left"/>
            </w:pPr>
            <w:r>
              <w:rPr>
                <w:rFonts w:ascii="Times New Roman" w:hAnsi="Times New Roman"/>
                <w:b w:val="0"/>
                <w:sz w:val="14"/>
              </w:rPr>
              <w:t>Liao et al. (2025)</w:t>
            </w:r>
          </w:p>
        </w:tc>
        <w:tc>
          <w:tcPr>
            <w:tcW w:w="2520" w:type="dxa"/>
            <w:tcMar>
              <w:top w:w="40" w:type="dxa"/>
              <w:left w:w="50" w:type="dxa"/>
              <w:bottom w:w="40" w:type="dxa"/>
              <w:right w:w="50" w:type="dxa"/>
            </w:tcMar>
            <w:vAlign w:val="center"/>
          </w:tcPr>
          <w:p w14:paraId="79B9A3D3">
            <w:pPr>
              <w:spacing w:before="0" w:after="0"/>
              <w:jc w:val="left"/>
            </w:pPr>
            <w:r>
              <w:rPr>
                <w:rFonts w:ascii="Times New Roman" w:hAnsi="Times New Roman"/>
                <w:b w:val="0"/>
                <w:sz w:val="14"/>
              </w:rPr>
              <w:t>Continuous NSSI/self-harm endpoint in the disconnected active-comparator network</w:t>
            </w:r>
          </w:p>
        </w:tc>
        <w:tc>
          <w:tcPr>
            <w:tcW w:w="720" w:type="dxa"/>
            <w:shd w:val="clear" w:color="auto" w:fill="FFD966"/>
            <w:tcMar>
              <w:top w:w="40" w:type="dxa"/>
              <w:left w:w="50" w:type="dxa"/>
              <w:bottom w:w="40" w:type="dxa"/>
              <w:right w:w="50" w:type="dxa"/>
            </w:tcMar>
            <w:vAlign w:val="center"/>
          </w:tcPr>
          <w:p w14:paraId="4313E280">
            <w:pPr>
              <w:spacing w:before="0" w:after="0"/>
              <w:jc w:val="center"/>
            </w:pPr>
            <w:r>
              <w:rPr>
                <w:rFonts w:ascii="Times New Roman" w:hAnsi="Times New Roman"/>
                <w:b w:val="0"/>
                <w:sz w:val="14"/>
              </w:rPr>
              <w:t>SC</w:t>
            </w:r>
          </w:p>
        </w:tc>
        <w:tc>
          <w:tcPr>
            <w:tcW w:w="720" w:type="dxa"/>
            <w:shd w:val="clear" w:color="auto" w:fill="C00000"/>
            <w:tcMar>
              <w:top w:w="40" w:type="dxa"/>
              <w:left w:w="50" w:type="dxa"/>
              <w:bottom w:w="40" w:type="dxa"/>
              <w:right w:w="50" w:type="dxa"/>
            </w:tcMar>
            <w:vAlign w:val="center"/>
          </w:tcPr>
          <w:p w14:paraId="7D38AB48">
            <w:pPr>
              <w:spacing w:before="0" w:after="0"/>
              <w:jc w:val="center"/>
            </w:pPr>
            <w:r>
              <w:rPr>
                <w:rFonts w:ascii="Times New Roman" w:hAnsi="Times New Roman"/>
                <w:b w:val="0"/>
                <w:color w:val="FFFFFF"/>
                <w:sz w:val="14"/>
              </w:rPr>
              <w:t>H</w:t>
            </w:r>
          </w:p>
        </w:tc>
        <w:tc>
          <w:tcPr>
            <w:tcW w:w="720" w:type="dxa"/>
            <w:shd w:val="clear" w:color="auto" w:fill="FFD966"/>
            <w:tcMar>
              <w:top w:w="40" w:type="dxa"/>
              <w:left w:w="50" w:type="dxa"/>
              <w:bottom w:w="40" w:type="dxa"/>
              <w:right w:w="50" w:type="dxa"/>
            </w:tcMar>
            <w:vAlign w:val="center"/>
          </w:tcPr>
          <w:p w14:paraId="617A3151">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311820C2">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4FC500CA">
            <w:pPr>
              <w:spacing w:before="0" w:after="0"/>
              <w:jc w:val="center"/>
            </w:pPr>
            <w:r>
              <w:rPr>
                <w:rFonts w:ascii="Times New Roman" w:hAnsi="Times New Roman"/>
                <w:b w:val="0"/>
                <w:sz w:val="14"/>
              </w:rPr>
              <w:t>SC</w:t>
            </w:r>
          </w:p>
        </w:tc>
        <w:tc>
          <w:tcPr>
            <w:tcW w:w="1512" w:type="dxa"/>
            <w:shd w:val="clear" w:color="auto" w:fill="C00000"/>
            <w:tcMar>
              <w:top w:w="40" w:type="dxa"/>
              <w:left w:w="50" w:type="dxa"/>
              <w:bottom w:w="40" w:type="dxa"/>
              <w:right w:w="50" w:type="dxa"/>
            </w:tcMar>
            <w:vAlign w:val="center"/>
          </w:tcPr>
          <w:p w14:paraId="31B978B7">
            <w:pPr>
              <w:spacing w:before="0" w:after="0"/>
              <w:jc w:val="center"/>
            </w:pPr>
            <w:r>
              <w:rPr>
                <w:rFonts w:ascii="Times New Roman" w:hAnsi="Times New Roman"/>
                <w:b/>
                <w:color w:val="FFFFFF"/>
                <w:sz w:val="14"/>
              </w:rPr>
              <w:t>High risk</w:t>
            </w:r>
          </w:p>
        </w:tc>
        <w:tc>
          <w:tcPr>
            <w:tcW w:w="4392" w:type="dxa"/>
            <w:tcMar>
              <w:top w:w="40" w:type="dxa"/>
              <w:left w:w="50" w:type="dxa"/>
              <w:bottom w:w="40" w:type="dxa"/>
              <w:right w:w="50" w:type="dxa"/>
            </w:tcMar>
            <w:vAlign w:val="center"/>
          </w:tcPr>
          <w:p w14:paraId="60B7F75A">
            <w:pPr>
              <w:spacing w:before="0" w:after="0"/>
              <w:jc w:val="left"/>
            </w:pPr>
            <w:r>
              <w:rPr>
                <w:rFonts w:ascii="Times New Roman" w:hAnsi="Times New Roman"/>
                <w:b w:val="0"/>
                <w:sz w:val="14"/>
              </w:rPr>
              <w:t>The bibliotherapy/pharmacotherapy comparison did not clearly separate co-intervention effects; adherence/deviations, allocation, missing-data handling, masking, and prespecified reporting were unclear.</w:t>
            </w:r>
          </w:p>
        </w:tc>
      </w:tr>
      <w:tr w14:paraId="06FE1C7D">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1B1DC957">
            <w:pPr>
              <w:spacing w:before="0" w:after="0"/>
              <w:jc w:val="left"/>
            </w:pPr>
            <w:r>
              <w:rPr>
                <w:rFonts w:ascii="Times New Roman" w:hAnsi="Times New Roman"/>
                <w:b w:val="0"/>
                <w:sz w:val="14"/>
              </w:rPr>
              <w:t>Yin et al. (2025)</w:t>
            </w:r>
          </w:p>
        </w:tc>
        <w:tc>
          <w:tcPr>
            <w:tcW w:w="2520" w:type="dxa"/>
            <w:tcMar>
              <w:top w:w="40" w:type="dxa"/>
              <w:left w:w="50" w:type="dxa"/>
              <w:bottom w:w="40" w:type="dxa"/>
              <w:right w:w="50" w:type="dxa"/>
            </w:tcMar>
            <w:vAlign w:val="center"/>
          </w:tcPr>
          <w:p w14:paraId="55DB25F3">
            <w:pPr>
              <w:spacing w:before="0" w:after="0"/>
              <w:jc w:val="left"/>
            </w:pPr>
            <w:r>
              <w:rPr>
                <w:rFonts w:ascii="Times New Roman" w:hAnsi="Times New Roman"/>
                <w:b w:val="0"/>
                <w:sz w:val="14"/>
              </w:rPr>
              <w:t>OSI NSSI-frequency item at 12 weeks</w:t>
            </w:r>
          </w:p>
        </w:tc>
        <w:tc>
          <w:tcPr>
            <w:tcW w:w="720" w:type="dxa"/>
            <w:shd w:val="clear" w:color="auto" w:fill="70AD47"/>
            <w:tcMar>
              <w:top w:w="40" w:type="dxa"/>
              <w:left w:w="50" w:type="dxa"/>
              <w:bottom w:w="40" w:type="dxa"/>
              <w:right w:w="50" w:type="dxa"/>
            </w:tcMar>
            <w:vAlign w:val="center"/>
          </w:tcPr>
          <w:p w14:paraId="2CB303DC">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09C101FA">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54B00A87">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627C05AF">
            <w:pPr>
              <w:spacing w:before="0" w:after="0"/>
              <w:jc w:val="center"/>
            </w:pPr>
            <w:r>
              <w:rPr>
                <w:rFonts w:ascii="Times New Roman" w:hAnsi="Times New Roman"/>
                <w:b w:val="0"/>
                <w:sz w:val="14"/>
              </w:rPr>
              <w:t>SC</w:t>
            </w:r>
          </w:p>
        </w:tc>
        <w:tc>
          <w:tcPr>
            <w:tcW w:w="720" w:type="dxa"/>
            <w:shd w:val="clear" w:color="auto" w:fill="C00000"/>
            <w:tcMar>
              <w:top w:w="40" w:type="dxa"/>
              <w:left w:w="50" w:type="dxa"/>
              <w:bottom w:w="40" w:type="dxa"/>
              <w:right w:w="50" w:type="dxa"/>
            </w:tcMar>
            <w:vAlign w:val="center"/>
          </w:tcPr>
          <w:p w14:paraId="15BE9BE4">
            <w:pPr>
              <w:spacing w:before="0" w:after="0"/>
              <w:jc w:val="center"/>
            </w:pPr>
            <w:r>
              <w:rPr>
                <w:rFonts w:ascii="Times New Roman" w:hAnsi="Times New Roman"/>
                <w:b w:val="0"/>
                <w:color w:val="FFFFFF"/>
                <w:sz w:val="14"/>
              </w:rPr>
              <w:t>H</w:t>
            </w:r>
          </w:p>
        </w:tc>
        <w:tc>
          <w:tcPr>
            <w:tcW w:w="1512" w:type="dxa"/>
            <w:shd w:val="clear" w:color="auto" w:fill="C00000"/>
            <w:tcMar>
              <w:top w:w="40" w:type="dxa"/>
              <w:left w:w="50" w:type="dxa"/>
              <w:bottom w:w="40" w:type="dxa"/>
              <w:right w:w="50" w:type="dxa"/>
            </w:tcMar>
            <w:vAlign w:val="center"/>
          </w:tcPr>
          <w:p w14:paraId="7375DCBE">
            <w:pPr>
              <w:spacing w:before="0" w:after="0"/>
              <w:jc w:val="center"/>
            </w:pPr>
            <w:r>
              <w:rPr>
                <w:rFonts w:ascii="Times New Roman" w:hAnsi="Times New Roman"/>
                <w:b/>
                <w:color w:val="FFFFFF"/>
                <w:sz w:val="14"/>
              </w:rPr>
              <w:t>High risk</w:t>
            </w:r>
          </w:p>
        </w:tc>
        <w:tc>
          <w:tcPr>
            <w:tcW w:w="4392" w:type="dxa"/>
            <w:tcMar>
              <w:top w:w="40" w:type="dxa"/>
              <w:left w:w="50" w:type="dxa"/>
              <w:bottom w:w="40" w:type="dxa"/>
              <w:right w:w="50" w:type="dxa"/>
            </w:tcMar>
            <w:vAlign w:val="center"/>
          </w:tcPr>
          <w:p w14:paraId="718ED211">
            <w:pPr>
              <w:spacing w:before="0" w:after="0"/>
              <w:jc w:val="left"/>
            </w:pPr>
            <w:r>
              <w:rPr>
                <w:rFonts w:ascii="Times New Roman" w:hAnsi="Times New Roman"/>
                <w:b w:val="0"/>
                <w:sz w:val="14"/>
              </w:rPr>
              <w:t>Random-number allocation and balanced attrition were reported, but assessors were not blinded and selected OSI items were analyzed without an accessible prospective protocol specifying those choices.</w:t>
            </w:r>
          </w:p>
        </w:tc>
      </w:tr>
      <w:tr w14:paraId="7A9715E1">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5ED339E5">
            <w:pPr>
              <w:spacing w:before="0" w:after="0"/>
              <w:jc w:val="left"/>
            </w:pPr>
            <w:r>
              <w:rPr>
                <w:rFonts w:ascii="Times New Roman" w:hAnsi="Times New Roman"/>
                <w:b w:val="0"/>
                <w:sz w:val="14"/>
              </w:rPr>
              <w:t>Yu et al. (2026)</w:t>
            </w:r>
          </w:p>
        </w:tc>
        <w:tc>
          <w:tcPr>
            <w:tcW w:w="2520" w:type="dxa"/>
            <w:tcMar>
              <w:top w:w="40" w:type="dxa"/>
              <w:left w:w="50" w:type="dxa"/>
              <w:bottom w:w="40" w:type="dxa"/>
              <w:right w:w="50" w:type="dxa"/>
            </w:tcMar>
            <w:vAlign w:val="center"/>
          </w:tcPr>
          <w:p w14:paraId="41E271D8">
            <w:pPr>
              <w:spacing w:before="0" w:after="0"/>
              <w:jc w:val="left"/>
            </w:pPr>
            <w:r>
              <w:rPr>
                <w:rFonts w:ascii="Times New Roman" w:hAnsi="Times New Roman"/>
                <w:b w:val="0"/>
                <w:sz w:val="14"/>
              </w:rPr>
              <w:t>OSI NSSI-frequency item at 12 weeks</w:t>
            </w:r>
          </w:p>
        </w:tc>
        <w:tc>
          <w:tcPr>
            <w:tcW w:w="720" w:type="dxa"/>
            <w:shd w:val="clear" w:color="auto" w:fill="70AD47"/>
            <w:tcMar>
              <w:top w:w="40" w:type="dxa"/>
              <w:left w:w="50" w:type="dxa"/>
              <w:bottom w:w="40" w:type="dxa"/>
              <w:right w:w="50" w:type="dxa"/>
            </w:tcMar>
            <w:vAlign w:val="center"/>
          </w:tcPr>
          <w:p w14:paraId="5C9A281C">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38D06F61">
            <w:pPr>
              <w:spacing w:before="0" w:after="0"/>
              <w:jc w:val="center"/>
            </w:pPr>
            <w:r>
              <w:rPr>
                <w:rFonts w:ascii="Times New Roman" w:hAnsi="Times New Roman"/>
                <w:b w:val="0"/>
                <w:sz w:val="14"/>
              </w:rPr>
              <w:t>SC</w:t>
            </w:r>
          </w:p>
        </w:tc>
        <w:tc>
          <w:tcPr>
            <w:tcW w:w="720" w:type="dxa"/>
            <w:shd w:val="clear" w:color="auto" w:fill="C00000"/>
            <w:tcMar>
              <w:top w:w="40" w:type="dxa"/>
              <w:left w:w="50" w:type="dxa"/>
              <w:bottom w:w="40" w:type="dxa"/>
              <w:right w:w="50" w:type="dxa"/>
            </w:tcMar>
            <w:vAlign w:val="center"/>
          </w:tcPr>
          <w:p w14:paraId="0BCF775C">
            <w:pPr>
              <w:spacing w:before="0" w:after="0"/>
              <w:jc w:val="center"/>
            </w:pPr>
            <w:r>
              <w:rPr>
                <w:rFonts w:ascii="Times New Roman" w:hAnsi="Times New Roman"/>
                <w:b w:val="0"/>
                <w:color w:val="FFFFFF"/>
                <w:sz w:val="14"/>
              </w:rPr>
              <w:t>H</w:t>
            </w:r>
          </w:p>
        </w:tc>
        <w:tc>
          <w:tcPr>
            <w:tcW w:w="720" w:type="dxa"/>
            <w:shd w:val="clear" w:color="auto" w:fill="FFD966"/>
            <w:tcMar>
              <w:top w:w="40" w:type="dxa"/>
              <w:left w:w="50" w:type="dxa"/>
              <w:bottom w:w="40" w:type="dxa"/>
              <w:right w:w="50" w:type="dxa"/>
            </w:tcMar>
            <w:vAlign w:val="center"/>
          </w:tcPr>
          <w:p w14:paraId="664F459F">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7EB0BA91">
            <w:pPr>
              <w:spacing w:before="0" w:after="0"/>
              <w:jc w:val="center"/>
            </w:pPr>
            <w:r>
              <w:rPr>
                <w:rFonts w:ascii="Times New Roman" w:hAnsi="Times New Roman"/>
                <w:b w:val="0"/>
                <w:sz w:val="14"/>
              </w:rPr>
              <w:t>SC</w:t>
            </w:r>
          </w:p>
        </w:tc>
        <w:tc>
          <w:tcPr>
            <w:tcW w:w="1512" w:type="dxa"/>
            <w:shd w:val="clear" w:color="auto" w:fill="C00000"/>
            <w:tcMar>
              <w:top w:w="40" w:type="dxa"/>
              <w:left w:w="50" w:type="dxa"/>
              <w:bottom w:w="40" w:type="dxa"/>
              <w:right w:w="50" w:type="dxa"/>
            </w:tcMar>
            <w:vAlign w:val="center"/>
          </w:tcPr>
          <w:p w14:paraId="30EC1A6E">
            <w:pPr>
              <w:spacing w:before="0" w:after="0"/>
              <w:jc w:val="center"/>
            </w:pPr>
            <w:r>
              <w:rPr>
                <w:rFonts w:ascii="Times New Roman" w:hAnsi="Times New Roman"/>
                <w:b/>
                <w:color w:val="FFFFFF"/>
                <w:sz w:val="14"/>
              </w:rPr>
              <w:t>High risk</w:t>
            </w:r>
          </w:p>
        </w:tc>
        <w:tc>
          <w:tcPr>
            <w:tcW w:w="4392" w:type="dxa"/>
            <w:tcMar>
              <w:top w:w="40" w:type="dxa"/>
              <w:left w:w="50" w:type="dxa"/>
              <w:bottom w:w="40" w:type="dxa"/>
              <w:right w:w="50" w:type="dxa"/>
            </w:tcMar>
            <w:vAlign w:val="center"/>
          </w:tcPr>
          <w:p w14:paraId="5AE405EE">
            <w:pPr>
              <w:spacing w:before="0" w:after="0"/>
              <w:jc w:val="left"/>
            </w:pPr>
            <w:r>
              <w:rPr>
                <w:rFonts w:ascii="Times New Roman" w:hAnsi="Times New Roman"/>
                <w:b w:val="0"/>
                <w:sz w:val="14"/>
              </w:rPr>
              <w:t>Randomization, independent oversight, concealment, and blinded evaluation were reported; however, 12/60 participants withdrew and efficacy analysis used 48 completers without a clearly reported intention-to-treat approach.</w:t>
            </w:r>
          </w:p>
        </w:tc>
      </w:tr>
      <w:tr w14:paraId="177BDC1D">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59EEE8EE">
            <w:pPr>
              <w:spacing w:before="0" w:after="0"/>
              <w:jc w:val="left"/>
            </w:pPr>
            <w:r>
              <w:rPr>
                <w:rFonts w:ascii="Times New Roman" w:hAnsi="Times New Roman"/>
                <w:b w:val="0"/>
                <w:sz w:val="14"/>
              </w:rPr>
              <w:t>Zhou et al. (2026)</w:t>
            </w:r>
          </w:p>
        </w:tc>
        <w:tc>
          <w:tcPr>
            <w:tcW w:w="2520" w:type="dxa"/>
            <w:tcMar>
              <w:top w:w="40" w:type="dxa"/>
              <w:left w:w="50" w:type="dxa"/>
              <w:bottom w:w="40" w:type="dxa"/>
              <w:right w:w="50" w:type="dxa"/>
            </w:tcMar>
            <w:vAlign w:val="center"/>
          </w:tcPr>
          <w:p w14:paraId="2EBB8018">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38C19973">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32177FD9">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7C93279A">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17C3A783">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0C739852">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78471E6D">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4F50FB03">
            <w:pPr>
              <w:spacing w:before="0" w:after="0"/>
              <w:jc w:val="left"/>
            </w:pPr>
            <w:r>
              <w:rPr>
                <w:rFonts w:ascii="Times New Roman" w:hAnsi="Times New Roman"/>
                <w:b w:val="0"/>
                <w:sz w:val="14"/>
              </w:rPr>
              <w:t>Usable group data were reported, but concealment, deviations/adherence, blinded assessment, and prospective outcome selection were insufficiently described.</w:t>
            </w:r>
          </w:p>
        </w:tc>
      </w:tr>
      <w:tr w14:paraId="19549939">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089C8D24">
            <w:pPr>
              <w:spacing w:before="0" w:after="0"/>
              <w:jc w:val="left"/>
            </w:pPr>
            <w:r>
              <w:rPr>
                <w:rFonts w:ascii="Times New Roman" w:hAnsi="Times New Roman"/>
                <w:b w:val="0"/>
                <w:sz w:val="14"/>
              </w:rPr>
              <w:t>Xu et al. (2026)</w:t>
            </w:r>
          </w:p>
        </w:tc>
        <w:tc>
          <w:tcPr>
            <w:tcW w:w="2520" w:type="dxa"/>
            <w:tcMar>
              <w:top w:w="40" w:type="dxa"/>
              <w:left w:w="50" w:type="dxa"/>
              <w:bottom w:w="40" w:type="dxa"/>
              <w:right w:w="50" w:type="dxa"/>
            </w:tcMar>
            <w:vAlign w:val="center"/>
          </w:tcPr>
          <w:p w14:paraId="03C3320E">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6A76E301">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63895C78">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6C8E7932">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3DE333AF">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4BFF540E">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5AEE9A16">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3FE45D4D">
            <w:pPr>
              <w:spacing w:before="0" w:after="0"/>
              <w:jc w:val="left"/>
            </w:pPr>
            <w:r>
              <w:rPr>
                <w:rFonts w:ascii="Times New Roman" w:hAnsi="Times New Roman"/>
                <w:b w:val="0"/>
                <w:sz w:val="14"/>
              </w:rPr>
              <w:t>Outcome data appeared complete, while randomization safeguards, independent masked measurement, and a prospectively specified analysis plan were unclear.</w:t>
            </w:r>
          </w:p>
        </w:tc>
      </w:tr>
      <w:tr w14:paraId="35140950">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0F3D4E60">
            <w:pPr>
              <w:spacing w:before="0" w:after="0"/>
              <w:jc w:val="left"/>
            </w:pPr>
            <w:r>
              <w:rPr>
                <w:rFonts w:ascii="Times New Roman" w:hAnsi="Times New Roman"/>
                <w:b w:val="0"/>
                <w:sz w:val="14"/>
              </w:rPr>
              <w:t>Cui et al. (2026)</w:t>
            </w:r>
          </w:p>
        </w:tc>
        <w:tc>
          <w:tcPr>
            <w:tcW w:w="2520" w:type="dxa"/>
            <w:tcMar>
              <w:top w:w="40" w:type="dxa"/>
              <w:left w:w="50" w:type="dxa"/>
              <w:bottom w:w="40" w:type="dxa"/>
              <w:right w:w="50" w:type="dxa"/>
            </w:tcMar>
            <w:vAlign w:val="center"/>
          </w:tcPr>
          <w:p w14:paraId="4B5E1A10">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3C1BA46C">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613AEF56">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414313DC">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26658129">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0B99E649">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7F5A381C">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5E881681">
            <w:pPr>
              <w:spacing w:before="0" w:after="0"/>
              <w:jc w:val="left"/>
            </w:pPr>
            <w:r>
              <w:rPr>
                <w:rFonts w:ascii="Times New Roman" w:hAnsi="Times New Roman"/>
                <w:b w:val="0"/>
                <w:sz w:val="14"/>
              </w:rPr>
              <w:t>The article did not provide enough information to confirm allocation concealment, management of deviations, blinded assessment, or prespecified outcome reporting.</w:t>
            </w:r>
          </w:p>
        </w:tc>
      </w:tr>
      <w:tr w14:paraId="69B26A04">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698733FE">
            <w:pPr>
              <w:spacing w:before="0" w:after="0"/>
              <w:jc w:val="left"/>
            </w:pPr>
            <w:r>
              <w:rPr>
                <w:rFonts w:ascii="Times New Roman" w:hAnsi="Times New Roman"/>
                <w:b w:val="0"/>
                <w:sz w:val="14"/>
              </w:rPr>
              <w:t>Peng et al. (2026)</w:t>
            </w:r>
          </w:p>
        </w:tc>
        <w:tc>
          <w:tcPr>
            <w:tcW w:w="2520" w:type="dxa"/>
            <w:tcMar>
              <w:top w:w="40" w:type="dxa"/>
              <w:left w:w="50" w:type="dxa"/>
              <w:bottom w:w="40" w:type="dxa"/>
              <w:right w:w="50" w:type="dxa"/>
            </w:tcMar>
            <w:vAlign w:val="center"/>
          </w:tcPr>
          <w:p w14:paraId="52708803">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11553DC5">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75EB09D3">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1D49B66B">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2E2CD6DC">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09AACF18">
            <w:pPr>
              <w:spacing w:before="0" w:after="0"/>
              <w:jc w:val="center"/>
            </w:pPr>
            <w:r>
              <w:rPr>
                <w:rFonts w:ascii="Times New Roman" w:hAnsi="Times New Roman"/>
                <w:b w:val="0"/>
                <w:sz w:val="14"/>
              </w:rPr>
              <w:t>SC</w:t>
            </w:r>
          </w:p>
        </w:tc>
        <w:tc>
          <w:tcPr>
            <w:tcW w:w="1512" w:type="dxa"/>
            <w:shd w:val="clear" w:color="auto" w:fill="C00000"/>
            <w:tcMar>
              <w:top w:w="40" w:type="dxa"/>
              <w:left w:w="50" w:type="dxa"/>
              <w:bottom w:w="40" w:type="dxa"/>
              <w:right w:w="50" w:type="dxa"/>
            </w:tcMar>
            <w:vAlign w:val="center"/>
          </w:tcPr>
          <w:p w14:paraId="2D5953A0">
            <w:pPr>
              <w:spacing w:before="0" w:after="0"/>
              <w:jc w:val="center"/>
            </w:pPr>
            <w:r>
              <w:rPr>
                <w:rFonts w:ascii="Times New Roman" w:hAnsi="Times New Roman"/>
                <w:b/>
                <w:color w:val="FFFFFF"/>
                <w:sz w:val="14"/>
              </w:rPr>
              <w:t>High risk</w:t>
            </w:r>
          </w:p>
        </w:tc>
        <w:tc>
          <w:tcPr>
            <w:tcW w:w="4392" w:type="dxa"/>
            <w:tcMar>
              <w:top w:w="40" w:type="dxa"/>
              <w:left w:w="50" w:type="dxa"/>
              <w:bottom w:w="40" w:type="dxa"/>
              <w:right w:w="50" w:type="dxa"/>
            </w:tcMar>
            <w:vAlign w:val="center"/>
          </w:tcPr>
          <w:p w14:paraId="2A5CFFAE">
            <w:pPr>
              <w:spacing w:before="0" w:after="0"/>
              <w:jc w:val="left"/>
            </w:pPr>
            <w:r>
              <w:rPr>
                <w:rFonts w:ascii="Times New Roman" w:hAnsi="Times New Roman"/>
                <w:b w:val="0"/>
                <w:sz w:val="14"/>
              </w:rPr>
              <w:t>The small trial did not adequately document concealment, adherence/deviations, participant flow and missing-data handling, blinded measurement, or a prespecified analysis plan; concerns across several domains materially reduced confidence.</w:t>
            </w:r>
          </w:p>
        </w:tc>
      </w:tr>
      <w:tr w14:paraId="66EB9428">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45B410FD">
            <w:pPr>
              <w:spacing w:before="0" w:after="0"/>
              <w:jc w:val="left"/>
            </w:pPr>
            <w:r>
              <w:rPr>
                <w:rFonts w:ascii="Times New Roman" w:hAnsi="Times New Roman"/>
                <w:b w:val="0"/>
                <w:sz w:val="14"/>
              </w:rPr>
              <w:t>Mao et al. (2026)</w:t>
            </w:r>
          </w:p>
        </w:tc>
        <w:tc>
          <w:tcPr>
            <w:tcW w:w="2520" w:type="dxa"/>
            <w:tcMar>
              <w:top w:w="40" w:type="dxa"/>
              <w:left w:w="50" w:type="dxa"/>
              <w:bottom w:w="40" w:type="dxa"/>
              <w:right w:w="50" w:type="dxa"/>
            </w:tcMar>
            <w:vAlign w:val="center"/>
          </w:tcPr>
          <w:p w14:paraId="59E964CC">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5964DD59">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24852273">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540769A3">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60405121">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043A1C10">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544B5A36">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33AEC7FF">
            <w:pPr>
              <w:spacing w:before="0" w:after="0"/>
              <w:jc w:val="left"/>
            </w:pPr>
            <w:r>
              <w:rPr>
                <w:rFonts w:ascii="Times New Roman" w:hAnsi="Times New Roman"/>
                <w:b w:val="0"/>
                <w:sz w:val="14"/>
              </w:rPr>
              <w:t>Usable group-level outcomes were reported, but sequence concealment, blinded assessment, and prospective analysis specifications were insufficiently detailed.</w:t>
            </w:r>
          </w:p>
        </w:tc>
      </w:tr>
      <w:tr w14:paraId="6E81BF43">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62C9F137">
            <w:pPr>
              <w:spacing w:before="0" w:after="0"/>
              <w:jc w:val="left"/>
            </w:pPr>
            <w:r>
              <w:rPr>
                <w:rFonts w:ascii="Times New Roman" w:hAnsi="Times New Roman"/>
                <w:b w:val="0"/>
                <w:sz w:val="14"/>
              </w:rPr>
              <w:t>Zhang Y-Y et al. (2024)</w:t>
            </w:r>
          </w:p>
        </w:tc>
        <w:tc>
          <w:tcPr>
            <w:tcW w:w="2520" w:type="dxa"/>
            <w:tcMar>
              <w:top w:w="40" w:type="dxa"/>
              <w:left w:w="50" w:type="dxa"/>
              <w:bottom w:w="40" w:type="dxa"/>
              <w:right w:w="50" w:type="dxa"/>
            </w:tcMar>
            <w:vAlign w:val="center"/>
          </w:tcPr>
          <w:p w14:paraId="7AC2F293">
            <w:pPr>
              <w:spacing w:before="0" w:after="0"/>
              <w:jc w:val="left"/>
            </w:pPr>
            <w:r>
              <w:rPr>
                <w:rFonts w:ascii="Times New Roman" w:hAnsi="Times New Roman"/>
                <w:b w:val="0"/>
                <w:sz w:val="14"/>
              </w:rPr>
              <w:t>Continuous NSSI/self-harm endpoint used in synthesis</w:t>
            </w:r>
          </w:p>
        </w:tc>
        <w:tc>
          <w:tcPr>
            <w:tcW w:w="720" w:type="dxa"/>
            <w:shd w:val="clear" w:color="auto" w:fill="FFD966"/>
            <w:tcMar>
              <w:top w:w="40" w:type="dxa"/>
              <w:left w:w="50" w:type="dxa"/>
              <w:bottom w:w="40" w:type="dxa"/>
              <w:right w:w="50" w:type="dxa"/>
            </w:tcMar>
            <w:vAlign w:val="center"/>
          </w:tcPr>
          <w:p w14:paraId="65A3954C">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48237AEB">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45185973">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6C612AB0">
            <w:pPr>
              <w:spacing w:before="0" w:after="0"/>
              <w:jc w:val="center"/>
            </w:pPr>
            <w:r>
              <w:rPr>
                <w:rFonts w:ascii="Times New Roman" w:hAnsi="Times New Roman"/>
                <w:b w:val="0"/>
                <w:sz w:val="14"/>
              </w:rPr>
              <w:t>SC</w:t>
            </w:r>
          </w:p>
        </w:tc>
        <w:tc>
          <w:tcPr>
            <w:tcW w:w="720" w:type="dxa"/>
            <w:shd w:val="clear" w:color="auto" w:fill="FFD966"/>
            <w:tcMar>
              <w:top w:w="40" w:type="dxa"/>
              <w:left w:w="50" w:type="dxa"/>
              <w:bottom w:w="40" w:type="dxa"/>
              <w:right w:w="50" w:type="dxa"/>
            </w:tcMar>
            <w:vAlign w:val="center"/>
          </w:tcPr>
          <w:p w14:paraId="4C39240E">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68D6E988">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0ED7846B">
            <w:pPr>
              <w:spacing w:before="0" w:after="0"/>
              <w:jc w:val="left"/>
            </w:pPr>
            <w:r>
              <w:rPr>
                <w:rFonts w:ascii="Times New Roman" w:hAnsi="Times New Roman"/>
                <w:b w:val="0"/>
                <w:sz w:val="14"/>
              </w:rPr>
              <w:t>The prospective randomized report showed no major attrition signal, but concealment, masking of the subjective outcome, and a prospectively accessible analysis plan were insufficiently documented.</w:t>
            </w:r>
          </w:p>
        </w:tc>
      </w:tr>
    </w:tbl>
    <w:p w14:paraId="684AA3E6">
      <w:pPr>
        <w:spacing w:before="60" w:after="80"/>
      </w:pPr>
      <w:r>
        <w:rPr>
          <w:rFonts w:ascii="Times New Roman" w:hAnsi="Times New Roman"/>
          <w:sz w:val="17"/>
        </w:rPr>
        <w:t>Abbreviations: L, low risk; SC, some concerns; H, high risk; D1, randomization process; D2, deviations from intended interventions; D3, missing outcome data; D4, measurement of the outcome; D5, selection of the reported result.</w:t>
      </w:r>
    </w:p>
    <w:p w14:paraId="3BEBA23C">
      <w:r>
        <w:br w:type="page"/>
      </w:r>
    </w:p>
    <w:p w14:paraId="055030D8">
      <w:pPr>
        <w:keepNext/>
        <w:spacing w:before="120" w:after="80"/>
      </w:pPr>
      <w:r>
        <w:rPr>
          <w:rFonts w:ascii="Times New Roman" w:hAnsi="Times New Roman"/>
          <w:b/>
          <w:sz w:val="21"/>
        </w:rPr>
        <w:t>Supplementary Table S1C. Detailed outcome-specific RoB 2 judgments for broader dichotomous self-harm outcomes</w:t>
      </w:r>
    </w:p>
    <w:tbl>
      <w:tblPr>
        <w:tblStyle w:val="32"/>
        <w:tblW w:w="0" w:type="auto"/>
        <w:jc w:val="center"/>
        <w:tblLayout w:type="fixed"/>
        <w:tblCellMar>
          <w:top w:w="0" w:type="dxa"/>
          <w:left w:w="108" w:type="dxa"/>
          <w:bottom w:w="0" w:type="dxa"/>
          <w:right w:w="108" w:type="dxa"/>
        </w:tblCellMar>
      </w:tblPr>
      <w:tblGrid>
        <w:gridCol w:w="1616"/>
        <w:gridCol w:w="1616"/>
        <w:gridCol w:w="1616"/>
        <w:gridCol w:w="1616"/>
        <w:gridCol w:w="1616"/>
        <w:gridCol w:w="1616"/>
        <w:gridCol w:w="1616"/>
        <w:gridCol w:w="1616"/>
        <w:gridCol w:w="1616"/>
      </w:tblGrid>
      <w:tr w14:paraId="70C9C396">
        <w:tblPrEx>
          <w:tblCellMar>
            <w:top w:w="0" w:type="dxa"/>
            <w:left w:w="108" w:type="dxa"/>
            <w:bottom w:w="0" w:type="dxa"/>
            <w:right w:w="108" w:type="dxa"/>
          </w:tblCellMar>
        </w:tblPrEx>
        <w:trPr>
          <w:cantSplit/>
          <w:tblHeader/>
          <w:jc w:val="center"/>
        </w:trPr>
        <w:tc>
          <w:tcPr>
            <w:tcW w:w="1800" w:type="dxa"/>
            <w:shd w:val="clear" w:color="auto" w:fill="D9E2F3"/>
            <w:tcMar>
              <w:top w:w="40" w:type="dxa"/>
              <w:left w:w="50" w:type="dxa"/>
              <w:bottom w:w="40" w:type="dxa"/>
              <w:right w:w="50" w:type="dxa"/>
            </w:tcMar>
            <w:vAlign w:val="center"/>
          </w:tcPr>
          <w:p w14:paraId="7DCE8EC8">
            <w:pPr>
              <w:spacing w:before="0" w:after="0"/>
              <w:jc w:val="center"/>
            </w:pPr>
            <w:r>
              <w:rPr>
                <w:rFonts w:ascii="Times New Roman" w:hAnsi="Times New Roman"/>
                <w:b/>
                <w:sz w:val="15"/>
              </w:rPr>
              <w:t>Study</w:t>
            </w:r>
          </w:p>
        </w:tc>
        <w:tc>
          <w:tcPr>
            <w:tcW w:w="2520" w:type="dxa"/>
            <w:shd w:val="clear" w:color="auto" w:fill="D9E2F3"/>
            <w:tcMar>
              <w:top w:w="40" w:type="dxa"/>
              <w:left w:w="50" w:type="dxa"/>
              <w:bottom w:w="40" w:type="dxa"/>
              <w:right w:w="50" w:type="dxa"/>
            </w:tcMar>
            <w:vAlign w:val="center"/>
          </w:tcPr>
          <w:p w14:paraId="1213ADF4">
            <w:pPr>
              <w:spacing w:before="0" w:after="0"/>
              <w:jc w:val="center"/>
            </w:pPr>
            <w:r>
              <w:rPr>
                <w:rFonts w:ascii="Times New Roman" w:hAnsi="Times New Roman"/>
                <w:b/>
                <w:sz w:val="15"/>
              </w:rPr>
              <w:t>Target outcome/time point</w:t>
            </w:r>
          </w:p>
        </w:tc>
        <w:tc>
          <w:tcPr>
            <w:tcW w:w="720" w:type="dxa"/>
            <w:shd w:val="clear" w:color="auto" w:fill="D9E2F3"/>
            <w:tcMar>
              <w:top w:w="40" w:type="dxa"/>
              <w:left w:w="50" w:type="dxa"/>
              <w:bottom w:w="40" w:type="dxa"/>
              <w:right w:w="50" w:type="dxa"/>
            </w:tcMar>
            <w:vAlign w:val="center"/>
          </w:tcPr>
          <w:p w14:paraId="1223EA01">
            <w:pPr>
              <w:spacing w:before="0" w:after="0"/>
              <w:jc w:val="center"/>
            </w:pPr>
            <w:r>
              <w:rPr>
                <w:rFonts w:ascii="Times New Roman" w:hAnsi="Times New Roman"/>
                <w:b/>
                <w:sz w:val="15"/>
              </w:rPr>
              <w:t>D1</w:t>
            </w:r>
          </w:p>
        </w:tc>
        <w:tc>
          <w:tcPr>
            <w:tcW w:w="720" w:type="dxa"/>
            <w:shd w:val="clear" w:color="auto" w:fill="D9E2F3"/>
            <w:tcMar>
              <w:top w:w="40" w:type="dxa"/>
              <w:left w:w="50" w:type="dxa"/>
              <w:bottom w:w="40" w:type="dxa"/>
              <w:right w:w="50" w:type="dxa"/>
            </w:tcMar>
            <w:vAlign w:val="center"/>
          </w:tcPr>
          <w:p w14:paraId="44A34535">
            <w:pPr>
              <w:spacing w:before="0" w:after="0"/>
              <w:jc w:val="center"/>
            </w:pPr>
            <w:r>
              <w:rPr>
                <w:rFonts w:ascii="Times New Roman" w:hAnsi="Times New Roman"/>
                <w:b/>
                <w:sz w:val="15"/>
              </w:rPr>
              <w:t>D2</w:t>
            </w:r>
          </w:p>
        </w:tc>
        <w:tc>
          <w:tcPr>
            <w:tcW w:w="720" w:type="dxa"/>
            <w:shd w:val="clear" w:color="auto" w:fill="D9E2F3"/>
            <w:tcMar>
              <w:top w:w="40" w:type="dxa"/>
              <w:left w:w="50" w:type="dxa"/>
              <w:bottom w:w="40" w:type="dxa"/>
              <w:right w:w="50" w:type="dxa"/>
            </w:tcMar>
            <w:vAlign w:val="center"/>
          </w:tcPr>
          <w:p w14:paraId="30624A93">
            <w:pPr>
              <w:spacing w:before="0" w:after="0"/>
              <w:jc w:val="center"/>
            </w:pPr>
            <w:r>
              <w:rPr>
                <w:rFonts w:ascii="Times New Roman" w:hAnsi="Times New Roman"/>
                <w:b/>
                <w:sz w:val="15"/>
              </w:rPr>
              <w:t>D3</w:t>
            </w:r>
          </w:p>
        </w:tc>
        <w:tc>
          <w:tcPr>
            <w:tcW w:w="720" w:type="dxa"/>
            <w:shd w:val="clear" w:color="auto" w:fill="D9E2F3"/>
            <w:tcMar>
              <w:top w:w="40" w:type="dxa"/>
              <w:left w:w="50" w:type="dxa"/>
              <w:bottom w:w="40" w:type="dxa"/>
              <w:right w:w="50" w:type="dxa"/>
            </w:tcMar>
            <w:vAlign w:val="center"/>
          </w:tcPr>
          <w:p w14:paraId="779B929B">
            <w:pPr>
              <w:spacing w:before="0" w:after="0"/>
              <w:jc w:val="center"/>
            </w:pPr>
            <w:r>
              <w:rPr>
                <w:rFonts w:ascii="Times New Roman" w:hAnsi="Times New Roman"/>
                <w:b/>
                <w:sz w:val="15"/>
              </w:rPr>
              <w:t>D4</w:t>
            </w:r>
          </w:p>
        </w:tc>
        <w:tc>
          <w:tcPr>
            <w:tcW w:w="720" w:type="dxa"/>
            <w:shd w:val="clear" w:color="auto" w:fill="D9E2F3"/>
            <w:tcMar>
              <w:top w:w="40" w:type="dxa"/>
              <w:left w:w="50" w:type="dxa"/>
              <w:bottom w:w="40" w:type="dxa"/>
              <w:right w:w="50" w:type="dxa"/>
            </w:tcMar>
            <w:vAlign w:val="center"/>
          </w:tcPr>
          <w:p w14:paraId="66CA6DB9">
            <w:pPr>
              <w:spacing w:before="0" w:after="0"/>
              <w:jc w:val="center"/>
            </w:pPr>
            <w:r>
              <w:rPr>
                <w:rFonts w:ascii="Times New Roman" w:hAnsi="Times New Roman"/>
                <w:b/>
                <w:sz w:val="15"/>
              </w:rPr>
              <w:t>D5</w:t>
            </w:r>
          </w:p>
        </w:tc>
        <w:tc>
          <w:tcPr>
            <w:tcW w:w="1512" w:type="dxa"/>
            <w:shd w:val="clear" w:color="auto" w:fill="D9E2F3"/>
            <w:tcMar>
              <w:top w:w="40" w:type="dxa"/>
              <w:left w:w="50" w:type="dxa"/>
              <w:bottom w:w="40" w:type="dxa"/>
              <w:right w:w="50" w:type="dxa"/>
            </w:tcMar>
            <w:vAlign w:val="center"/>
          </w:tcPr>
          <w:p w14:paraId="0CE509CE">
            <w:pPr>
              <w:spacing w:before="0" w:after="0"/>
              <w:jc w:val="center"/>
            </w:pPr>
            <w:r>
              <w:rPr>
                <w:rFonts w:ascii="Times New Roman" w:hAnsi="Times New Roman"/>
                <w:b/>
                <w:sz w:val="15"/>
              </w:rPr>
              <w:t>Overall</w:t>
            </w:r>
          </w:p>
        </w:tc>
        <w:tc>
          <w:tcPr>
            <w:tcW w:w="4392" w:type="dxa"/>
            <w:shd w:val="clear" w:color="auto" w:fill="D9E2F3"/>
            <w:tcMar>
              <w:top w:w="40" w:type="dxa"/>
              <w:left w:w="50" w:type="dxa"/>
              <w:bottom w:w="40" w:type="dxa"/>
              <w:right w:w="50" w:type="dxa"/>
            </w:tcMar>
            <w:vAlign w:val="center"/>
          </w:tcPr>
          <w:p w14:paraId="07DD7D40">
            <w:pPr>
              <w:spacing w:before="0" w:after="0"/>
              <w:jc w:val="center"/>
            </w:pPr>
            <w:r>
              <w:rPr>
                <w:rFonts w:ascii="Times New Roman" w:hAnsi="Times New Roman"/>
                <w:b/>
                <w:sz w:val="15"/>
              </w:rPr>
              <w:t>Key basis for judgment</w:t>
            </w:r>
          </w:p>
        </w:tc>
      </w:tr>
      <w:tr w14:paraId="0271AD7A">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59D1FA04">
            <w:pPr>
              <w:spacing w:before="0" w:after="0"/>
              <w:jc w:val="left"/>
            </w:pPr>
            <w:r>
              <w:rPr>
                <w:rFonts w:ascii="Times New Roman" w:hAnsi="Times New Roman"/>
                <w:b w:val="0"/>
                <w:sz w:val="14"/>
              </w:rPr>
              <w:t>Hazell et al. (2009)</w:t>
            </w:r>
          </w:p>
        </w:tc>
        <w:tc>
          <w:tcPr>
            <w:tcW w:w="2520" w:type="dxa"/>
            <w:tcMar>
              <w:top w:w="40" w:type="dxa"/>
              <w:left w:w="50" w:type="dxa"/>
              <w:bottom w:w="40" w:type="dxa"/>
              <w:right w:w="50" w:type="dxa"/>
            </w:tcMar>
            <w:vAlign w:val="center"/>
          </w:tcPr>
          <w:p w14:paraId="5220435C">
            <w:pPr>
              <w:spacing w:before="0" w:after="0"/>
              <w:jc w:val="left"/>
            </w:pPr>
            <w:r>
              <w:rPr>
                <w:rFonts w:ascii="Times New Roman" w:hAnsi="Times New Roman"/>
                <w:b w:val="0"/>
                <w:sz w:val="14"/>
              </w:rPr>
              <w:t>Repetition of self-harm at 6 months</w:t>
            </w:r>
          </w:p>
        </w:tc>
        <w:tc>
          <w:tcPr>
            <w:tcW w:w="720" w:type="dxa"/>
            <w:shd w:val="clear" w:color="auto" w:fill="FFD966"/>
            <w:tcMar>
              <w:top w:w="40" w:type="dxa"/>
              <w:left w:w="50" w:type="dxa"/>
              <w:bottom w:w="40" w:type="dxa"/>
              <w:right w:w="50" w:type="dxa"/>
            </w:tcMar>
            <w:vAlign w:val="center"/>
          </w:tcPr>
          <w:p w14:paraId="2CE268C6">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4DC0D1D9">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65B93CB5">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75BF4F97">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1104CF79">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05B67BE5">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18AB3F3F">
            <w:pPr>
              <w:spacing w:before="0" w:after="0"/>
              <w:jc w:val="left"/>
            </w:pPr>
            <w:r>
              <w:rPr>
                <w:rFonts w:ascii="Times New Roman" w:hAnsi="Times New Roman"/>
                <w:b w:val="0"/>
                <w:sz w:val="14"/>
              </w:rPr>
              <w:t>Parallel randomized trial with masked outcome assessors, intention-to-treat analysis, and primary outcome data for 68/72 participants; sequence generation and prospective analysis plan were incompletely reported.</w:t>
            </w:r>
          </w:p>
        </w:tc>
      </w:tr>
      <w:tr w14:paraId="298D4608">
        <w:tblPrEx>
          <w:tblCellMar>
            <w:top w:w="0" w:type="dxa"/>
            <w:left w:w="108" w:type="dxa"/>
            <w:bottom w:w="0" w:type="dxa"/>
            <w:right w:w="108" w:type="dxa"/>
          </w:tblCellMar>
        </w:tblPrEx>
        <w:trPr>
          <w:cantSplit/>
          <w:jc w:val="center"/>
        </w:trPr>
        <w:tc>
          <w:tcPr>
            <w:tcW w:w="1800" w:type="dxa"/>
            <w:tcMar>
              <w:top w:w="40" w:type="dxa"/>
              <w:left w:w="50" w:type="dxa"/>
              <w:bottom w:w="40" w:type="dxa"/>
              <w:right w:w="50" w:type="dxa"/>
            </w:tcMar>
            <w:vAlign w:val="center"/>
          </w:tcPr>
          <w:p w14:paraId="56A060F3">
            <w:pPr>
              <w:spacing w:before="0" w:after="0"/>
              <w:jc w:val="left"/>
            </w:pPr>
            <w:r>
              <w:rPr>
                <w:rFonts w:ascii="Times New Roman" w:hAnsi="Times New Roman"/>
                <w:b w:val="0"/>
                <w:sz w:val="14"/>
              </w:rPr>
              <w:t>Ougrin et al. (2013)</w:t>
            </w:r>
          </w:p>
        </w:tc>
        <w:tc>
          <w:tcPr>
            <w:tcW w:w="2520" w:type="dxa"/>
            <w:tcMar>
              <w:top w:w="40" w:type="dxa"/>
              <w:left w:w="50" w:type="dxa"/>
              <w:bottom w:w="40" w:type="dxa"/>
              <w:right w:w="50" w:type="dxa"/>
            </w:tcMar>
            <w:vAlign w:val="center"/>
          </w:tcPr>
          <w:p w14:paraId="3B2C70DC">
            <w:pPr>
              <w:spacing w:before="0" w:after="0"/>
              <w:jc w:val="left"/>
            </w:pPr>
            <w:r>
              <w:rPr>
                <w:rFonts w:ascii="Times New Roman" w:hAnsi="Times New Roman"/>
                <w:b w:val="0"/>
                <w:sz w:val="14"/>
              </w:rPr>
              <w:t>Emergency-department self-harm presentations over 2 years</w:t>
            </w:r>
          </w:p>
        </w:tc>
        <w:tc>
          <w:tcPr>
            <w:tcW w:w="720" w:type="dxa"/>
            <w:shd w:val="clear" w:color="auto" w:fill="FFD966"/>
            <w:tcMar>
              <w:top w:w="40" w:type="dxa"/>
              <w:left w:w="50" w:type="dxa"/>
              <w:bottom w:w="40" w:type="dxa"/>
              <w:right w:w="50" w:type="dxa"/>
            </w:tcMar>
            <w:vAlign w:val="center"/>
          </w:tcPr>
          <w:p w14:paraId="278EB891">
            <w:pPr>
              <w:spacing w:before="0" w:after="0"/>
              <w:jc w:val="center"/>
            </w:pPr>
            <w:r>
              <w:rPr>
                <w:rFonts w:ascii="Times New Roman" w:hAnsi="Times New Roman"/>
                <w:b w:val="0"/>
                <w:sz w:val="14"/>
              </w:rPr>
              <w:t>SC</w:t>
            </w:r>
          </w:p>
        </w:tc>
        <w:tc>
          <w:tcPr>
            <w:tcW w:w="720" w:type="dxa"/>
            <w:shd w:val="clear" w:color="auto" w:fill="70AD47"/>
            <w:tcMar>
              <w:top w:w="40" w:type="dxa"/>
              <w:left w:w="50" w:type="dxa"/>
              <w:bottom w:w="40" w:type="dxa"/>
              <w:right w:w="50" w:type="dxa"/>
            </w:tcMar>
            <w:vAlign w:val="center"/>
          </w:tcPr>
          <w:p w14:paraId="6767AC18">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26A84EC2">
            <w:pPr>
              <w:spacing w:before="0" w:after="0"/>
              <w:jc w:val="center"/>
            </w:pPr>
            <w:r>
              <w:rPr>
                <w:rFonts w:ascii="Times New Roman" w:hAnsi="Times New Roman"/>
                <w:b w:val="0"/>
                <w:color w:val="FFFFFF"/>
                <w:sz w:val="14"/>
              </w:rPr>
              <w:t>L</w:t>
            </w:r>
          </w:p>
        </w:tc>
        <w:tc>
          <w:tcPr>
            <w:tcW w:w="720" w:type="dxa"/>
            <w:shd w:val="clear" w:color="auto" w:fill="70AD47"/>
            <w:tcMar>
              <w:top w:w="40" w:type="dxa"/>
              <w:left w:w="50" w:type="dxa"/>
              <w:bottom w:w="40" w:type="dxa"/>
              <w:right w:w="50" w:type="dxa"/>
            </w:tcMar>
            <w:vAlign w:val="center"/>
          </w:tcPr>
          <w:p w14:paraId="15CB8105">
            <w:pPr>
              <w:spacing w:before="0" w:after="0"/>
              <w:jc w:val="center"/>
            </w:pPr>
            <w:r>
              <w:rPr>
                <w:rFonts w:ascii="Times New Roman" w:hAnsi="Times New Roman"/>
                <w:b w:val="0"/>
                <w:color w:val="FFFFFF"/>
                <w:sz w:val="14"/>
              </w:rPr>
              <w:t>L</w:t>
            </w:r>
          </w:p>
        </w:tc>
        <w:tc>
          <w:tcPr>
            <w:tcW w:w="720" w:type="dxa"/>
            <w:shd w:val="clear" w:color="auto" w:fill="FFD966"/>
            <w:tcMar>
              <w:top w:w="40" w:type="dxa"/>
              <w:left w:w="50" w:type="dxa"/>
              <w:bottom w:w="40" w:type="dxa"/>
              <w:right w:w="50" w:type="dxa"/>
            </w:tcMar>
            <w:vAlign w:val="center"/>
          </w:tcPr>
          <w:p w14:paraId="53550781">
            <w:pPr>
              <w:spacing w:before="0" w:after="0"/>
              <w:jc w:val="center"/>
            </w:pPr>
            <w:r>
              <w:rPr>
                <w:rFonts w:ascii="Times New Roman" w:hAnsi="Times New Roman"/>
                <w:b w:val="0"/>
                <w:sz w:val="14"/>
              </w:rPr>
              <w:t>SC</w:t>
            </w:r>
          </w:p>
        </w:tc>
        <w:tc>
          <w:tcPr>
            <w:tcW w:w="1512" w:type="dxa"/>
            <w:shd w:val="clear" w:color="auto" w:fill="FFD966"/>
            <w:tcMar>
              <w:top w:w="40" w:type="dxa"/>
              <w:left w:w="50" w:type="dxa"/>
              <w:bottom w:w="40" w:type="dxa"/>
              <w:right w:w="50" w:type="dxa"/>
            </w:tcMar>
            <w:vAlign w:val="center"/>
          </w:tcPr>
          <w:p w14:paraId="4C39BB37">
            <w:pPr>
              <w:spacing w:before="0" w:after="0"/>
              <w:jc w:val="center"/>
            </w:pPr>
            <w:r>
              <w:rPr>
                <w:rFonts w:ascii="Times New Roman" w:hAnsi="Times New Roman"/>
                <w:b/>
                <w:sz w:val="14"/>
              </w:rPr>
              <w:t>Some concerns</w:t>
            </w:r>
          </w:p>
        </w:tc>
        <w:tc>
          <w:tcPr>
            <w:tcW w:w="4392" w:type="dxa"/>
            <w:tcMar>
              <w:top w:w="40" w:type="dxa"/>
              <w:left w:w="50" w:type="dxa"/>
              <w:bottom w:w="40" w:type="dxa"/>
              <w:right w:w="50" w:type="dxa"/>
            </w:tcMar>
            <w:vAlign w:val="center"/>
          </w:tcPr>
          <w:p w14:paraId="6BF1347E">
            <w:pPr>
              <w:spacing w:before="0" w:after="0"/>
              <w:jc w:val="left"/>
            </w:pPr>
            <w:r>
              <w:rPr>
                <w:rFonts w:ascii="Times New Roman" w:hAnsi="Times New Roman"/>
                <w:b w:val="0"/>
                <w:sz w:val="14"/>
              </w:rPr>
              <w:t>Long-term follow-up with near-complete electronic-record ascertainment and raters unaware of allocation; randomization occurred at assessor level and this follow-up outcome was reported separately from the original principal outcome.</w:t>
            </w:r>
          </w:p>
        </w:tc>
      </w:tr>
    </w:tbl>
    <w:p w14:paraId="7EE4A1CD">
      <w:pPr>
        <w:spacing w:before="60" w:after="80"/>
      </w:pPr>
      <w:r>
        <w:rPr>
          <w:rFonts w:ascii="Times New Roman" w:hAnsi="Times New Roman"/>
          <w:sz w:val="17"/>
        </w:rPr>
        <w:t>Abbreviations: L, low risk; SC, some concerns; H, high risk; D1, randomization process; D2, deviations from intended interventions; D3, missing outcome data; D4, measurement of the outcome; D5, selection of the reported result.</w:t>
      </w:r>
    </w:p>
    <w:p w14:paraId="1B06CC16">
      <w:r>
        <w:br w:type="page"/>
      </w:r>
    </w:p>
    <w:p w14:paraId="49376091">
      <w:pPr>
        <w:keepNext/>
        <w:spacing w:before="120" w:after="80"/>
      </w:pPr>
      <w:r>
        <w:rPr>
          <w:rFonts w:ascii="Times New Roman" w:hAnsi="Times New Roman"/>
          <w:b/>
          <w:sz w:val="21"/>
        </w:rPr>
        <w:t>Supplementary Table S2. Distribution of outcome-specific RoB 2 judgments by domain</w:t>
      </w:r>
    </w:p>
    <w:p w14:paraId="4EAA2BE1">
      <w:pPr>
        <w:keepNext/>
        <w:spacing w:after="40"/>
      </w:pPr>
      <w:r>
        <w:rPr>
          <w:rFonts w:ascii="Times New Roman" w:hAnsi="Times New Roman"/>
          <w:b/>
          <w:sz w:val="19"/>
        </w:rPr>
        <w:t>S2A. Dichotomous NSSI/self-harm outcomes (10 outcome assessments)</w:t>
      </w:r>
    </w:p>
    <w:tbl>
      <w:tblPr>
        <w:tblStyle w:val="32"/>
        <w:tblW w:w="0" w:type="auto"/>
        <w:jc w:val="center"/>
        <w:tblLayout w:type="fixed"/>
        <w:tblCellMar>
          <w:top w:w="0" w:type="dxa"/>
          <w:left w:w="108" w:type="dxa"/>
          <w:bottom w:w="0" w:type="dxa"/>
          <w:right w:w="108" w:type="dxa"/>
        </w:tblCellMar>
      </w:tblPr>
      <w:tblGrid>
        <w:gridCol w:w="3636"/>
        <w:gridCol w:w="3636"/>
        <w:gridCol w:w="3636"/>
        <w:gridCol w:w="3636"/>
      </w:tblGrid>
      <w:tr w14:paraId="7F04428C">
        <w:trPr>
          <w:cantSplit/>
          <w:tblHeader/>
          <w:jc w:val="center"/>
        </w:trPr>
        <w:tc>
          <w:tcPr>
            <w:tcW w:w="5184" w:type="dxa"/>
            <w:tcBorders>
              <w:top w:val="single" w:color="auto" w:sz="8" w:space="0"/>
              <w:bottom w:val="single" w:color="auto" w:sz="6" w:space="0"/>
            </w:tcBorders>
            <w:shd w:val="clear" w:color="auto" w:fill="D9E2F3"/>
            <w:tcMar>
              <w:top w:w="40" w:type="dxa"/>
              <w:left w:w="50" w:type="dxa"/>
              <w:bottom w:w="40" w:type="dxa"/>
              <w:right w:w="50" w:type="dxa"/>
            </w:tcMar>
            <w:vAlign w:val="center"/>
          </w:tcPr>
          <w:p w14:paraId="3A7D6A4C">
            <w:pPr>
              <w:spacing w:before="0" w:after="0"/>
              <w:jc w:val="center"/>
            </w:pPr>
            <w:bookmarkStart w:id="0" w:name="_GoBack" w:colFirst="0" w:colLast="3"/>
            <w:r>
              <w:rPr>
                <w:rFonts w:ascii="Times New Roman" w:hAnsi="Times New Roman"/>
                <w:b/>
                <w:sz w:val="16"/>
              </w:rPr>
              <w:t>Domain</w:t>
            </w:r>
          </w:p>
        </w:tc>
        <w:tc>
          <w:tcPr>
            <w:tcW w:w="2592" w:type="dxa"/>
            <w:tcBorders>
              <w:top w:val="single" w:color="auto" w:sz="8" w:space="0"/>
              <w:bottom w:val="single" w:color="auto" w:sz="6" w:space="0"/>
            </w:tcBorders>
            <w:shd w:val="clear" w:color="auto" w:fill="D9E2F3"/>
            <w:tcMar>
              <w:top w:w="40" w:type="dxa"/>
              <w:left w:w="50" w:type="dxa"/>
              <w:bottom w:w="40" w:type="dxa"/>
              <w:right w:w="50" w:type="dxa"/>
            </w:tcMar>
            <w:vAlign w:val="center"/>
          </w:tcPr>
          <w:p w14:paraId="3722CF8E">
            <w:pPr>
              <w:spacing w:before="0" w:after="0"/>
              <w:jc w:val="center"/>
            </w:pPr>
            <w:r>
              <w:rPr>
                <w:rFonts w:ascii="Times New Roman" w:hAnsi="Times New Roman"/>
                <w:b/>
                <w:sz w:val="16"/>
              </w:rPr>
              <w:t>Low risk, n (%)</w:t>
            </w:r>
          </w:p>
        </w:tc>
        <w:tc>
          <w:tcPr>
            <w:tcW w:w="2880" w:type="dxa"/>
            <w:tcBorders>
              <w:top w:val="single" w:color="auto" w:sz="8" w:space="0"/>
              <w:bottom w:val="single" w:color="auto" w:sz="6" w:space="0"/>
            </w:tcBorders>
            <w:shd w:val="clear" w:color="auto" w:fill="D9E2F3"/>
            <w:tcMar>
              <w:top w:w="40" w:type="dxa"/>
              <w:left w:w="50" w:type="dxa"/>
              <w:bottom w:w="40" w:type="dxa"/>
              <w:right w:w="50" w:type="dxa"/>
            </w:tcMar>
            <w:vAlign w:val="center"/>
          </w:tcPr>
          <w:p w14:paraId="044F1884">
            <w:pPr>
              <w:spacing w:before="0" w:after="0"/>
              <w:jc w:val="center"/>
            </w:pPr>
            <w:r>
              <w:rPr>
                <w:rFonts w:ascii="Times New Roman" w:hAnsi="Times New Roman"/>
                <w:b/>
                <w:sz w:val="16"/>
              </w:rPr>
              <w:t>Some concerns, n (%)</w:t>
            </w:r>
          </w:p>
        </w:tc>
        <w:tc>
          <w:tcPr>
            <w:tcW w:w="2592" w:type="dxa"/>
            <w:tcBorders>
              <w:top w:val="single" w:color="auto" w:sz="8" w:space="0"/>
              <w:bottom w:val="single" w:color="auto" w:sz="6" w:space="0"/>
            </w:tcBorders>
            <w:shd w:val="clear" w:color="auto" w:fill="D9E2F3"/>
            <w:tcMar>
              <w:top w:w="40" w:type="dxa"/>
              <w:left w:w="50" w:type="dxa"/>
              <w:bottom w:w="40" w:type="dxa"/>
              <w:right w:w="50" w:type="dxa"/>
            </w:tcMar>
            <w:vAlign w:val="center"/>
          </w:tcPr>
          <w:p w14:paraId="69CF6B44">
            <w:pPr>
              <w:spacing w:before="0" w:after="0"/>
              <w:jc w:val="center"/>
            </w:pPr>
            <w:r>
              <w:rPr>
                <w:rFonts w:ascii="Times New Roman" w:hAnsi="Times New Roman"/>
                <w:b/>
                <w:sz w:val="16"/>
              </w:rPr>
              <w:t>High risk, n (%)</w:t>
            </w:r>
          </w:p>
        </w:tc>
      </w:tr>
      <w:bookmarkEnd w:id="0"/>
      <w:tr w14:paraId="40A9763B">
        <w:tblPrEx>
          <w:tblCellMar>
            <w:top w:w="0" w:type="dxa"/>
            <w:left w:w="108" w:type="dxa"/>
            <w:bottom w:w="0" w:type="dxa"/>
            <w:right w:w="108" w:type="dxa"/>
          </w:tblCellMar>
        </w:tblPrEx>
        <w:trPr>
          <w:cantSplit/>
          <w:jc w:val="center"/>
        </w:trPr>
        <w:tc>
          <w:tcPr>
            <w:tcW w:w="5184" w:type="dxa"/>
            <w:tcBorders>
              <w:top w:val="single" w:color="auto" w:sz="6" w:space="0"/>
            </w:tcBorders>
            <w:tcMar>
              <w:top w:w="40" w:type="dxa"/>
              <w:left w:w="50" w:type="dxa"/>
              <w:bottom w:w="40" w:type="dxa"/>
              <w:right w:w="50" w:type="dxa"/>
            </w:tcMar>
            <w:vAlign w:val="center"/>
          </w:tcPr>
          <w:p w14:paraId="5BC5D0C3">
            <w:pPr>
              <w:spacing w:before="0" w:after="0"/>
              <w:jc w:val="left"/>
            </w:pPr>
            <w:r>
              <w:rPr>
                <w:rFonts w:ascii="Times New Roman" w:hAnsi="Times New Roman"/>
                <w:b w:val="0"/>
                <w:sz w:val="16"/>
              </w:rPr>
              <w:t>D1: Randomization process</w:t>
            </w:r>
          </w:p>
        </w:tc>
        <w:tc>
          <w:tcPr>
            <w:tcW w:w="2592" w:type="dxa"/>
            <w:tcBorders>
              <w:top w:val="single" w:color="auto" w:sz="6" w:space="0"/>
            </w:tcBorders>
            <w:tcMar>
              <w:top w:w="40" w:type="dxa"/>
              <w:left w:w="50" w:type="dxa"/>
              <w:bottom w:w="40" w:type="dxa"/>
              <w:right w:w="50" w:type="dxa"/>
            </w:tcMar>
            <w:vAlign w:val="center"/>
          </w:tcPr>
          <w:p w14:paraId="21C83670">
            <w:pPr>
              <w:spacing w:before="0" w:after="0"/>
              <w:jc w:val="center"/>
            </w:pPr>
            <w:r>
              <w:rPr>
                <w:rFonts w:ascii="Times New Roman" w:hAnsi="Times New Roman"/>
                <w:b w:val="0"/>
                <w:sz w:val="16"/>
              </w:rPr>
              <w:t>3 (30.0%)</w:t>
            </w:r>
          </w:p>
        </w:tc>
        <w:tc>
          <w:tcPr>
            <w:tcW w:w="2880" w:type="dxa"/>
            <w:tcBorders>
              <w:top w:val="single" w:color="auto" w:sz="6" w:space="0"/>
            </w:tcBorders>
            <w:tcMar>
              <w:top w:w="40" w:type="dxa"/>
              <w:left w:w="50" w:type="dxa"/>
              <w:bottom w:w="40" w:type="dxa"/>
              <w:right w:w="50" w:type="dxa"/>
            </w:tcMar>
            <w:vAlign w:val="center"/>
          </w:tcPr>
          <w:p w14:paraId="17A004D6">
            <w:pPr>
              <w:spacing w:before="0" w:after="0"/>
              <w:jc w:val="center"/>
            </w:pPr>
            <w:r>
              <w:rPr>
                <w:rFonts w:ascii="Times New Roman" w:hAnsi="Times New Roman"/>
                <w:b w:val="0"/>
                <w:sz w:val="16"/>
              </w:rPr>
              <w:t>6 (60.0%)</w:t>
            </w:r>
          </w:p>
        </w:tc>
        <w:tc>
          <w:tcPr>
            <w:tcW w:w="2592" w:type="dxa"/>
            <w:tcBorders>
              <w:top w:val="single" w:color="auto" w:sz="6" w:space="0"/>
            </w:tcBorders>
            <w:tcMar>
              <w:top w:w="40" w:type="dxa"/>
              <w:left w:w="50" w:type="dxa"/>
              <w:bottom w:w="40" w:type="dxa"/>
              <w:right w:w="50" w:type="dxa"/>
            </w:tcMar>
            <w:vAlign w:val="center"/>
          </w:tcPr>
          <w:p w14:paraId="32137D6F">
            <w:pPr>
              <w:spacing w:before="0" w:after="0"/>
              <w:jc w:val="center"/>
            </w:pPr>
            <w:r>
              <w:rPr>
                <w:rFonts w:ascii="Times New Roman" w:hAnsi="Times New Roman"/>
                <w:b w:val="0"/>
                <w:sz w:val="16"/>
              </w:rPr>
              <w:t>1 (10.0%)</w:t>
            </w:r>
          </w:p>
        </w:tc>
      </w:tr>
      <w:tr w14:paraId="5A0B03E5">
        <w:tblPrEx>
          <w:tblCellMar>
            <w:top w:w="0" w:type="dxa"/>
            <w:left w:w="108" w:type="dxa"/>
            <w:bottom w:w="0" w:type="dxa"/>
            <w:right w:w="108" w:type="dxa"/>
          </w:tblCellMar>
        </w:tblPrEx>
        <w:trPr>
          <w:cantSplit/>
          <w:jc w:val="center"/>
        </w:trPr>
        <w:tc>
          <w:tcPr>
            <w:tcW w:w="5184" w:type="dxa"/>
            <w:tcMar>
              <w:top w:w="40" w:type="dxa"/>
              <w:left w:w="50" w:type="dxa"/>
              <w:bottom w:w="40" w:type="dxa"/>
              <w:right w:w="50" w:type="dxa"/>
            </w:tcMar>
            <w:vAlign w:val="center"/>
          </w:tcPr>
          <w:p w14:paraId="7A9DECA7">
            <w:pPr>
              <w:spacing w:before="0" w:after="0"/>
              <w:jc w:val="left"/>
            </w:pPr>
            <w:r>
              <w:rPr>
                <w:rFonts w:ascii="Times New Roman" w:hAnsi="Times New Roman"/>
                <w:b w:val="0"/>
                <w:sz w:val="16"/>
              </w:rPr>
              <w:t>D2: Deviations from intended interventions</w:t>
            </w:r>
          </w:p>
        </w:tc>
        <w:tc>
          <w:tcPr>
            <w:tcW w:w="2592" w:type="dxa"/>
            <w:tcMar>
              <w:top w:w="40" w:type="dxa"/>
              <w:left w:w="50" w:type="dxa"/>
              <w:bottom w:w="40" w:type="dxa"/>
              <w:right w:w="50" w:type="dxa"/>
            </w:tcMar>
            <w:vAlign w:val="center"/>
          </w:tcPr>
          <w:p w14:paraId="5FBEE70C">
            <w:pPr>
              <w:spacing w:before="0" w:after="0"/>
              <w:jc w:val="center"/>
            </w:pPr>
            <w:r>
              <w:rPr>
                <w:rFonts w:ascii="Times New Roman" w:hAnsi="Times New Roman"/>
                <w:b w:val="0"/>
                <w:sz w:val="16"/>
              </w:rPr>
              <w:t>4 (40.0%)</w:t>
            </w:r>
          </w:p>
        </w:tc>
        <w:tc>
          <w:tcPr>
            <w:tcW w:w="2880" w:type="dxa"/>
            <w:tcMar>
              <w:top w:w="40" w:type="dxa"/>
              <w:left w:w="50" w:type="dxa"/>
              <w:bottom w:w="40" w:type="dxa"/>
              <w:right w:w="50" w:type="dxa"/>
            </w:tcMar>
            <w:vAlign w:val="center"/>
          </w:tcPr>
          <w:p w14:paraId="276EE7A0">
            <w:pPr>
              <w:spacing w:before="0" w:after="0"/>
              <w:jc w:val="center"/>
            </w:pPr>
            <w:r>
              <w:rPr>
                <w:rFonts w:ascii="Times New Roman" w:hAnsi="Times New Roman"/>
                <w:b w:val="0"/>
                <w:sz w:val="16"/>
              </w:rPr>
              <w:t>6 (60.0%)</w:t>
            </w:r>
          </w:p>
        </w:tc>
        <w:tc>
          <w:tcPr>
            <w:tcW w:w="2592" w:type="dxa"/>
            <w:tcMar>
              <w:top w:w="40" w:type="dxa"/>
              <w:left w:w="50" w:type="dxa"/>
              <w:bottom w:w="40" w:type="dxa"/>
              <w:right w:w="50" w:type="dxa"/>
            </w:tcMar>
            <w:vAlign w:val="center"/>
          </w:tcPr>
          <w:p w14:paraId="0C0661F7">
            <w:pPr>
              <w:spacing w:before="0" w:after="0"/>
              <w:jc w:val="center"/>
            </w:pPr>
            <w:r>
              <w:rPr>
                <w:rFonts w:ascii="Times New Roman" w:hAnsi="Times New Roman"/>
                <w:b w:val="0"/>
                <w:sz w:val="16"/>
              </w:rPr>
              <w:t>0 (0.0%)</w:t>
            </w:r>
          </w:p>
        </w:tc>
      </w:tr>
      <w:tr w14:paraId="2BCD8CD6">
        <w:tblPrEx>
          <w:tblCellMar>
            <w:top w:w="0" w:type="dxa"/>
            <w:left w:w="108" w:type="dxa"/>
            <w:bottom w:w="0" w:type="dxa"/>
            <w:right w:w="108" w:type="dxa"/>
          </w:tblCellMar>
        </w:tblPrEx>
        <w:trPr>
          <w:cantSplit/>
          <w:jc w:val="center"/>
        </w:trPr>
        <w:tc>
          <w:tcPr>
            <w:tcW w:w="5184" w:type="dxa"/>
            <w:tcMar>
              <w:top w:w="40" w:type="dxa"/>
              <w:left w:w="50" w:type="dxa"/>
              <w:bottom w:w="40" w:type="dxa"/>
              <w:right w:w="50" w:type="dxa"/>
            </w:tcMar>
            <w:vAlign w:val="center"/>
          </w:tcPr>
          <w:p w14:paraId="1D7BA16D">
            <w:pPr>
              <w:spacing w:before="0" w:after="0"/>
              <w:jc w:val="left"/>
            </w:pPr>
            <w:r>
              <w:rPr>
                <w:rFonts w:ascii="Times New Roman" w:hAnsi="Times New Roman"/>
                <w:b w:val="0"/>
                <w:sz w:val="16"/>
              </w:rPr>
              <w:t>D3: Missing outcome data</w:t>
            </w:r>
          </w:p>
        </w:tc>
        <w:tc>
          <w:tcPr>
            <w:tcW w:w="2592" w:type="dxa"/>
            <w:tcMar>
              <w:top w:w="40" w:type="dxa"/>
              <w:left w:w="50" w:type="dxa"/>
              <w:bottom w:w="40" w:type="dxa"/>
              <w:right w:w="50" w:type="dxa"/>
            </w:tcMar>
            <w:vAlign w:val="center"/>
          </w:tcPr>
          <w:p w14:paraId="7CA1AA26">
            <w:pPr>
              <w:spacing w:before="0" w:after="0"/>
              <w:jc w:val="center"/>
            </w:pPr>
            <w:r>
              <w:rPr>
                <w:rFonts w:ascii="Times New Roman" w:hAnsi="Times New Roman"/>
                <w:b w:val="0"/>
                <w:sz w:val="16"/>
              </w:rPr>
              <w:t>10 (100.0%)</w:t>
            </w:r>
          </w:p>
        </w:tc>
        <w:tc>
          <w:tcPr>
            <w:tcW w:w="2880" w:type="dxa"/>
            <w:tcMar>
              <w:top w:w="40" w:type="dxa"/>
              <w:left w:w="50" w:type="dxa"/>
              <w:bottom w:w="40" w:type="dxa"/>
              <w:right w:w="50" w:type="dxa"/>
            </w:tcMar>
            <w:vAlign w:val="center"/>
          </w:tcPr>
          <w:p w14:paraId="6895651D">
            <w:pPr>
              <w:spacing w:before="0" w:after="0"/>
              <w:jc w:val="center"/>
            </w:pPr>
            <w:r>
              <w:rPr>
                <w:rFonts w:ascii="Times New Roman" w:hAnsi="Times New Roman"/>
                <w:b w:val="0"/>
                <w:sz w:val="16"/>
              </w:rPr>
              <w:t>0 (0.0%)</w:t>
            </w:r>
          </w:p>
        </w:tc>
        <w:tc>
          <w:tcPr>
            <w:tcW w:w="2592" w:type="dxa"/>
            <w:tcMar>
              <w:top w:w="40" w:type="dxa"/>
              <w:left w:w="50" w:type="dxa"/>
              <w:bottom w:w="40" w:type="dxa"/>
              <w:right w:w="50" w:type="dxa"/>
            </w:tcMar>
            <w:vAlign w:val="center"/>
          </w:tcPr>
          <w:p w14:paraId="2113F77E">
            <w:pPr>
              <w:spacing w:before="0" w:after="0"/>
              <w:jc w:val="center"/>
            </w:pPr>
            <w:r>
              <w:rPr>
                <w:rFonts w:ascii="Times New Roman" w:hAnsi="Times New Roman"/>
                <w:b w:val="0"/>
                <w:sz w:val="16"/>
              </w:rPr>
              <w:t>0 (0.0%)</w:t>
            </w:r>
          </w:p>
        </w:tc>
      </w:tr>
      <w:tr w14:paraId="24F54E96">
        <w:tblPrEx>
          <w:tblCellMar>
            <w:top w:w="0" w:type="dxa"/>
            <w:left w:w="108" w:type="dxa"/>
            <w:bottom w:w="0" w:type="dxa"/>
            <w:right w:w="108" w:type="dxa"/>
          </w:tblCellMar>
        </w:tblPrEx>
        <w:trPr>
          <w:cantSplit/>
          <w:jc w:val="center"/>
        </w:trPr>
        <w:tc>
          <w:tcPr>
            <w:tcW w:w="5184" w:type="dxa"/>
            <w:tcMar>
              <w:top w:w="40" w:type="dxa"/>
              <w:left w:w="50" w:type="dxa"/>
              <w:bottom w:w="40" w:type="dxa"/>
              <w:right w:w="50" w:type="dxa"/>
            </w:tcMar>
            <w:vAlign w:val="center"/>
          </w:tcPr>
          <w:p w14:paraId="09CCE431">
            <w:pPr>
              <w:spacing w:before="0" w:after="0"/>
              <w:jc w:val="left"/>
            </w:pPr>
            <w:r>
              <w:rPr>
                <w:rFonts w:ascii="Times New Roman" w:hAnsi="Times New Roman"/>
                <w:b w:val="0"/>
                <w:sz w:val="16"/>
              </w:rPr>
              <w:t>D4: Measurement of the outcome</w:t>
            </w:r>
          </w:p>
        </w:tc>
        <w:tc>
          <w:tcPr>
            <w:tcW w:w="2592" w:type="dxa"/>
            <w:tcMar>
              <w:top w:w="40" w:type="dxa"/>
              <w:left w:w="50" w:type="dxa"/>
              <w:bottom w:w="40" w:type="dxa"/>
              <w:right w:w="50" w:type="dxa"/>
            </w:tcMar>
            <w:vAlign w:val="center"/>
          </w:tcPr>
          <w:p w14:paraId="1A374BC9">
            <w:pPr>
              <w:spacing w:before="0" w:after="0"/>
              <w:jc w:val="center"/>
            </w:pPr>
            <w:r>
              <w:rPr>
                <w:rFonts w:ascii="Times New Roman" w:hAnsi="Times New Roman"/>
                <w:b w:val="0"/>
                <w:sz w:val="16"/>
              </w:rPr>
              <w:t>4 (40.0%)</w:t>
            </w:r>
          </w:p>
        </w:tc>
        <w:tc>
          <w:tcPr>
            <w:tcW w:w="2880" w:type="dxa"/>
            <w:tcMar>
              <w:top w:w="40" w:type="dxa"/>
              <w:left w:w="50" w:type="dxa"/>
              <w:bottom w:w="40" w:type="dxa"/>
              <w:right w:w="50" w:type="dxa"/>
            </w:tcMar>
            <w:vAlign w:val="center"/>
          </w:tcPr>
          <w:p w14:paraId="18EDEFD3">
            <w:pPr>
              <w:spacing w:before="0" w:after="0"/>
              <w:jc w:val="center"/>
            </w:pPr>
            <w:r>
              <w:rPr>
                <w:rFonts w:ascii="Times New Roman" w:hAnsi="Times New Roman"/>
                <w:b w:val="0"/>
                <w:sz w:val="16"/>
              </w:rPr>
              <w:t>6 (60.0%)</w:t>
            </w:r>
          </w:p>
        </w:tc>
        <w:tc>
          <w:tcPr>
            <w:tcW w:w="2592" w:type="dxa"/>
            <w:tcMar>
              <w:top w:w="40" w:type="dxa"/>
              <w:left w:w="50" w:type="dxa"/>
              <w:bottom w:w="40" w:type="dxa"/>
              <w:right w:w="50" w:type="dxa"/>
            </w:tcMar>
            <w:vAlign w:val="center"/>
          </w:tcPr>
          <w:p w14:paraId="4E2B507D">
            <w:pPr>
              <w:spacing w:before="0" w:after="0"/>
              <w:jc w:val="center"/>
            </w:pPr>
            <w:r>
              <w:rPr>
                <w:rFonts w:ascii="Times New Roman" w:hAnsi="Times New Roman"/>
                <w:b w:val="0"/>
                <w:sz w:val="16"/>
              </w:rPr>
              <w:t>0 (0.0%)</w:t>
            </w:r>
          </w:p>
        </w:tc>
      </w:tr>
      <w:tr w14:paraId="39A50EA6">
        <w:tblPrEx>
          <w:tblCellMar>
            <w:top w:w="0" w:type="dxa"/>
            <w:left w:w="108" w:type="dxa"/>
            <w:bottom w:w="0" w:type="dxa"/>
            <w:right w:w="108" w:type="dxa"/>
          </w:tblCellMar>
        </w:tblPrEx>
        <w:trPr>
          <w:cantSplit/>
          <w:jc w:val="center"/>
        </w:trPr>
        <w:tc>
          <w:tcPr>
            <w:tcW w:w="5184" w:type="dxa"/>
            <w:tcMar>
              <w:top w:w="40" w:type="dxa"/>
              <w:left w:w="50" w:type="dxa"/>
              <w:bottom w:w="40" w:type="dxa"/>
              <w:right w:w="50" w:type="dxa"/>
            </w:tcMar>
            <w:vAlign w:val="center"/>
          </w:tcPr>
          <w:p w14:paraId="28496A73">
            <w:pPr>
              <w:spacing w:before="0" w:after="0"/>
              <w:jc w:val="left"/>
            </w:pPr>
            <w:r>
              <w:rPr>
                <w:rFonts w:ascii="Times New Roman" w:hAnsi="Times New Roman"/>
                <w:b w:val="0"/>
                <w:sz w:val="16"/>
              </w:rPr>
              <w:t>D5: Selection of the reported result</w:t>
            </w:r>
          </w:p>
        </w:tc>
        <w:tc>
          <w:tcPr>
            <w:tcW w:w="2592" w:type="dxa"/>
            <w:tcMar>
              <w:top w:w="40" w:type="dxa"/>
              <w:left w:w="50" w:type="dxa"/>
              <w:bottom w:w="40" w:type="dxa"/>
              <w:right w:w="50" w:type="dxa"/>
            </w:tcMar>
            <w:vAlign w:val="center"/>
          </w:tcPr>
          <w:p w14:paraId="70D39A32">
            <w:pPr>
              <w:spacing w:before="0" w:after="0"/>
              <w:jc w:val="center"/>
            </w:pPr>
            <w:r>
              <w:rPr>
                <w:rFonts w:ascii="Times New Roman" w:hAnsi="Times New Roman"/>
                <w:b w:val="0"/>
                <w:sz w:val="16"/>
              </w:rPr>
              <w:t>3 (30.0%)</w:t>
            </w:r>
          </w:p>
        </w:tc>
        <w:tc>
          <w:tcPr>
            <w:tcW w:w="2880" w:type="dxa"/>
            <w:tcMar>
              <w:top w:w="40" w:type="dxa"/>
              <w:left w:w="50" w:type="dxa"/>
              <w:bottom w:w="40" w:type="dxa"/>
              <w:right w:w="50" w:type="dxa"/>
            </w:tcMar>
            <w:vAlign w:val="center"/>
          </w:tcPr>
          <w:p w14:paraId="0EC4943E">
            <w:pPr>
              <w:spacing w:before="0" w:after="0"/>
              <w:jc w:val="center"/>
            </w:pPr>
            <w:r>
              <w:rPr>
                <w:rFonts w:ascii="Times New Roman" w:hAnsi="Times New Roman"/>
                <w:b w:val="0"/>
                <w:sz w:val="16"/>
              </w:rPr>
              <w:t>7 (70.0%)</w:t>
            </w:r>
          </w:p>
        </w:tc>
        <w:tc>
          <w:tcPr>
            <w:tcW w:w="2592" w:type="dxa"/>
            <w:tcMar>
              <w:top w:w="40" w:type="dxa"/>
              <w:left w:w="50" w:type="dxa"/>
              <w:bottom w:w="40" w:type="dxa"/>
              <w:right w:w="50" w:type="dxa"/>
            </w:tcMar>
            <w:vAlign w:val="center"/>
          </w:tcPr>
          <w:p w14:paraId="67AE7D5B">
            <w:pPr>
              <w:spacing w:before="0" w:after="0"/>
              <w:jc w:val="center"/>
            </w:pPr>
            <w:r>
              <w:rPr>
                <w:rFonts w:ascii="Times New Roman" w:hAnsi="Times New Roman"/>
                <w:b w:val="0"/>
                <w:sz w:val="16"/>
              </w:rPr>
              <w:t>0 (0.0%)</w:t>
            </w:r>
          </w:p>
        </w:tc>
      </w:tr>
      <w:tr w14:paraId="5EB0966C">
        <w:tblPrEx>
          <w:tblCellMar>
            <w:top w:w="0" w:type="dxa"/>
            <w:left w:w="108" w:type="dxa"/>
            <w:bottom w:w="0" w:type="dxa"/>
            <w:right w:w="108" w:type="dxa"/>
          </w:tblCellMar>
        </w:tblPrEx>
        <w:trPr>
          <w:cantSplit/>
          <w:jc w:val="center"/>
        </w:trPr>
        <w:tc>
          <w:tcPr>
            <w:tcW w:w="5184" w:type="dxa"/>
            <w:tcBorders>
              <w:bottom w:val="single" w:color="auto" w:sz="8" w:space="0"/>
            </w:tcBorders>
            <w:tcMar>
              <w:top w:w="40" w:type="dxa"/>
              <w:left w:w="50" w:type="dxa"/>
              <w:bottom w:w="40" w:type="dxa"/>
              <w:right w:w="50" w:type="dxa"/>
            </w:tcMar>
            <w:vAlign w:val="center"/>
          </w:tcPr>
          <w:p w14:paraId="4681476C">
            <w:pPr>
              <w:spacing w:before="0" w:after="0"/>
              <w:jc w:val="left"/>
            </w:pPr>
            <w:r>
              <w:rPr>
                <w:rFonts w:ascii="Times New Roman" w:hAnsi="Times New Roman"/>
                <w:b w:val="0"/>
                <w:sz w:val="16"/>
              </w:rPr>
              <w:t>Overall judgment</w:t>
            </w:r>
          </w:p>
        </w:tc>
        <w:tc>
          <w:tcPr>
            <w:tcW w:w="2592" w:type="dxa"/>
            <w:tcBorders>
              <w:bottom w:val="single" w:color="auto" w:sz="8" w:space="0"/>
            </w:tcBorders>
            <w:tcMar>
              <w:top w:w="40" w:type="dxa"/>
              <w:left w:w="50" w:type="dxa"/>
              <w:bottom w:w="40" w:type="dxa"/>
              <w:right w:w="50" w:type="dxa"/>
            </w:tcMar>
            <w:vAlign w:val="center"/>
          </w:tcPr>
          <w:p w14:paraId="74DDA53F">
            <w:pPr>
              <w:spacing w:before="0" w:after="0"/>
              <w:jc w:val="center"/>
            </w:pPr>
            <w:r>
              <w:rPr>
                <w:rFonts w:ascii="Times New Roman" w:hAnsi="Times New Roman"/>
                <w:b w:val="0"/>
                <w:sz w:val="16"/>
              </w:rPr>
              <w:t>3 (30.0%)</w:t>
            </w:r>
          </w:p>
        </w:tc>
        <w:tc>
          <w:tcPr>
            <w:tcW w:w="2880" w:type="dxa"/>
            <w:tcBorders>
              <w:bottom w:val="single" w:color="auto" w:sz="8" w:space="0"/>
            </w:tcBorders>
            <w:tcMar>
              <w:top w:w="40" w:type="dxa"/>
              <w:left w:w="50" w:type="dxa"/>
              <w:bottom w:w="40" w:type="dxa"/>
              <w:right w:w="50" w:type="dxa"/>
            </w:tcMar>
            <w:vAlign w:val="center"/>
          </w:tcPr>
          <w:p w14:paraId="05A7F76A">
            <w:pPr>
              <w:spacing w:before="0" w:after="0"/>
              <w:jc w:val="center"/>
            </w:pPr>
            <w:r>
              <w:rPr>
                <w:rFonts w:ascii="Times New Roman" w:hAnsi="Times New Roman"/>
                <w:b w:val="0"/>
                <w:sz w:val="16"/>
              </w:rPr>
              <w:t>6 (60.0%)</w:t>
            </w:r>
          </w:p>
        </w:tc>
        <w:tc>
          <w:tcPr>
            <w:tcW w:w="2592" w:type="dxa"/>
            <w:tcBorders>
              <w:bottom w:val="single" w:color="auto" w:sz="8" w:space="0"/>
            </w:tcBorders>
            <w:tcMar>
              <w:top w:w="40" w:type="dxa"/>
              <w:left w:w="50" w:type="dxa"/>
              <w:bottom w:w="40" w:type="dxa"/>
              <w:right w:w="50" w:type="dxa"/>
            </w:tcMar>
            <w:vAlign w:val="center"/>
          </w:tcPr>
          <w:p w14:paraId="1C770D36">
            <w:pPr>
              <w:spacing w:before="0" w:after="0"/>
              <w:jc w:val="center"/>
            </w:pPr>
            <w:r>
              <w:rPr>
                <w:rFonts w:ascii="Times New Roman" w:hAnsi="Times New Roman"/>
                <w:b w:val="0"/>
                <w:sz w:val="16"/>
              </w:rPr>
              <w:t>1 (10.0%)</w:t>
            </w:r>
          </w:p>
        </w:tc>
      </w:tr>
    </w:tbl>
    <w:p w14:paraId="31524D3A">
      <w:pPr>
        <w:spacing w:after="60"/>
      </w:pPr>
    </w:p>
    <w:p w14:paraId="1887C122">
      <w:pPr>
        <w:keepNext/>
        <w:spacing w:after="40"/>
      </w:pPr>
      <w:r>
        <w:rPr>
          <w:rFonts w:ascii="Times New Roman" w:hAnsi="Times New Roman"/>
          <w:b/>
          <w:sz w:val="19"/>
        </w:rPr>
        <w:t>S2B. Continuous NSSI/self-harm outcomes (19 outcome assessments, including the disconnected active-comparator network)</w:t>
      </w:r>
    </w:p>
    <w:tbl>
      <w:tblPr>
        <w:tblStyle w:val="32"/>
        <w:tblW w:w="0" w:type="auto"/>
        <w:jc w:val="center"/>
        <w:tblLayout w:type="fixed"/>
        <w:tblCellMar>
          <w:top w:w="0" w:type="dxa"/>
          <w:left w:w="108" w:type="dxa"/>
          <w:bottom w:w="0" w:type="dxa"/>
          <w:right w:w="108" w:type="dxa"/>
        </w:tblCellMar>
      </w:tblPr>
      <w:tblGrid>
        <w:gridCol w:w="3636"/>
        <w:gridCol w:w="3636"/>
        <w:gridCol w:w="3636"/>
        <w:gridCol w:w="3636"/>
      </w:tblGrid>
      <w:tr w14:paraId="7C328D16">
        <w:tblPrEx>
          <w:tblCellMar>
            <w:top w:w="0" w:type="dxa"/>
            <w:left w:w="108" w:type="dxa"/>
            <w:bottom w:w="0" w:type="dxa"/>
            <w:right w:w="108" w:type="dxa"/>
          </w:tblCellMar>
        </w:tblPrEx>
        <w:trPr>
          <w:cantSplit/>
          <w:tblHeader/>
          <w:jc w:val="center"/>
        </w:trPr>
        <w:tc>
          <w:tcPr>
            <w:tcW w:w="5184" w:type="dxa"/>
            <w:tcBorders>
              <w:top w:val="single" w:color="auto" w:sz="8" w:space="0"/>
              <w:bottom w:val="single" w:color="auto" w:sz="6" w:space="0"/>
            </w:tcBorders>
            <w:shd w:val="clear" w:color="auto" w:fill="D9E2F3"/>
            <w:tcMar>
              <w:top w:w="40" w:type="dxa"/>
              <w:left w:w="50" w:type="dxa"/>
              <w:bottom w:w="40" w:type="dxa"/>
              <w:right w:w="50" w:type="dxa"/>
            </w:tcMar>
            <w:vAlign w:val="center"/>
          </w:tcPr>
          <w:p w14:paraId="0243F73A">
            <w:pPr>
              <w:spacing w:before="0" w:after="0"/>
              <w:jc w:val="center"/>
              <w:rPr>
                <w:rFonts w:ascii="Times New Roman" w:hAnsi="Times New Roman"/>
                <w:b w:val="0"/>
                <w:sz w:val="16"/>
              </w:rPr>
            </w:pPr>
            <w:r>
              <w:rPr>
                <w:rFonts w:ascii="Times New Roman" w:hAnsi="Times New Roman"/>
                <w:b w:val="0"/>
                <w:sz w:val="16"/>
              </w:rPr>
              <w:t>Domain</w:t>
            </w:r>
          </w:p>
        </w:tc>
        <w:tc>
          <w:tcPr>
            <w:tcW w:w="2592" w:type="dxa"/>
            <w:tcBorders>
              <w:top w:val="single" w:color="auto" w:sz="8" w:space="0"/>
              <w:bottom w:val="single" w:color="auto" w:sz="6" w:space="0"/>
            </w:tcBorders>
            <w:shd w:val="clear" w:color="auto" w:fill="D9E2F3"/>
            <w:tcMar>
              <w:top w:w="40" w:type="dxa"/>
              <w:left w:w="50" w:type="dxa"/>
              <w:bottom w:w="40" w:type="dxa"/>
              <w:right w:w="50" w:type="dxa"/>
            </w:tcMar>
            <w:vAlign w:val="center"/>
          </w:tcPr>
          <w:p w14:paraId="44A9563B">
            <w:pPr>
              <w:spacing w:before="0" w:after="0"/>
              <w:jc w:val="center"/>
              <w:rPr>
                <w:rFonts w:ascii="Times New Roman" w:hAnsi="Times New Roman"/>
                <w:b w:val="0"/>
                <w:sz w:val="16"/>
              </w:rPr>
            </w:pPr>
            <w:r>
              <w:rPr>
                <w:rFonts w:ascii="Times New Roman" w:hAnsi="Times New Roman"/>
                <w:b w:val="0"/>
                <w:sz w:val="16"/>
              </w:rPr>
              <w:t>Low risk, n (%)</w:t>
            </w:r>
          </w:p>
        </w:tc>
        <w:tc>
          <w:tcPr>
            <w:tcW w:w="2880" w:type="dxa"/>
            <w:tcBorders>
              <w:top w:val="single" w:color="auto" w:sz="8" w:space="0"/>
              <w:bottom w:val="single" w:color="auto" w:sz="6" w:space="0"/>
            </w:tcBorders>
            <w:shd w:val="clear" w:color="auto" w:fill="D9E2F3"/>
            <w:tcMar>
              <w:top w:w="40" w:type="dxa"/>
              <w:left w:w="50" w:type="dxa"/>
              <w:bottom w:w="40" w:type="dxa"/>
              <w:right w:w="50" w:type="dxa"/>
            </w:tcMar>
            <w:vAlign w:val="center"/>
          </w:tcPr>
          <w:p w14:paraId="60F0BD09">
            <w:pPr>
              <w:spacing w:before="0" w:after="0"/>
              <w:jc w:val="center"/>
              <w:rPr>
                <w:rFonts w:ascii="Times New Roman" w:hAnsi="Times New Roman"/>
                <w:b w:val="0"/>
                <w:sz w:val="16"/>
              </w:rPr>
            </w:pPr>
            <w:r>
              <w:rPr>
                <w:rFonts w:ascii="Times New Roman" w:hAnsi="Times New Roman"/>
                <w:b w:val="0"/>
                <w:sz w:val="16"/>
              </w:rPr>
              <w:t>Some concerns, n (%)</w:t>
            </w:r>
          </w:p>
        </w:tc>
        <w:tc>
          <w:tcPr>
            <w:tcW w:w="2592" w:type="dxa"/>
            <w:tcBorders>
              <w:top w:val="single" w:color="auto" w:sz="8" w:space="0"/>
              <w:bottom w:val="single" w:color="auto" w:sz="6" w:space="0"/>
            </w:tcBorders>
            <w:shd w:val="clear" w:color="auto" w:fill="D9E2F3"/>
            <w:tcMar>
              <w:top w:w="40" w:type="dxa"/>
              <w:left w:w="50" w:type="dxa"/>
              <w:bottom w:w="40" w:type="dxa"/>
              <w:right w:w="50" w:type="dxa"/>
            </w:tcMar>
            <w:vAlign w:val="center"/>
          </w:tcPr>
          <w:p w14:paraId="082F2AB3">
            <w:pPr>
              <w:spacing w:before="0" w:after="0"/>
              <w:jc w:val="center"/>
              <w:rPr>
                <w:rFonts w:ascii="Times New Roman" w:hAnsi="Times New Roman"/>
                <w:b w:val="0"/>
                <w:sz w:val="16"/>
              </w:rPr>
            </w:pPr>
            <w:r>
              <w:rPr>
                <w:rFonts w:ascii="Times New Roman" w:hAnsi="Times New Roman"/>
                <w:b w:val="0"/>
                <w:sz w:val="16"/>
              </w:rPr>
              <w:t>High risk, n (%)</w:t>
            </w:r>
          </w:p>
        </w:tc>
      </w:tr>
      <w:tr w14:paraId="78FA7B73">
        <w:tblPrEx>
          <w:tblCellMar>
            <w:top w:w="0" w:type="dxa"/>
            <w:left w:w="108" w:type="dxa"/>
            <w:bottom w:w="0" w:type="dxa"/>
            <w:right w:w="108" w:type="dxa"/>
          </w:tblCellMar>
        </w:tblPrEx>
        <w:trPr>
          <w:cantSplit/>
          <w:jc w:val="center"/>
        </w:trPr>
        <w:tc>
          <w:tcPr>
            <w:tcW w:w="5184" w:type="dxa"/>
            <w:tcBorders>
              <w:top w:val="single" w:color="auto" w:sz="6" w:space="0"/>
            </w:tcBorders>
            <w:tcMar>
              <w:top w:w="40" w:type="dxa"/>
              <w:left w:w="50" w:type="dxa"/>
              <w:bottom w:w="40" w:type="dxa"/>
              <w:right w:w="50" w:type="dxa"/>
            </w:tcMar>
            <w:vAlign w:val="center"/>
          </w:tcPr>
          <w:p w14:paraId="559EC0DE">
            <w:pPr>
              <w:spacing w:before="0" w:after="0"/>
              <w:jc w:val="left"/>
              <w:rPr>
                <w:rFonts w:ascii="Times New Roman" w:hAnsi="Times New Roman"/>
                <w:b w:val="0"/>
                <w:sz w:val="16"/>
              </w:rPr>
            </w:pPr>
            <w:r>
              <w:rPr>
                <w:rFonts w:ascii="Times New Roman" w:hAnsi="Times New Roman"/>
                <w:b w:val="0"/>
                <w:sz w:val="16"/>
              </w:rPr>
              <w:t>D1: Randomization process</w:t>
            </w:r>
          </w:p>
        </w:tc>
        <w:tc>
          <w:tcPr>
            <w:tcW w:w="2592" w:type="dxa"/>
            <w:tcBorders>
              <w:top w:val="single" w:color="auto" w:sz="6" w:space="0"/>
            </w:tcBorders>
            <w:tcMar>
              <w:top w:w="40" w:type="dxa"/>
              <w:left w:w="50" w:type="dxa"/>
              <w:bottom w:w="40" w:type="dxa"/>
              <w:right w:w="50" w:type="dxa"/>
            </w:tcMar>
            <w:vAlign w:val="center"/>
          </w:tcPr>
          <w:p w14:paraId="66FAC44E">
            <w:pPr>
              <w:spacing w:before="0" w:after="0"/>
              <w:jc w:val="center"/>
              <w:rPr>
                <w:rFonts w:ascii="Times New Roman" w:hAnsi="Times New Roman"/>
                <w:b w:val="0"/>
                <w:sz w:val="16"/>
              </w:rPr>
            </w:pPr>
            <w:r>
              <w:rPr>
                <w:rFonts w:ascii="Times New Roman" w:hAnsi="Times New Roman"/>
                <w:b w:val="0"/>
                <w:sz w:val="16"/>
              </w:rPr>
              <w:t>4 (21.1%)</w:t>
            </w:r>
          </w:p>
        </w:tc>
        <w:tc>
          <w:tcPr>
            <w:tcW w:w="2880" w:type="dxa"/>
            <w:tcBorders>
              <w:top w:val="single" w:color="auto" w:sz="6" w:space="0"/>
            </w:tcBorders>
            <w:tcMar>
              <w:top w:w="40" w:type="dxa"/>
              <w:left w:w="50" w:type="dxa"/>
              <w:bottom w:w="40" w:type="dxa"/>
              <w:right w:w="50" w:type="dxa"/>
            </w:tcMar>
            <w:vAlign w:val="center"/>
          </w:tcPr>
          <w:p w14:paraId="33C50511">
            <w:pPr>
              <w:spacing w:before="0" w:after="0"/>
              <w:jc w:val="center"/>
              <w:rPr>
                <w:rFonts w:ascii="Times New Roman" w:hAnsi="Times New Roman"/>
                <w:b w:val="0"/>
                <w:sz w:val="16"/>
              </w:rPr>
            </w:pPr>
            <w:r>
              <w:rPr>
                <w:rFonts w:ascii="Times New Roman" w:hAnsi="Times New Roman"/>
                <w:b w:val="0"/>
                <w:sz w:val="16"/>
              </w:rPr>
              <w:t>14 (73.7%)</w:t>
            </w:r>
          </w:p>
        </w:tc>
        <w:tc>
          <w:tcPr>
            <w:tcW w:w="2592" w:type="dxa"/>
            <w:tcBorders>
              <w:top w:val="single" w:color="auto" w:sz="6" w:space="0"/>
            </w:tcBorders>
            <w:tcMar>
              <w:top w:w="40" w:type="dxa"/>
              <w:left w:w="50" w:type="dxa"/>
              <w:bottom w:w="40" w:type="dxa"/>
              <w:right w:w="50" w:type="dxa"/>
            </w:tcMar>
            <w:vAlign w:val="center"/>
          </w:tcPr>
          <w:p w14:paraId="4E02B78A">
            <w:pPr>
              <w:spacing w:before="0" w:after="0"/>
              <w:jc w:val="center"/>
              <w:rPr>
                <w:rFonts w:ascii="Times New Roman" w:hAnsi="Times New Roman"/>
                <w:b w:val="0"/>
                <w:sz w:val="16"/>
              </w:rPr>
            </w:pPr>
            <w:r>
              <w:rPr>
                <w:rFonts w:ascii="Times New Roman" w:hAnsi="Times New Roman"/>
                <w:b w:val="0"/>
                <w:sz w:val="16"/>
              </w:rPr>
              <w:t>1 (5.3%)</w:t>
            </w:r>
          </w:p>
        </w:tc>
      </w:tr>
      <w:tr w14:paraId="3B7279DF">
        <w:tblPrEx>
          <w:tblCellMar>
            <w:top w:w="0" w:type="dxa"/>
            <w:left w:w="108" w:type="dxa"/>
            <w:bottom w:w="0" w:type="dxa"/>
            <w:right w:w="108" w:type="dxa"/>
          </w:tblCellMar>
        </w:tblPrEx>
        <w:trPr>
          <w:cantSplit/>
          <w:jc w:val="center"/>
        </w:trPr>
        <w:tc>
          <w:tcPr>
            <w:tcW w:w="5184" w:type="dxa"/>
            <w:tcMar>
              <w:top w:w="40" w:type="dxa"/>
              <w:left w:w="50" w:type="dxa"/>
              <w:bottom w:w="40" w:type="dxa"/>
              <w:right w:w="50" w:type="dxa"/>
            </w:tcMar>
            <w:vAlign w:val="center"/>
          </w:tcPr>
          <w:p w14:paraId="0F0F173A">
            <w:pPr>
              <w:spacing w:before="0" w:after="0"/>
              <w:jc w:val="left"/>
              <w:rPr>
                <w:rFonts w:ascii="Times New Roman" w:hAnsi="Times New Roman"/>
                <w:b w:val="0"/>
                <w:sz w:val="16"/>
              </w:rPr>
            </w:pPr>
            <w:r>
              <w:rPr>
                <w:rFonts w:ascii="Times New Roman" w:hAnsi="Times New Roman"/>
                <w:b w:val="0"/>
                <w:sz w:val="16"/>
              </w:rPr>
              <w:t>D2: Deviations from intended interventions</w:t>
            </w:r>
          </w:p>
        </w:tc>
        <w:tc>
          <w:tcPr>
            <w:tcW w:w="2592" w:type="dxa"/>
            <w:tcMar>
              <w:top w:w="40" w:type="dxa"/>
              <w:left w:w="50" w:type="dxa"/>
              <w:bottom w:w="40" w:type="dxa"/>
              <w:right w:w="50" w:type="dxa"/>
            </w:tcMar>
            <w:vAlign w:val="center"/>
          </w:tcPr>
          <w:p w14:paraId="331CC81F">
            <w:pPr>
              <w:spacing w:before="0" w:after="0"/>
              <w:jc w:val="center"/>
              <w:rPr>
                <w:rFonts w:ascii="Times New Roman" w:hAnsi="Times New Roman"/>
                <w:b w:val="0"/>
                <w:sz w:val="16"/>
              </w:rPr>
            </w:pPr>
            <w:r>
              <w:rPr>
                <w:rFonts w:ascii="Times New Roman" w:hAnsi="Times New Roman"/>
                <w:b w:val="0"/>
                <w:sz w:val="16"/>
              </w:rPr>
              <w:t>2 (10.5%)</w:t>
            </w:r>
          </w:p>
        </w:tc>
        <w:tc>
          <w:tcPr>
            <w:tcW w:w="2880" w:type="dxa"/>
            <w:tcMar>
              <w:top w:w="40" w:type="dxa"/>
              <w:left w:w="50" w:type="dxa"/>
              <w:bottom w:w="40" w:type="dxa"/>
              <w:right w:w="50" w:type="dxa"/>
            </w:tcMar>
            <w:vAlign w:val="center"/>
          </w:tcPr>
          <w:p w14:paraId="2219C7DA">
            <w:pPr>
              <w:spacing w:before="0" w:after="0"/>
              <w:jc w:val="center"/>
              <w:rPr>
                <w:rFonts w:ascii="Times New Roman" w:hAnsi="Times New Roman"/>
                <w:b w:val="0"/>
                <w:sz w:val="16"/>
              </w:rPr>
            </w:pPr>
            <w:r>
              <w:rPr>
                <w:rFonts w:ascii="Times New Roman" w:hAnsi="Times New Roman"/>
                <w:b w:val="0"/>
                <w:sz w:val="16"/>
              </w:rPr>
              <w:t>16 (84.2%)</w:t>
            </w:r>
          </w:p>
        </w:tc>
        <w:tc>
          <w:tcPr>
            <w:tcW w:w="2592" w:type="dxa"/>
            <w:tcMar>
              <w:top w:w="40" w:type="dxa"/>
              <w:left w:w="50" w:type="dxa"/>
              <w:bottom w:w="40" w:type="dxa"/>
              <w:right w:w="50" w:type="dxa"/>
            </w:tcMar>
            <w:vAlign w:val="center"/>
          </w:tcPr>
          <w:p w14:paraId="5495BAC2">
            <w:pPr>
              <w:spacing w:before="0" w:after="0"/>
              <w:jc w:val="center"/>
              <w:rPr>
                <w:rFonts w:ascii="Times New Roman" w:hAnsi="Times New Roman"/>
                <w:b w:val="0"/>
                <w:sz w:val="16"/>
              </w:rPr>
            </w:pPr>
            <w:r>
              <w:rPr>
                <w:rFonts w:ascii="Times New Roman" w:hAnsi="Times New Roman"/>
                <w:b w:val="0"/>
                <w:sz w:val="16"/>
              </w:rPr>
              <w:t>1 (5.3%)</w:t>
            </w:r>
          </w:p>
        </w:tc>
      </w:tr>
      <w:tr w14:paraId="3B9651DE">
        <w:tblPrEx>
          <w:tblCellMar>
            <w:top w:w="0" w:type="dxa"/>
            <w:left w:w="108" w:type="dxa"/>
            <w:bottom w:w="0" w:type="dxa"/>
            <w:right w:w="108" w:type="dxa"/>
          </w:tblCellMar>
        </w:tblPrEx>
        <w:trPr>
          <w:cantSplit/>
          <w:jc w:val="center"/>
        </w:trPr>
        <w:tc>
          <w:tcPr>
            <w:tcW w:w="5184" w:type="dxa"/>
            <w:tcMar>
              <w:top w:w="40" w:type="dxa"/>
              <w:left w:w="50" w:type="dxa"/>
              <w:bottom w:w="40" w:type="dxa"/>
              <w:right w:w="50" w:type="dxa"/>
            </w:tcMar>
            <w:vAlign w:val="center"/>
          </w:tcPr>
          <w:p w14:paraId="1F37BB41">
            <w:pPr>
              <w:spacing w:before="0" w:after="0"/>
              <w:jc w:val="left"/>
              <w:rPr>
                <w:rFonts w:ascii="Times New Roman" w:hAnsi="Times New Roman"/>
                <w:b w:val="0"/>
                <w:sz w:val="16"/>
              </w:rPr>
            </w:pPr>
            <w:r>
              <w:rPr>
                <w:rFonts w:ascii="Times New Roman" w:hAnsi="Times New Roman"/>
                <w:b w:val="0"/>
                <w:sz w:val="16"/>
              </w:rPr>
              <w:t>D3: Missing outcome data</w:t>
            </w:r>
          </w:p>
        </w:tc>
        <w:tc>
          <w:tcPr>
            <w:tcW w:w="2592" w:type="dxa"/>
            <w:tcMar>
              <w:top w:w="40" w:type="dxa"/>
              <w:left w:w="50" w:type="dxa"/>
              <w:bottom w:w="40" w:type="dxa"/>
              <w:right w:w="50" w:type="dxa"/>
            </w:tcMar>
            <w:vAlign w:val="center"/>
          </w:tcPr>
          <w:p w14:paraId="1E819DD6">
            <w:pPr>
              <w:spacing w:before="0" w:after="0"/>
              <w:jc w:val="center"/>
              <w:rPr>
                <w:rFonts w:ascii="Times New Roman" w:hAnsi="Times New Roman"/>
                <w:b w:val="0"/>
                <w:sz w:val="16"/>
              </w:rPr>
            </w:pPr>
            <w:r>
              <w:rPr>
                <w:rFonts w:ascii="Times New Roman" w:hAnsi="Times New Roman"/>
                <w:b w:val="0"/>
                <w:sz w:val="16"/>
              </w:rPr>
              <w:t>14 (73.7%)</w:t>
            </w:r>
          </w:p>
        </w:tc>
        <w:tc>
          <w:tcPr>
            <w:tcW w:w="2880" w:type="dxa"/>
            <w:tcMar>
              <w:top w:w="40" w:type="dxa"/>
              <w:left w:w="50" w:type="dxa"/>
              <w:bottom w:w="40" w:type="dxa"/>
              <w:right w:w="50" w:type="dxa"/>
            </w:tcMar>
            <w:vAlign w:val="center"/>
          </w:tcPr>
          <w:p w14:paraId="679290A4">
            <w:pPr>
              <w:spacing w:before="0" w:after="0"/>
              <w:jc w:val="center"/>
              <w:rPr>
                <w:rFonts w:ascii="Times New Roman" w:hAnsi="Times New Roman"/>
                <w:b w:val="0"/>
                <w:sz w:val="16"/>
              </w:rPr>
            </w:pPr>
            <w:r>
              <w:rPr>
                <w:rFonts w:ascii="Times New Roman" w:hAnsi="Times New Roman"/>
                <w:b w:val="0"/>
                <w:sz w:val="16"/>
              </w:rPr>
              <w:t>3 (15.8%)</w:t>
            </w:r>
          </w:p>
        </w:tc>
        <w:tc>
          <w:tcPr>
            <w:tcW w:w="2592" w:type="dxa"/>
            <w:tcMar>
              <w:top w:w="40" w:type="dxa"/>
              <w:left w:w="50" w:type="dxa"/>
              <w:bottom w:w="40" w:type="dxa"/>
              <w:right w:w="50" w:type="dxa"/>
            </w:tcMar>
            <w:vAlign w:val="center"/>
          </w:tcPr>
          <w:p w14:paraId="1691DCE0">
            <w:pPr>
              <w:spacing w:before="0" w:after="0"/>
              <w:jc w:val="center"/>
              <w:rPr>
                <w:rFonts w:ascii="Times New Roman" w:hAnsi="Times New Roman"/>
                <w:b w:val="0"/>
                <w:sz w:val="16"/>
              </w:rPr>
            </w:pPr>
            <w:r>
              <w:rPr>
                <w:rFonts w:ascii="Times New Roman" w:hAnsi="Times New Roman"/>
                <w:b w:val="0"/>
                <w:sz w:val="16"/>
              </w:rPr>
              <w:t>2 (10.5%)</w:t>
            </w:r>
          </w:p>
        </w:tc>
      </w:tr>
      <w:tr w14:paraId="07C7DBC5">
        <w:tblPrEx>
          <w:tblCellMar>
            <w:top w:w="0" w:type="dxa"/>
            <w:left w:w="108" w:type="dxa"/>
            <w:bottom w:w="0" w:type="dxa"/>
            <w:right w:w="108" w:type="dxa"/>
          </w:tblCellMar>
        </w:tblPrEx>
        <w:trPr>
          <w:cantSplit/>
          <w:jc w:val="center"/>
        </w:trPr>
        <w:tc>
          <w:tcPr>
            <w:tcW w:w="5184" w:type="dxa"/>
            <w:tcMar>
              <w:top w:w="40" w:type="dxa"/>
              <w:left w:w="50" w:type="dxa"/>
              <w:bottom w:w="40" w:type="dxa"/>
              <w:right w:w="50" w:type="dxa"/>
            </w:tcMar>
            <w:vAlign w:val="center"/>
          </w:tcPr>
          <w:p w14:paraId="61BC1409">
            <w:pPr>
              <w:spacing w:before="0" w:after="0"/>
              <w:jc w:val="left"/>
              <w:rPr>
                <w:rFonts w:ascii="Times New Roman" w:hAnsi="Times New Roman"/>
                <w:b w:val="0"/>
                <w:sz w:val="16"/>
              </w:rPr>
            </w:pPr>
            <w:r>
              <w:rPr>
                <w:rFonts w:ascii="Times New Roman" w:hAnsi="Times New Roman"/>
                <w:b w:val="0"/>
                <w:sz w:val="16"/>
              </w:rPr>
              <w:t>D4: Measurement of the outcome</w:t>
            </w:r>
          </w:p>
        </w:tc>
        <w:tc>
          <w:tcPr>
            <w:tcW w:w="2592" w:type="dxa"/>
            <w:tcMar>
              <w:top w:w="40" w:type="dxa"/>
              <w:left w:w="50" w:type="dxa"/>
              <w:bottom w:w="40" w:type="dxa"/>
              <w:right w:w="50" w:type="dxa"/>
            </w:tcMar>
            <w:vAlign w:val="center"/>
          </w:tcPr>
          <w:p w14:paraId="7911A26B">
            <w:pPr>
              <w:spacing w:before="0" w:after="0"/>
              <w:jc w:val="center"/>
              <w:rPr>
                <w:rFonts w:ascii="Times New Roman" w:hAnsi="Times New Roman"/>
                <w:b w:val="0"/>
                <w:sz w:val="16"/>
              </w:rPr>
            </w:pPr>
            <w:r>
              <w:rPr>
                <w:rFonts w:ascii="Times New Roman" w:hAnsi="Times New Roman"/>
                <w:b w:val="0"/>
                <w:sz w:val="16"/>
              </w:rPr>
              <w:t>1 (5.3%)</w:t>
            </w:r>
          </w:p>
        </w:tc>
        <w:tc>
          <w:tcPr>
            <w:tcW w:w="2880" w:type="dxa"/>
            <w:tcMar>
              <w:top w:w="40" w:type="dxa"/>
              <w:left w:w="50" w:type="dxa"/>
              <w:bottom w:w="40" w:type="dxa"/>
              <w:right w:w="50" w:type="dxa"/>
            </w:tcMar>
            <w:vAlign w:val="center"/>
          </w:tcPr>
          <w:p w14:paraId="4FE598A8">
            <w:pPr>
              <w:spacing w:before="0" w:after="0"/>
              <w:jc w:val="center"/>
              <w:rPr>
                <w:rFonts w:ascii="Times New Roman" w:hAnsi="Times New Roman"/>
                <w:b w:val="0"/>
                <w:sz w:val="16"/>
              </w:rPr>
            </w:pPr>
            <w:r>
              <w:rPr>
                <w:rFonts w:ascii="Times New Roman" w:hAnsi="Times New Roman"/>
                <w:b w:val="0"/>
                <w:sz w:val="16"/>
              </w:rPr>
              <w:t>18 (94.7%)</w:t>
            </w:r>
          </w:p>
        </w:tc>
        <w:tc>
          <w:tcPr>
            <w:tcW w:w="2592" w:type="dxa"/>
            <w:tcMar>
              <w:top w:w="40" w:type="dxa"/>
              <w:left w:w="50" w:type="dxa"/>
              <w:bottom w:w="40" w:type="dxa"/>
              <w:right w:w="50" w:type="dxa"/>
            </w:tcMar>
            <w:vAlign w:val="center"/>
          </w:tcPr>
          <w:p w14:paraId="48712E8F">
            <w:pPr>
              <w:spacing w:before="0" w:after="0"/>
              <w:jc w:val="center"/>
              <w:rPr>
                <w:rFonts w:ascii="Times New Roman" w:hAnsi="Times New Roman"/>
                <w:b w:val="0"/>
                <w:sz w:val="16"/>
              </w:rPr>
            </w:pPr>
            <w:r>
              <w:rPr>
                <w:rFonts w:ascii="Times New Roman" w:hAnsi="Times New Roman"/>
                <w:b w:val="0"/>
                <w:sz w:val="16"/>
              </w:rPr>
              <w:t>0 (0.0%)</w:t>
            </w:r>
          </w:p>
        </w:tc>
      </w:tr>
      <w:tr w14:paraId="309EABF6">
        <w:tblPrEx>
          <w:tblCellMar>
            <w:top w:w="0" w:type="dxa"/>
            <w:left w:w="108" w:type="dxa"/>
            <w:bottom w:w="0" w:type="dxa"/>
            <w:right w:w="108" w:type="dxa"/>
          </w:tblCellMar>
        </w:tblPrEx>
        <w:trPr>
          <w:cantSplit/>
          <w:jc w:val="center"/>
        </w:trPr>
        <w:tc>
          <w:tcPr>
            <w:tcW w:w="5184" w:type="dxa"/>
            <w:tcMar>
              <w:top w:w="40" w:type="dxa"/>
              <w:left w:w="50" w:type="dxa"/>
              <w:bottom w:w="40" w:type="dxa"/>
              <w:right w:w="50" w:type="dxa"/>
            </w:tcMar>
            <w:vAlign w:val="center"/>
          </w:tcPr>
          <w:p w14:paraId="35CDC456">
            <w:pPr>
              <w:spacing w:before="0" w:after="0"/>
              <w:jc w:val="left"/>
              <w:rPr>
                <w:rFonts w:ascii="Times New Roman" w:hAnsi="Times New Roman"/>
                <w:b w:val="0"/>
                <w:sz w:val="16"/>
              </w:rPr>
            </w:pPr>
            <w:r>
              <w:rPr>
                <w:rFonts w:ascii="Times New Roman" w:hAnsi="Times New Roman"/>
                <w:b w:val="0"/>
                <w:sz w:val="16"/>
              </w:rPr>
              <w:t>D5: Selection of the reported result</w:t>
            </w:r>
          </w:p>
        </w:tc>
        <w:tc>
          <w:tcPr>
            <w:tcW w:w="2592" w:type="dxa"/>
            <w:tcMar>
              <w:top w:w="40" w:type="dxa"/>
              <w:left w:w="50" w:type="dxa"/>
              <w:bottom w:w="40" w:type="dxa"/>
              <w:right w:w="50" w:type="dxa"/>
            </w:tcMar>
            <w:vAlign w:val="center"/>
          </w:tcPr>
          <w:p w14:paraId="6D280915">
            <w:pPr>
              <w:spacing w:before="0" w:after="0"/>
              <w:jc w:val="center"/>
              <w:rPr>
                <w:rFonts w:ascii="Times New Roman" w:hAnsi="Times New Roman"/>
                <w:b w:val="0"/>
                <w:sz w:val="16"/>
              </w:rPr>
            </w:pPr>
            <w:r>
              <w:rPr>
                <w:rFonts w:ascii="Times New Roman" w:hAnsi="Times New Roman"/>
                <w:b w:val="0"/>
                <w:sz w:val="16"/>
              </w:rPr>
              <w:t>2 (10.5%)</w:t>
            </w:r>
          </w:p>
        </w:tc>
        <w:tc>
          <w:tcPr>
            <w:tcW w:w="2880" w:type="dxa"/>
            <w:tcMar>
              <w:top w:w="40" w:type="dxa"/>
              <w:left w:w="50" w:type="dxa"/>
              <w:bottom w:w="40" w:type="dxa"/>
              <w:right w:w="50" w:type="dxa"/>
            </w:tcMar>
            <w:vAlign w:val="center"/>
          </w:tcPr>
          <w:p w14:paraId="70903E9D">
            <w:pPr>
              <w:spacing w:before="0" w:after="0"/>
              <w:jc w:val="center"/>
              <w:rPr>
                <w:rFonts w:ascii="Times New Roman" w:hAnsi="Times New Roman"/>
                <w:b w:val="0"/>
                <w:sz w:val="16"/>
              </w:rPr>
            </w:pPr>
            <w:r>
              <w:rPr>
                <w:rFonts w:ascii="Times New Roman" w:hAnsi="Times New Roman"/>
                <w:b w:val="0"/>
                <w:sz w:val="16"/>
              </w:rPr>
              <w:t>16 (84.2%)</w:t>
            </w:r>
          </w:p>
        </w:tc>
        <w:tc>
          <w:tcPr>
            <w:tcW w:w="2592" w:type="dxa"/>
            <w:tcMar>
              <w:top w:w="40" w:type="dxa"/>
              <w:left w:w="50" w:type="dxa"/>
              <w:bottom w:w="40" w:type="dxa"/>
              <w:right w:w="50" w:type="dxa"/>
            </w:tcMar>
            <w:vAlign w:val="center"/>
          </w:tcPr>
          <w:p w14:paraId="1ABB758A">
            <w:pPr>
              <w:spacing w:before="0" w:after="0"/>
              <w:jc w:val="center"/>
              <w:rPr>
                <w:rFonts w:ascii="Times New Roman" w:hAnsi="Times New Roman"/>
                <w:b w:val="0"/>
                <w:sz w:val="16"/>
              </w:rPr>
            </w:pPr>
            <w:r>
              <w:rPr>
                <w:rFonts w:ascii="Times New Roman" w:hAnsi="Times New Roman"/>
                <w:b w:val="0"/>
                <w:sz w:val="16"/>
              </w:rPr>
              <w:t>1 (5.3%)</w:t>
            </w:r>
          </w:p>
        </w:tc>
      </w:tr>
      <w:tr w14:paraId="2C17BBAD">
        <w:tblPrEx>
          <w:tblCellMar>
            <w:top w:w="0" w:type="dxa"/>
            <w:left w:w="108" w:type="dxa"/>
            <w:bottom w:w="0" w:type="dxa"/>
            <w:right w:w="108" w:type="dxa"/>
          </w:tblCellMar>
        </w:tblPrEx>
        <w:trPr>
          <w:cantSplit/>
          <w:jc w:val="center"/>
        </w:trPr>
        <w:tc>
          <w:tcPr>
            <w:tcW w:w="5184" w:type="dxa"/>
            <w:tcBorders>
              <w:bottom w:val="single" w:color="auto" w:sz="8" w:space="0"/>
            </w:tcBorders>
            <w:tcMar>
              <w:top w:w="40" w:type="dxa"/>
              <w:left w:w="50" w:type="dxa"/>
              <w:bottom w:w="40" w:type="dxa"/>
              <w:right w:w="50" w:type="dxa"/>
            </w:tcMar>
            <w:vAlign w:val="center"/>
          </w:tcPr>
          <w:p w14:paraId="0FC8FA41">
            <w:pPr>
              <w:spacing w:before="0" w:after="0"/>
              <w:jc w:val="left"/>
              <w:rPr>
                <w:rFonts w:ascii="Times New Roman" w:hAnsi="Times New Roman"/>
                <w:b w:val="0"/>
                <w:sz w:val="16"/>
              </w:rPr>
            </w:pPr>
            <w:r>
              <w:rPr>
                <w:rFonts w:ascii="Times New Roman" w:hAnsi="Times New Roman"/>
                <w:b w:val="0"/>
                <w:sz w:val="16"/>
              </w:rPr>
              <w:t>Overall judgment</w:t>
            </w:r>
          </w:p>
        </w:tc>
        <w:tc>
          <w:tcPr>
            <w:tcW w:w="2592" w:type="dxa"/>
            <w:tcBorders>
              <w:bottom w:val="single" w:color="auto" w:sz="8" w:space="0"/>
            </w:tcBorders>
            <w:tcMar>
              <w:top w:w="40" w:type="dxa"/>
              <w:left w:w="50" w:type="dxa"/>
              <w:bottom w:w="40" w:type="dxa"/>
              <w:right w:w="50" w:type="dxa"/>
            </w:tcMar>
            <w:vAlign w:val="center"/>
          </w:tcPr>
          <w:p w14:paraId="792912FD">
            <w:pPr>
              <w:spacing w:before="0" w:after="0"/>
              <w:jc w:val="center"/>
              <w:rPr>
                <w:rFonts w:ascii="Times New Roman" w:hAnsi="Times New Roman"/>
                <w:b w:val="0"/>
                <w:sz w:val="16"/>
              </w:rPr>
            </w:pPr>
            <w:r>
              <w:rPr>
                <w:rFonts w:ascii="Times New Roman" w:hAnsi="Times New Roman"/>
                <w:b w:val="0"/>
                <w:sz w:val="16"/>
              </w:rPr>
              <w:t>1 (5.3%)</w:t>
            </w:r>
          </w:p>
        </w:tc>
        <w:tc>
          <w:tcPr>
            <w:tcW w:w="2880" w:type="dxa"/>
            <w:tcBorders>
              <w:bottom w:val="single" w:color="auto" w:sz="8" w:space="0"/>
            </w:tcBorders>
            <w:tcMar>
              <w:top w:w="40" w:type="dxa"/>
              <w:left w:w="50" w:type="dxa"/>
              <w:bottom w:w="40" w:type="dxa"/>
              <w:right w:w="50" w:type="dxa"/>
            </w:tcMar>
            <w:vAlign w:val="center"/>
          </w:tcPr>
          <w:p w14:paraId="7287049E">
            <w:pPr>
              <w:spacing w:before="0" w:after="0"/>
              <w:jc w:val="center"/>
              <w:rPr>
                <w:rFonts w:ascii="Times New Roman" w:hAnsi="Times New Roman"/>
                <w:b w:val="0"/>
                <w:sz w:val="16"/>
              </w:rPr>
            </w:pPr>
            <w:r>
              <w:rPr>
                <w:rFonts w:ascii="Times New Roman" w:hAnsi="Times New Roman"/>
                <w:b w:val="0"/>
                <w:sz w:val="16"/>
              </w:rPr>
              <w:t>12 (63.2%)</w:t>
            </w:r>
          </w:p>
        </w:tc>
        <w:tc>
          <w:tcPr>
            <w:tcW w:w="2592" w:type="dxa"/>
            <w:tcBorders>
              <w:bottom w:val="single" w:color="auto" w:sz="8" w:space="0"/>
            </w:tcBorders>
            <w:tcMar>
              <w:top w:w="40" w:type="dxa"/>
              <w:left w:w="50" w:type="dxa"/>
              <w:bottom w:w="40" w:type="dxa"/>
              <w:right w:w="50" w:type="dxa"/>
            </w:tcMar>
            <w:vAlign w:val="center"/>
          </w:tcPr>
          <w:p w14:paraId="3C10A277">
            <w:pPr>
              <w:spacing w:before="0" w:after="0"/>
              <w:jc w:val="center"/>
              <w:rPr>
                <w:rFonts w:ascii="Times New Roman" w:hAnsi="Times New Roman"/>
                <w:b w:val="0"/>
                <w:sz w:val="16"/>
              </w:rPr>
            </w:pPr>
            <w:r>
              <w:rPr>
                <w:rFonts w:ascii="Times New Roman" w:hAnsi="Times New Roman"/>
                <w:b w:val="0"/>
                <w:sz w:val="16"/>
              </w:rPr>
              <w:t>6 (31.6%)</w:t>
            </w:r>
          </w:p>
        </w:tc>
      </w:tr>
    </w:tbl>
    <w:p w14:paraId="7914408A">
      <w:pPr>
        <w:spacing w:after="60"/>
      </w:pPr>
    </w:p>
    <w:p w14:paraId="5F627C3B">
      <w:pPr>
        <w:keepNext/>
        <w:spacing w:after="40"/>
      </w:pPr>
      <w:r>
        <w:rPr>
          <w:rFonts w:ascii="Times New Roman" w:hAnsi="Times New Roman"/>
          <w:b/>
          <w:sz w:val="19"/>
        </w:rPr>
        <w:t>S2C. Broader dichotomous self-harm outcomes (2 outcome assessments)</w:t>
      </w:r>
    </w:p>
    <w:tbl>
      <w:tblPr>
        <w:tblStyle w:val="32"/>
        <w:tblW w:w="0" w:type="auto"/>
        <w:jc w:val="center"/>
        <w:tblLayout w:type="fixed"/>
        <w:tblCellMar>
          <w:top w:w="0" w:type="dxa"/>
          <w:left w:w="108" w:type="dxa"/>
          <w:bottom w:w="0" w:type="dxa"/>
          <w:right w:w="108" w:type="dxa"/>
        </w:tblCellMar>
      </w:tblPr>
      <w:tblGrid>
        <w:gridCol w:w="3636"/>
        <w:gridCol w:w="3636"/>
        <w:gridCol w:w="3636"/>
        <w:gridCol w:w="3636"/>
      </w:tblGrid>
      <w:tr w14:paraId="6407C7DD">
        <w:tblPrEx>
          <w:tblCellMar>
            <w:top w:w="0" w:type="dxa"/>
            <w:left w:w="108" w:type="dxa"/>
            <w:bottom w:w="0" w:type="dxa"/>
            <w:right w:w="108" w:type="dxa"/>
          </w:tblCellMar>
        </w:tblPrEx>
        <w:trPr>
          <w:cantSplit/>
          <w:tblHeader/>
          <w:jc w:val="center"/>
        </w:trPr>
        <w:tc>
          <w:tcPr>
            <w:tcW w:w="5184" w:type="dxa"/>
            <w:tcBorders>
              <w:top w:val="single" w:color="auto" w:sz="8" w:space="0"/>
              <w:left w:val="nil"/>
              <w:bottom w:val="single" w:color="auto" w:sz="6" w:space="0"/>
              <w:right w:val="nil"/>
            </w:tcBorders>
            <w:shd w:val="clear" w:color="auto" w:fill="D9E2F3"/>
            <w:tcMar>
              <w:top w:w="40" w:type="dxa"/>
              <w:left w:w="50" w:type="dxa"/>
              <w:bottom w:w="40" w:type="dxa"/>
              <w:right w:w="50" w:type="dxa"/>
            </w:tcMar>
            <w:vAlign w:val="center"/>
          </w:tcPr>
          <w:p w14:paraId="5583BD7C">
            <w:pPr>
              <w:spacing w:before="0" w:after="0"/>
              <w:jc w:val="center"/>
            </w:pPr>
            <w:r>
              <w:rPr>
                <w:rFonts w:ascii="Times New Roman" w:hAnsi="Times New Roman"/>
                <w:b/>
                <w:sz w:val="16"/>
              </w:rPr>
              <w:t>Domain</w:t>
            </w:r>
          </w:p>
        </w:tc>
        <w:tc>
          <w:tcPr>
            <w:tcW w:w="2592" w:type="dxa"/>
            <w:tcBorders>
              <w:top w:val="single" w:color="auto" w:sz="8" w:space="0"/>
              <w:left w:val="nil"/>
              <w:bottom w:val="single" w:color="auto" w:sz="6" w:space="0"/>
              <w:right w:val="nil"/>
            </w:tcBorders>
            <w:shd w:val="clear" w:color="auto" w:fill="D9E2F3"/>
            <w:tcMar>
              <w:top w:w="40" w:type="dxa"/>
              <w:left w:w="50" w:type="dxa"/>
              <w:bottom w:w="40" w:type="dxa"/>
              <w:right w:w="50" w:type="dxa"/>
            </w:tcMar>
            <w:vAlign w:val="center"/>
          </w:tcPr>
          <w:p w14:paraId="457AD185">
            <w:pPr>
              <w:spacing w:before="0" w:after="0"/>
              <w:jc w:val="center"/>
            </w:pPr>
            <w:r>
              <w:rPr>
                <w:rFonts w:ascii="Times New Roman" w:hAnsi="Times New Roman"/>
                <w:b/>
                <w:sz w:val="16"/>
              </w:rPr>
              <w:t>Low risk, n (%)</w:t>
            </w:r>
          </w:p>
        </w:tc>
        <w:tc>
          <w:tcPr>
            <w:tcW w:w="2880" w:type="dxa"/>
            <w:tcBorders>
              <w:top w:val="single" w:color="auto" w:sz="8" w:space="0"/>
              <w:left w:val="nil"/>
              <w:bottom w:val="single" w:color="auto" w:sz="6" w:space="0"/>
              <w:right w:val="nil"/>
            </w:tcBorders>
            <w:shd w:val="clear" w:color="auto" w:fill="D9E2F3"/>
            <w:tcMar>
              <w:top w:w="40" w:type="dxa"/>
              <w:left w:w="50" w:type="dxa"/>
              <w:bottom w:w="40" w:type="dxa"/>
              <w:right w:w="50" w:type="dxa"/>
            </w:tcMar>
            <w:vAlign w:val="center"/>
          </w:tcPr>
          <w:p w14:paraId="5390EC44">
            <w:pPr>
              <w:spacing w:before="0" w:after="0"/>
              <w:jc w:val="center"/>
            </w:pPr>
            <w:r>
              <w:rPr>
                <w:rFonts w:ascii="Times New Roman" w:hAnsi="Times New Roman"/>
                <w:b/>
                <w:sz w:val="16"/>
              </w:rPr>
              <w:t>Some concerns, n (%)</w:t>
            </w:r>
          </w:p>
        </w:tc>
        <w:tc>
          <w:tcPr>
            <w:tcW w:w="2592" w:type="dxa"/>
            <w:tcBorders>
              <w:top w:val="single" w:color="auto" w:sz="8" w:space="0"/>
              <w:left w:val="nil"/>
              <w:bottom w:val="single" w:color="auto" w:sz="6" w:space="0"/>
              <w:right w:val="nil"/>
            </w:tcBorders>
            <w:shd w:val="clear" w:color="auto" w:fill="D9E2F3"/>
            <w:tcMar>
              <w:top w:w="40" w:type="dxa"/>
              <w:left w:w="50" w:type="dxa"/>
              <w:bottom w:w="40" w:type="dxa"/>
              <w:right w:w="50" w:type="dxa"/>
            </w:tcMar>
            <w:vAlign w:val="center"/>
          </w:tcPr>
          <w:p w14:paraId="465390AC">
            <w:pPr>
              <w:spacing w:before="0" w:after="0"/>
              <w:jc w:val="center"/>
            </w:pPr>
            <w:r>
              <w:rPr>
                <w:rFonts w:ascii="Times New Roman" w:hAnsi="Times New Roman"/>
                <w:b/>
                <w:sz w:val="16"/>
              </w:rPr>
              <w:t>High risk, n (%)</w:t>
            </w:r>
          </w:p>
        </w:tc>
      </w:tr>
      <w:tr w14:paraId="5DA121AB">
        <w:tblPrEx>
          <w:tblCellMar>
            <w:top w:w="0" w:type="dxa"/>
            <w:left w:w="108" w:type="dxa"/>
            <w:bottom w:w="0" w:type="dxa"/>
            <w:right w:w="108" w:type="dxa"/>
          </w:tblCellMar>
        </w:tblPrEx>
        <w:trPr>
          <w:cantSplit/>
          <w:jc w:val="center"/>
        </w:trPr>
        <w:tc>
          <w:tcPr>
            <w:tcW w:w="5184" w:type="dxa"/>
            <w:tcBorders>
              <w:top w:val="single" w:color="auto" w:sz="6" w:space="0"/>
              <w:left w:val="nil"/>
              <w:bottom w:val="nil"/>
              <w:right w:val="nil"/>
            </w:tcBorders>
            <w:tcMar>
              <w:top w:w="40" w:type="dxa"/>
              <w:left w:w="50" w:type="dxa"/>
              <w:bottom w:w="40" w:type="dxa"/>
              <w:right w:w="50" w:type="dxa"/>
            </w:tcMar>
            <w:vAlign w:val="center"/>
          </w:tcPr>
          <w:p w14:paraId="7177D035">
            <w:pPr>
              <w:spacing w:before="0" w:after="0"/>
              <w:jc w:val="left"/>
            </w:pPr>
            <w:r>
              <w:rPr>
                <w:rFonts w:ascii="Times New Roman" w:hAnsi="Times New Roman"/>
                <w:b w:val="0"/>
                <w:sz w:val="16"/>
              </w:rPr>
              <w:t>D1: Randomization process</w:t>
            </w:r>
          </w:p>
        </w:tc>
        <w:tc>
          <w:tcPr>
            <w:tcW w:w="2592" w:type="dxa"/>
            <w:tcBorders>
              <w:top w:val="single" w:color="auto" w:sz="6" w:space="0"/>
              <w:left w:val="nil"/>
              <w:bottom w:val="nil"/>
              <w:right w:val="nil"/>
            </w:tcBorders>
            <w:tcMar>
              <w:top w:w="40" w:type="dxa"/>
              <w:left w:w="50" w:type="dxa"/>
              <w:bottom w:w="40" w:type="dxa"/>
              <w:right w:w="50" w:type="dxa"/>
            </w:tcMar>
            <w:vAlign w:val="center"/>
          </w:tcPr>
          <w:p w14:paraId="67530563">
            <w:pPr>
              <w:spacing w:before="0" w:after="0"/>
              <w:jc w:val="center"/>
            </w:pPr>
            <w:r>
              <w:rPr>
                <w:rFonts w:ascii="Times New Roman" w:hAnsi="Times New Roman"/>
                <w:b w:val="0"/>
                <w:sz w:val="16"/>
              </w:rPr>
              <w:t>0 (0.0%)</w:t>
            </w:r>
          </w:p>
        </w:tc>
        <w:tc>
          <w:tcPr>
            <w:tcW w:w="2880" w:type="dxa"/>
            <w:tcBorders>
              <w:top w:val="single" w:color="auto" w:sz="6" w:space="0"/>
              <w:left w:val="nil"/>
              <w:bottom w:val="nil"/>
              <w:right w:val="nil"/>
            </w:tcBorders>
            <w:tcMar>
              <w:top w:w="40" w:type="dxa"/>
              <w:left w:w="50" w:type="dxa"/>
              <w:bottom w:w="40" w:type="dxa"/>
              <w:right w:w="50" w:type="dxa"/>
            </w:tcMar>
            <w:vAlign w:val="center"/>
          </w:tcPr>
          <w:p w14:paraId="591FFE3C">
            <w:pPr>
              <w:spacing w:before="0" w:after="0"/>
              <w:jc w:val="center"/>
            </w:pPr>
            <w:r>
              <w:rPr>
                <w:rFonts w:ascii="Times New Roman" w:hAnsi="Times New Roman"/>
                <w:b w:val="0"/>
                <w:sz w:val="16"/>
              </w:rPr>
              <w:t>2 (100.0%)</w:t>
            </w:r>
          </w:p>
        </w:tc>
        <w:tc>
          <w:tcPr>
            <w:tcW w:w="2592" w:type="dxa"/>
            <w:tcBorders>
              <w:top w:val="single" w:color="auto" w:sz="6" w:space="0"/>
              <w:left w:val="nil"/>
              <w:bottom w:val="nil"/>
              <w:right w:val="nil"/>
            </w:tcBorders>
            <w:tcMar>
              <w:top w:w="40" w:type="dxa"/>
              <w:left w:w="50" w:type="dxa"/>
              <w:bottom w:w="40" w:type="dxa"/>
              <w:right w:w="50" w:type="dxa"/>
            </w:tcMar>
            <w:vAlign w:val="center"/>
          </w:tcPr>
          <w:p w14:paraId="41805FF2">
            <w:pPr>
              <w:spacing w:before="0" w:after="0"/>
              <w:jc w:val="center"/>
            </w:pPr>
            <w:r>
              <w:rPr>
                <w:rFonts w:ascii="Times New Roman" w:hAnsi="Times New Roman"/>
                <w:b w:val="0"/>
                <w:sz w:val="16"/>
              </w:rPr>
              <w:t>0 (0.0%)</w:t>
            </w:r>
          </w:p>
        </w:tc>
      </w:tr>
      <w:tr w14:paraId="0CFC386D">
        <w:tblPrEx>
          <w:tblCellMar>
            <w:top w:w="0" w:type="dxa"/>
            <w:left w:w="108" w:type="dxa"/>
            <w:bottom w:w="0" w:type="dxa"/>
            <w:right w:w="108" w:type="dxa"/>
          </w:tblCellMar>
        </w:tblPrEx>
        <w:trPr>
          <w:cantSplit/>
          <w:jc w:val="center"/>
        </w:trPr>
        <w:tc>
          <w:tcPr>
            <w:tcW w:w="5184" w:type="dxa"/>
            <w:tcBorders>
              <w:top w:val="nil"/>
              <w:left w:val="nil"/>
              <w:bottom w:val="nil"/>
              <w:right w:val="nil"/>
            </w:tcBorders>
            <w:tcMar>
              <w:top w:w="40" w:type="dxa"/>
              <w:left w:w="50" w:type="dxa"/>
              <w:bottom w:w="40" w:type="dxa"/>
              <w:right w:w="50" w:type="dxa"/>
            </w:tcMar>
            <w:vAlign w:val="center"/>
          </w:tcPr>
          <w:p w14:paraId="0D1F6A63">
            <w:pPr>
              <w:spacing w:before="0" w:after="0"/>
              <w:jc w:val="left"/>
            </w:pPr>
            <w:r>
              <w:rPr>
                <w:rFonts w:ascii="Times New Roman" w:hAnsi="Times New Roman"/>
                <w:b w:val="0"/>
                <w:sz w:val="16"/>
              </w:rPr>
              <w:t>D2: Deviations from intended interventions</w:t>
            </w:r>
          </w:p>
        </w:tc>
        <w:tc>
          <w:tcPr>
            <w:tcW w:w="2592" w:type="dxa"/>
            <w:tcBorders>
              <w:top w:val="nil"/>
              <w:left w:val="nil"/>
              <w:bottom w:val="nil"/>
              <w:right w:val="nil"/>
            </w:tcBorders>
            <w:tcMar>
              <w:top w:w="40" w:type="dxa"/>
              <w:left w:w="50" w:type="dxa"/>
              <w:bottom w:w="40" w:type="dxa"/>
              <w:right w:w="50" w:type="dxa"/>
            </w:tcMar>
            <w:vAlign w:val="center"/>
          </w:tcPr>
          <w:p w14:paraId="6091E190">
            <w:pPr>
              <w:spacing w:before="0" w:after="0"/>
              <w:jc w:val="center"/>
            </w:pPr>
            <w:r>
              <w:rPr>
                <w:rFonts w:ascii="Times New Roman" w:hAnsi="Times New Roman"/>
                <w:b w:val="0"/>
                <w:sz w:val="16"/>
              </w:rPr>
              <w:t>2 (100.0%)</w:t>
            </w:r>
          </w:p>
        </w:tc>
        <w:tc>
          <w:tcPr>
            <w:tcW w:w="2880" w:type="dxa"/>
            <w:tcBorders>
              <w:top w:val="nil"/>
              <w:left w:val="nil"/>
              <w:bottom w:val="nil"/>
              <w:right w:val="nil"/>
            </w:tcBorders>
            <w:tcMar>
              <w:top w:w="40" w:type="dxa"/>
              <w:left w:w="50" w:type="dxa"/>
              <w:bottom w:w="40" w:type="dxa"/>
              <w:right w:w="50" w:type="dxa"/>
            </w:tcMar>
            <w:vAlign w:val="center"/>
          </w:tcPr>
          <w:p w14:paraId="1A70CD35">
            <w:pPr>
              <w:spacing w:before="0" w:after="0"/>
              <w:jc w:val="center"/>
            </w:pPr>
            <w:r>
              <w:rPr>
                <w:rFonts w:ascii="Times New Roman" w:hAnsi="Times New Roman"/>
                <w:b w:val="0"/>
                <w:sz w:val="16"/>
              </w:rPr>
              <w:t>0 (0.0%)</w:t>
            </w:r>
          </w:p>
        </w:tc>
        <w:tc>
          <w:tcPr>
            <w:tcW w:w="2592" w:type="dxa"/>
            <w:tcBorders>
              <w:top w:val="nil"/>
              <w:left w:val="nil"/>
              <w:bottom w:val="nil"/>
              <w:right w:val="nil"/>
            </w:tcBorders>
            <w:tcMar>
              <w:top w:w="40" w:type="dxa"/>
              <w:left w:w="50" w:type="dxa"/>
              <w:bottom w:w="40" w:type="dxa"/>
              <w:right w:w="50" w:type="dxa"/>
            </w:tcMar>
            <w:vAlign w:val="center"/>
          </w:tcPr>
          <w:p w14:paraId="688EFDE3">
            <w:pPr>
              <w:spacing w:before="0" w:after="0"/>
              <w:jc w:val="center"/>
            </w:pPr>
            <w:r>
              <w:rPr>
                <w:rFonts w:ascii="Times New Roman" w:hAnsi="Times New Roman"/>
                <w:b w:val="0"/>
                <w:sz w:val="16"/>
              </w:rPr>
              <w:t>0 (0.0%)</w:t>
            </w:r>
          </w:p>
        </w:tc>
      </w:tr>
      <w:tr w14:paraId="69F7CBF7">
        <w:tblPrEx>
          <w:tblCellMar>
            <w:top w:w="0" w:type="dxa"/>
            <w:left w:w="108" w:type="dxa"/>
            <w:bottom w:w="0" w:type="dxa"/>
            <w:right w:w="108" w:type="dxa"/>
          </w:tblCellMar>
        </w:tblPrEx>
        <w:trPr>
          <w:cantSplit/>
          <w:jc w:val="center"/>
        </w:trPr>
        <w:tc>
          <w:tcPr>
            <w:tcW w:w="5184" w:type="dxa"/>
            <w:tcBorders>
              <w:top w:val="nil"/>
              <w:left w:val="nil"/>
              <w:bottom w:val="nil"/>
              <w:right w:val="nil"/>
            </w:tcBorders>
            <w:tcMar>
              <w:top w:w="40" w:type="dxa"/>
              <w:left w:w="50" w:type="dxa"/>
              <w:bottom w:w="40" w:type="dxa"/>
              <w:right w:w="50" w:type="dxa"/>
            </w:tcMar>
            <w:vAlign w:val="center"/>
          </w:tcPr>
          <w:p w14:paraId="46AAF35B">
            <w:pPr>
              <w:spacing w:before="0" w:after="0"/>
              <w:jc w:val="left"/>
            </w:pPr>
            <w:r>
              <w:rPr>
                <w:rFonts w:ascii="Times New Roman" w:hAnsi="Times New Roman"/>
                <w:b w:val="0"/>
                <w:sz w:val="16"/>
              </w:rPr>
              <w:t>D3: Missing outcome data</w:t>
            </w:r>
          </w:p>
        </w:tc>
        <w:tc>
          <w:tcPr>
            <w:tcW w:w="2592" w:type="dxa"/>
            <w:tcBorders>
              <w:top w:val="nil"/>
              <w:left w:val="nil"/>
              <w:bottom w:val="nil"/>
              <w:right w:val="nil"/>
            </w:tcBorders>
            <w:tcMar>
              <w:top w:w="40" w:type="dxa"/>
              <w:left w:w="50" w:type="dxa"/>
              <w:bottom w:w="40" w:type="dxa"/>
              <w:right w:w="50" w:type="dxa"/>
            </w:tcMar>
            <w:vAlign w:val="center"/>
          </w:tcPr>
          <w:p w14:paraId="0009DC55">
            <w:pPr>
              <w:spacing w:before="0" w:after="0"/>
              <w:jc w:val="center"/>
            </w:pPr>
            <w:r>
              <w:rPr>
                <w:rFonts w:ascii="Times New Roman" w:hAnsi="Times New Roman"/>
                <w:b w:val="0"/>
                <w:sz w:val="16"/>
              </w:rPr>
              <w:t>2 (100.0%)</w:t>
            </w:r>
          </w:p>
        </w:tc>
        <w:tc>
          <w:tcPr>
            <w:tcW w:w="2880" w:type="dxa"/>
            <w:tcBorders>
              <w:top w:val="nil"/>
              <w:left w:val="nil"/>
              <w:bottom w:val="nil"/>
              <w:right w:val="nil"/>
            </w:tcBorders>
            <w:tcMar>
              <w:top w:w="40" w:type="dxa"/>
              <w:left w:w="50" w:type="dxa"/>
              <w:bottom w:w="40" w:type="dxa"/>
              <w:right w:w="50" w:type="dxa"/>
            </w:tcMar>
            <w:vAlign w:val="center"/>
          </w:tcPr>
          <w:p w14:paraId="551445E9">
            <w:pPr>
              <w:spacing w:before="0" w:after="0"/>
              <w:jc w:val="center"/>
            </w:pPr>
            <w:r>
              <w:rPr>
                <w:rFonts w:ascii="Times New Roman" w:hAnsi="Times New Roman"/>
                <w:b w:val="0"/>
                <w:sz w:val="16"/>
              </w:rPr>
              <w:t>0 (0.0%)</w:t>
            </w:r>
          </w:p>
        </w:tc>
        <w:tc>
          <w:tcPr>
            <w:tcW w:w="2592" w:type="dxa"/>
            <w:tcBorders>
              <w:top w:val="nil"/>
              <w:left w:val="nil"/>
              <w:bottom w:val="nil"/>
              <w:right w:val="nil"/>
            </w:tcBorders>
            <w:tcMar>
              <w:top w:w="40" w:type="dxa"/>
              <w:left w:w="50" w:type="dxa"/>
              <w:bottom w:w="40" w:type="dxa"/>
              <w:right w:w="50" w:type="dxa"/>
            </w:tcMar>
            <w:vAlign w:val="center"/>
          </w:tcPr>
          <w:p w14:paraId="3F1FA1A6">
            <w:pPr>
              <w:spacing w:before="0" w:after="0"/>
              <w:jc w:val="center"/>
            </w:pPr>
            <w:r>
              <w:rPr>
                <w:rFonts w:ascii="Times New Roman" w:hAnsi="Times New Roman"/>
                <w:b w:val="0"/>
                <w:sz w:val="16"/>
              </w:rPr>
              <w:t>0 (0.0%)</w:t>
            </w:r>
          </w:p>
        </w:tc>
      </w:tr>
      <w:tr w14:paraId="737A6F1C">
        <w:tblPrEx>
          <w:tblCellMar>
            <w:top w:w="0" w:type="dxa"/>
            <w:left w:w="108" w:type="dxa"/>
            <w:bottom w:w="0" w:type="dxa"/>
            <w:right w:w="108" w:type="dxa"/>
          </w:tblCellMar>
        </w:tblPrEx>
        <w:trPr>
          <w:cantSplit/>
          <w:jc w:val="center"/>
        </w:trPr>
        <w:tc>
          <w:tcPr>
            <w:tcW w:w="5184" w:type="dxa"/>
            <w:tcBorders>
              <w:top w:val="nil"/>
              <w:left w:val="nil"/>
              <w:bottom w:val="nil"/>
              <w:right w:val="nil"/>
            </w:tcBorders>
            <w:tcMar>
              <w:top w:w="40" w:type="dxa"/>
              <w:left w:w="50" w:type="dxa"/>
              <w:bottom w:w="40" w:type="dxa"/>
              <w:right w:w="50" w:type="dxa"/>
            </w:tcMar>
            <w:vAlign w:val="center"/>
          </w:tcPr>
          <w:p w14:paraId="2CCAD169">
            <w:pPr>
              <w:spacing w:before="0" w:after="0"/>
              <w:jc w:val="left"/>
            </w:pPr>
            <w:r>
              <w:rPr>
                <w:rFonts w:ascii="Times New Roman" w:hAnsi="Times New Roman"/>
                <w:b w:val="0"/>
                <w:sz w:val="16"/>
              </w:rPr>
              <w:t>D4: Measurement of the outcome</w:t>
            </w:r>
          </w:p>
        </w:tc>
        <w:tc>
          <w:tcPr>
            <w:tcW w:w="2592" w:type="dxa"/>
            <w:tcBorders>
              <w:top w:val="nil"/>
              <w:left w:val="nil"/>
              <w:bottom w:val="nil"/>
              <w:right w:val="nil"/>
            </w:tcBorders>
            <w:tcMar>
              <w:top w:w="40" w:type="dxa"/>
              <w:left w:w="50" w:type="dxa"/>
              <w:bottom w:w="40" w:type="dxa"/>
              <w:right w:w="50" w:type="dxa"/>
            </w:tcMar>
            <w:vAlign w:val="center"/>
          </w:tcPr>
          <w:p w14:paraId="697A74B0">
            <w:pPr>
              <w:spacing w:before="0" w:after="0"/>
              <w:jc w:val="center"/>
            </w:pPr>
            <w:r>
              <w:rPr>
                <w:rFonts w:ascii="Times New Roman" w:hAnsi="Times New Roman"/>
                <w:b w:val="0"/>
                <w:sz w:val="16"/>
              </w:rPr>
              <w:t>2 (100.0%)</w:t>
            </w:r>
          </w:p>
        </w:tc>
        <w:tc>
          <w:tcPr>
            <w:tcW w:w="2880" w:type="dxa"/>
            <w:tcBorders>
              <w:top w:val="nil"/>
              <w:left w:val="nil"/>
              <w:bottom w:val="nil"/>
              <w:right w:val="nil"/>
            </w:tcBorders>
            <w:tcMar>
              <w:top w:w="40" w:type="dxa"/>
              <w:left w:w="50" w:type="dxa"/>
              <w:bottom w:w="40" w:type="dxa"/>
              <w:right w:w="50" w:type="dxa"/>
            </w:tcMar>
            <w:vAlign w:val="center"/>
          </w:tcPr>
          <w:p w14:paraId="5AB232E2">
            <w:pPr>
              <w:spacing w:before="0" w:after="0"/>
              <w:jc w:val="center"/>
            </w:pPr>
            <w:r>
              <w:rPr>
                <w:rFonts w:ascii="Times New Roman" w:hAnsi="Times New Roman"/>
                <w:b w:val="0"/>
                <w:sz w:val="16"/>
              </w:rPr>
              <w:t>0 (0.0%)</w:t>
            </w:r>
          </w:p>
        </w:tc>
        <w:tc>
          <w:tcPr>
            <w:tcW w:w="2592" w:type="dxa"/>
            <w:tcBorders>
              <w:top w:val="nil"/>
              <w:left w:val="nil"/>
              <w:bottom w:val="nil"/>
              <w:right w:val="nil"/>
            </w:tcBorders>
            <w:tcMar>
              <w:top w:w="40" w:type="dxa"/>
              <w:left w:w="50" w:type="dxa"/>
              <w:bottom w:w="40" w:type="dxa"/>
              <w:right w:w="50" w:type="dxa"/>
            </w:tcMar>
            <w:vAlign w:val="center"/>
          </w:tcPr>
          <w:p w14:paraId="39F536ED">
            <w:pPr>
              <w:spacing w:before="0" w:after="0"/>
              <w:jc w:val="center"/>
            </w:pPr>
            <w:r>
              <w:rPr>
                <w:rFonts w:ascii="Times New Roman" w:hAnsi="Times New Roman"/>
                <w:b w:val="0"/>
                <w:sz w:val="16"/>
              </w:rPr>
              <w:t>0 (0.0%)</w:t>
            </w:r>
          </w:p>
        </w:tc>
      </w:tr>
      <w:tr w14:paraId="172E07B9">
        <w:tblPrEx>
          <w:tblCellMar>
            <w:top w:w="0" w:type="dxa"/>
            <w:left w:w="108" w:type="dxa"/>
            <w:bottom w:w="0" w:type="dxa"/>
            <w:right w:w="108" w:type="dxa"/>
          </w:tblCellMar>
        </w:tblPrEx>
        <w:trPr>
          <w:cantSplit/>
          <w:jc w:val="center"/>
        </w:trPr>
        <w:tc>
          <w:tcPr>
            <w:tcW w:w="5184" w:type="dxa"/>
            <w:tcBorders>
              <w:top w:val="nil"/>
              <w:left w:val="nil"/>
              <w:bottom w:val="nil"/>
              <w:right w:val="nil"/>
            </w:tcBorders>
            <w:tcMar>
              <w:top w:w="40" w:type="dxa"/>
              <w:left w:w="50" w:type="dxa"/>
              <w:bottom w:w="40" w:type="dxa"/>
              <w:right w:w="50" w:type="dxa"/>
            </w:tcMar>
            <w:vAlign w:val="center"/>
          </w:tcPr>
          <w:p w14:paraId="5FDFE458">
            <w:pPr>
              <w:spacing w:before="0" w:after="0"/>
              <w:jc w:val="left"/>
            </w:pPr>
            <w:r>
              <w:rPr>
                <w:rFonts w:ascii="Times New Roman" w:hAnsi="Times New Roman"/>
                <w:b w:val="0"/>
                <w:sz w:val="16"/>
              </w:rPr>
              <w:t>D5: Selection of the reported result</w:t>
            </w:r>
          </w:p>
        </w:tc>
        <w:tc>
          <w:tcPr>
            <w:tcW w:w="2592" w:type="dxa"/>
            <w:tcBorders>
              <w:top w:val="nil"/>
              <w:left w:val="nil"/>
              <w:bottom w:val="nil"/>
              <w:right w:val="nil"/>
            </w:tcBorders>
            <w:tcMar>
              <w:top w:w="40" w:type="dxa"/>
              <w:left w:w="50" w:type="dxa"/>
              <w:bottom w:w="40" w:type="dxa"/>
              <w:right w:w="50" w:type="dxa"/>
            </w:tcMar>
            <w:vAlign w:val="center"/>
          </w:tcPr>
          <w:p w14:paraId="508DA0D1">
            <w:pPr>
              <w:spacing w:before="0" w:after="0"/>
              <w:jc w:val="center"/>
            </w:pPr>
            <w:r>
              <w:rPr>
                <w:rFonts w:ascii="Times New Roman" w:hAnsi="Times New Roman"/>
                <w:b w:val="0"/>
                <w:sz w:val="16"/>
              </w:rPr>
              <w:t>0 (0.0%)</w:t>
            </w:r>
          </w:p>
        </w:tc>
        <w:tc>
          <w:tcPr>
            <w:tcW w:w="2880" w:type="dxa"/>
            <w:tcBorders>
              <w:top w:val="nil"/>
              <w:left w:val="nil"/>
              <w:bottom w:val="nil"/>
              <w:right w:val="nil"/>
            </w:tcBorders>
            <w:tcMar>
              <w:top w:w="40" w:type="dxa"/>
              <w:left w:w="50" w:type="dxa"/>
              <w:bottom w:w="40" w:type="dxa"/>
              <w:right w:w="50" w:type="dxa"/>
            </w:tcMar>
            <w:vAlign w:val="center"/>
          </w:tcPr>
          <w:p w14:paraId="3EB56343">
            <w:pPr>
              <w:spacing w:before="0" w:after="0"/>
              <w:jc w:val="center"/>
            </w:pPr>
            <w:r>
              <w:rPr>
                <w:rFonts w:ascii="Times New Roman" w:hAnsi="Times New Roman"/>
                <w:b w:val="0"/>
                <w:sz w:val="16"/>
              </w:rPr>
              <w:t>2 (100.0%)</w:t>
            </w:r>
          </w:p>
        </w:tc>
        <w:tc>
          <w:tcPr>
            <w:tcW w:w="2592" w:type="dxa"/>
            <w:tcBorders>
              <w:top w:val="nil"/>
              <w:left w:val="nil"/>
              <w:bottom w:val="nil"/>
              <w:right w:val="nil"/>
            </w:tcBorders>
            <w:tcMar>
              <w:top w:w="40" w:type="dxa"/>
              <w:left w:w="50" w:type="dxa"/>
              <w:bottom w:w="40" w:type="dxa"/>
              <w:right w:w="50" w:type="dxa"/>
            </w:tcMar>
            <w:vAlign w:val="center"/>
          </w:tcPr>
          <w:p w14:paraId="000C317C">
            <w:pPr>
              <w:spacing w:before="0" w:after="0"/>
              <w:jc w:val="center"/>
            </w:pPr>
            <w:r>
              <w:rPr>
                <w:rFonts w:ascii="Times New Roman" w:hAnsi="Times New Roman"/>
                <w:b w:val="0"/>
                <w:sz w:val="16"/>
              </w:rPr>
              <w:t>0 (0.0%)</w:t>
            </w:r>
          </w:p>
        </w:tc>
      </w:tr>
      <w:tr w14:paraId="3ED258A2">
        <w:tblPrEx>
          <w:tblCellMar>
            <w:top w:w="0" w:type="dxa"/>
            <w:left w:w="108" w:type="dxa"/>
            <w:bottom w:w="0" w:type="dxa"/>
            <w:right w:w="108" w:type="dxa"/>
          </w:tblCellMar>
        </w:tblPrEx>
        <w:trPr>
          <w:cantSplit/>
          <w:jc w:val="center"/>
        </w:trPr>
        <w:tc>
          <w:tcPr>
            <w:tcW w:w="5184" w:type="dxa"/>
            <w:tcBorders>
              <w:top w:val="nil"/>
              <w:left w:val="nil"/>
              <w:bottom w:val="single" w:color="auto" w:sz="8" w:space="0"/>
              <w:right w:val="nil"/>
            </w:tcBorders>
            <w:tcMar>
              <w:top w:w="40" w:type="dxa"/>
              <w:left w:w="50" w:type="dxa"/>
              <w:bottom w:w="40" w:type="dxa"/>
              <w:right w:w="50" w:type="dxa"/>
            </w:tcMar>
            <w:vAlign w:val="center"/>
          </w:tcPr>
          <w:p w14:paraId="47F7145C">
            <w:pPr>
              <w:spacing w:before="0" w:after="0"/>
              <w:jc w:val="left"/>
            </w:pPr>
            <w:r>
              <w:rPr>
                <w:rFonts w:ascii="Times New Roman" w:hAnsi="Times New Roman"/>
                <w:b w:val="0"/>
                <w:sz w:val="16"/>
              </w:rPr>
              <w:t>Overall judgment</w:t>
            </w:r>
          </w:p>
        </w:tc>
        <w:tc>
          <w:tcPr>
            <w:tcW w:w="2592" w:type="dxa"/>
            <w:tcBorders>
              <w:top w:val="nil"/>
              <w:left w:val="nil"/>
              <w:bottom w:val="single" w:color="auto" w:sz="8" w:space="0"/>
              <w:right w:val="nil"/>
            </w:tcBorders>
            <w:tcMar>
              <w:top w:w="40" w:type="dxa"/>
              <w:left w:w="50" w:type="dxa"/>
              <w:bottom w:w="40" w:type="dxa"/>
              <w:right w:w="50" w:type="dxa"/>
            </w:tcMar>
            <w:vAlign w:val="center"/>
          </w:tcPr>
          <w:p w14:paraId="2427EF77">
            <w:pPr>
              <w:spacing w:before="0" w:after="0"/>
              <w:jc w:val="center"/>
            </w:pPr>
            <w:r>
              <w:rPr>
                <w:rFonts w:ascii="Times New Roman" w:hAnsi="Times New Roman"/>
                <w:b w:val="0"/>
                <w:sz w:val="16"/>
              </w:rPr>
              <w:t>0 (0.0%)</w:t>
            </w:r>
          </w:p>
        </w:tc>
        <w:tc>
          <w:tcPr>
            <w:tcW w:w="2880" w:type="dxa"/>
            <w:tcBorders>
              <w:top w:val="nil"/>
              <w:left w:val="nil"/>
              <w:bottom w:val="single" w:color="auto" w:sz="8" w:space="0"/>
              <w:right w:val="nil"/>
            </w:tcBorders>
            <w:tcMar>
              <w:top w:w="40" w:type="dxa"/>
              <w:left w:w="50" w:type="dxa"/>
              <w:bottom w:w="40" w:type="dxa"/>
              <w:right w:w="50" w:type="dxa"/>
            </w:tcMar>
            <w:vAlign w:val="center"/>
          </w:tcPr>
          <w:p w14:paraId="7F060CE7">
            <w:pPr>
              <w:spacing w:before="0" w:after="0"/>
              <w:jc w:val="center"/>
            </w:pPr>
            <w:r>
              <w:rPr>
                <w:rFonts w:ascii="Times New Roman" w:hAnsi="Times New Roman"/>
                <w:b w:val="0"/>
                <w:sz w:val="16"/>
              </w:rPr>
              <w:t>2 (100.0%)</w:t>
            </w:r>
          </w:p>
        </w:tc>
        <w:tc>
          <w:tcPr>
            <w:tcW w:w="2592" w:type="dxa"/>
            <w:tcBorders>
              <w:top w:val="nil"/>
              <w:left w:val="nil"/>
              <w:bottom w:val="single" w:color="auto" w:sz="8" w:space="0"/>
              <w:right w:val="nil"/>
            </w:tcBorders>
            <w:tcMar>
              <w:top w:w="40" w:type="dxa"/>
              <w:left w:w="50" w:type="dxa"/>
              <w:bottom w:w="40" w:type="dxa"/>
              <w:right w:w="50" w:type="dxa"/>
            </w:tcMar>
            <w:vAlign w:val="center"/>
          </w:tcPr>
          <w:p w14:paraId="72A8E9BC">
            <w:pPr>
              <w:spacing w:before="0" w:after="0"/>
              <w:jc w:val="center"/>
            </w:pPr>
            <w:r>
              <w:rPr>
                <w:rFonts w:ascii="Times New Roman" w:hAnsi="Times New Roman"/>
                <w:b w:val="0"/>
                <w:sz w:val="16"/>
              </w:rPr>
              <w:t>0 (0.0%)</w:t>
            </w:r>
          </w:p>
        </w:tc>
      </w:tr>
    </w:tbl>
    <w:p w14:paraId="6B03BC9F">
      <w:pPr>
        <w:spacing w:after="60"/>
      </w:pPr>
    </w:p>
    <w:p w14:paraId="0031D2D0">
      <w:r>
        <w:br w:type="page"/>
      </w:r>
    </w:p>
    <w:p w14:paraId="69E72E7C">
      <w:pPr>
        <w:keepNext/>
        <w:spacing w:before="120" w:after="80"/>
      </w:pPr>
      <w:r>
        <w:rPr>
          <w:rFonts w:ascii="Times New Roman" w:hAnsi="Times New Roman"/>
          <w:b/>
          <w:sz w:val="21"/>
        </w:rPr>
        <w:t>Supplementary Table S3. Network meta-analysis after excluding trials judged at high risk of bias for the corresponding outcome</w:t>
      </w:r>
    </w:p>
    <w:tbl>
      <w:tblPr>
        <w:tblStyle w:val="32"/>
        <w:tblW w:w="0" w:type="auto"/>
        <w:jc w:val="center"/>
        <w:tblLayout w:type="fixed"/>
        <w:tblCellMar>
          <w:top w:w="0" w:type="dxa"/>
          <w:left w:w="108" w:type="dxa"/>
          <w:bottom w:w="0" w:type="dxa"/>
          <w:right w:w="108" w:type="dxa"/>
        </w:tblCellMar>
      </w:tblPr>
      <w:tblGrid>
        <w:gridCol w:w="2424"/>
        <w:gridCol w:w="2958"/>
        <w:gridCol w:w="1890"/>
        <w:gridCol w:w="2424"/>
        <w:gridCol w:w="2424"/>
        <w:gridCol w:w="2424"/>
      </w:tblGrid>
      <w:tr w14:paraId="7D9B07C5">
        <w:tblPrEx>
          <w:tblCellMar>
            <w:top w:w="0" w:type="dxa"/>
            <w:left w:w="108" w:type="dxa"/>
            <w:bottom w:w="0" w:type="dxa"/>
            <w:right w:w="108" w:type="dxa"/>
          </w:tblCellMar>
        </w:tblPrEx>
        <w:trPr>
          <w:cantSplit/>
          <w:tblHeader/>
          <w:jc w:val="center"/>
        </w:trPr>
        <w:tc>
          <w:tcPr>
            <w:tcW w:w="2424" w:type="dxa"/>
            <w:tcBorders>
              <w:top w:val="single" w:color="auto" w:sz="8" w:space="0"/>
              <w:left w:val="nil"/>
              <w:bottom w:val="single" w:color="auto" w:sz="6" w:space="0"/>
              <w:right w:val="nil"/>
            </w:tcBorders>
            <w:shd w:val="clear" w:color="auto" w:fill="D9E2F3"/>
            <w:tcMar>
              <w:top w:w="40" w:type="dxa"/>
              <w:left w:w="50" w:type="dxa"/>
              <w:bottom w:w="40" w:type="dxa"/>
              <w:right w:w="50" w:type="dxa"/>
            </w:tcMar>
            <w:vAlign w:val="center"/>
          </w:tcPr>
          <w:p w14:paraId="10FDAD22">
            <w:pPr>
              <w:spacing w:before="0" w:after="0"/>
              <w:jc w:val="center"/>
            </w:pPr>
            <w:r>
              <w:rPr>
                <w:rFonts w:ascii="Times New Roman" w:hAnsi="Times New Roman"/>
                <w:b/>
                <w:sz w:val="16"/>
              </w:rPr>
              <w:t>Outcome</w:t>
            </w:r>
          </w:p>
        </w:tc>
        <w:tc>
          <w:tcPr>
            <w:tcW w:w="2958" w:type="dxa"/>
            <w:tcBorders>
              <w:top w:val="single" w:color="auto" w:sz="8" w:space="0"/>
              <w:left w:val="nil"/>
              <w:bottom w:val="single" w:color="auto" w:sz="6" w:space="0"/>
              <w:right w:val="nil"/>
            </w:tcBorders>
            <w:shd w:val="clear" w:color="auto" w:fill="D9E2F3"/>
            <w:tcMar>
              <w:top w:w="40" w:type="dxa"/>
              <w:left w:w="50" w:type="dxa"/>
              <w:bottom w:w="40" w:type="dxa"/>
              <w:right w:w="50" w:type="dxa"/>
            </w:tcMar>
            <w:vAlign w:val="center"/>
          </w:tcPr>
          <w:p w14:paraId="6F5455A1">
            <w:pPr>
              <w:spacing w:before="0" w:after="0"/>
              <w:jc w:val="center"/>
            </w:pPr>
            <w:r>
              <w:rPr>
                <w:rFonts w:ascii="Times New Roman" w:hAnsi="Times New Roman"/>
                <w:b/>
                <w:sz w:val="16"/>
              </w:rPr>
              <w:t>Intervention</w:t>
            </w:r>
          </w:p>
        </w:tc>
        <w:tc>
          <w:tcPr>
            <w:tcW w:w="1890" w:type="dxa"/>
            <w:tcBorders>
              <w:top w:val="single" w:color="auto" w:sz="8" w:space="0"/>
              <w:left w:val="nil"/>
              <w:bottom w:val="single" w:color="auto" w:sz="6" w:space="0"/>
              <w:right w:val="nil"/>
            </w:tcBorders>
            <w:shd w:val="clear" w:color="auto" w:fill="D9E2F3"/>
            <w:tcMar>
              <w:top w:w="40" w:type="dxa"/>
              <w:left w:w="50" w:type="dxa"/>
              <w:bottom w:w="40" w:type="dxa"/>
              <w:right w:w="50" w:type="dxa"/>
            </w:tcMar>
            <w:vAlign w:val="center"/>
          </w:tcPr>
          <w:p w14:paraId="2351BAFF">
            <w:pPr>
              <w:spacing w:before="0" w:after="0"/>
              <w:jc w:val="center"/>
            </w:pPr>
            <w:r>
              <w:rPr>
                <w:rFonts w:ascii="Times New Roman" w:hAnsi="Times New Roman"/>
                <w:b/>
                <w:sz w:val="16"/>
              </w:rPr>
              <w:t>Effect measure</w:t>
            </w:r>
          </w:p>
        </w:tc>
        <w:tc>
          <w:tcPr>
            <w:tcW w:w="2424" w:type="dxa"/>
            <w:tcBorders>
              <w:top w:val="single" w:color="auto" w:sz="8" w:space="0"/>
              <w:left w:val="nil"/>
              <w:bottom w:val="single" w:color="auto" w:sz="6" w:space="0"/>
              <w:right w:val="nil"/>
            </w:tcBorders>
            <w:shd w:val="clear" w:color="auto" w:fill="D9E2F3"/>
            <w:tcMar>
              <w:top w:w="40" w:type="dxa"/>
              <w:left w:w="50" w:type="dxa"/>
              <w:bottom w:w="40" w:type="dxa"/>
              <w:right w:w="50" w:type="dxa"/>
            </w:tcMar>
            <w:vAlign w:val="center"/>
          </w:tcPr>
          <w:p w14:paraId="4B14FC26">
            <w:pPr>
              <w:spacing w:before="0" w:after="0"/>
              <w:jc w:val="center"/>
            </w:pPr>
            <w:r>
              <w:rPr>
                <w:rFonts w:ascii="Times New Roman" w:hAnsi="Times New Roman"/>
                <w:b/>
                <w:sz w:val="16"/>
              </w:rPr>
              <w:t>Estimate</w:t>
            </w:r>
          </w:p>
        </w:tc>
        <w:tc>
          <w:tcPr>
            <w:tcW w:w="2424" w:type="dxa"/>
            <w:tcBorders>
              <w:top w:val="single" w:color="auto" w:sz="8" w:space="0"/>
              <w:left w:val="nil"/>
              <w:bottom w:val="single" w:color="auto" w:sz="6" w:space="0"/>
              <w:right w:val="nil"/>
            </w:tcBorders>
            <w:shd w:val="clear" w:color="auto" w:fill="D9E2F3"/>
            <w:tcMar>
              <w:top w:w="40" w:type="dxa"/>
              <w:left w:w="50" w:type="dxa"/>
              <w:bottom w:w="40" w:type="dxa"/>
              <w:right w:w="50" w:type="dxa"/>
            </w:tcMar>
            <w:vAlign w:val="center"/>
          </w:tcPr>
          <w:p w14:paraId="47A8A16D">
            <w:pPr>
              <w:spacing w:before="0" w:after="0"/>
              <w:jc w:val="center"/>
            </w:pPr>
            <w:r>
              <w:rPr>
                <w:rFonts w:ascii="Times New Roman" w:hAnsi="Times New Roman"/>
                <w:b/>
                <w:sz w:val="16"/>
              </w:rPr>
              <w:t>95% CI</w:t>
            </w:r>
          </w:p>
        </w:tc>
        <w:tc>
          <w:tcPr>
            <w:tcW w:w="2424" w:type="dxa"/>
            <w:tcBorders>
              <w:top w:val="single" w:color="auto" w:sz="8" w:space="0"/>
              <w:left w:val="nil"/>
              <w:bottom w:val="single" w:color="auto" w:sz="6" w:space="0"/>
              <w:right w:val="nil"/>
            </w:tcBorders>
            <w:shd w:val="clear" w:color="auto" w:fill="D9E2F3"/>
            <w:tcMar>
              <w:top w:w="40" w:type="dxa"/>
              <w:left w:w="50" w:type="dxa"/>
              <w:bottom w:w="40" w:type="dxa"/>
              <w:right w:w="50" w:type="dxa"/>
            </w:tcMar>
            <w:vAlign w:val="center"/>
          </w:tcPr>
          <w:p w14:paraId="059FA7D6">
            <w:pPr>
              <w:spacing w:before="0" w:after="0"/>
              <w:jc w:val="center"/>
            </w:pPr>
            <w:r>
              <w:rPr>
                <w:rFonts w:ascii="Times New Roman" w:hAnsi="Times New Roman"/>
                <w:b/>
                <w:sz w:val="16"/>
              </w:rPr>
              <w:t>P value</w:t>
            </w:r>
          </w:p>
        </w:tc>
      </w:tr>
      <w:tr w14:paraId="475CD69D">
        <w:tblPrEx>
          <w:tblCellMar>
            <w:top w:w="0" w:type="dxa"/>
            <w:left w:w="108" w:type="dxa"/>
            <w:bottom w:w="0" w:type="dxa"/>
            <w:right w:w="108" w:type="dxa"/>
          </w:tblCellMar>
        </w:tblPrEx>
        <w:trPr>
          <w:cantSplit/>
          <w:jc w:val="center"/>
        </w:trPr>
        <w:tc>
          <w:tcPr>
            <w:tcW w:w="2424" w:type="dxa"/>
            <w:tcBorders>
              <w:top w:val="single" w:color="auto" w:sz="6" w:space="0"/>
              <w:left w:val="nil"/>
              <w:bottom w:val="nil"/>
              <w:right w:val="nil"/>
            </w:tcBorders>
            <w:tcMar>
              <w:top w:w="40" w:type="dxa"/>
              <w:left w:w="50" w:type="dxa"/>
              <w:bottom w:w="40" w:type="dxa"/>
              <w:right w:w="50" w:type="dxa"/>
            </w:tcMar>
            <w:vAlign w:val="center"/>
          </w:tcPr>
          <w:p w14:paraId="25286418">
            <w:pPr>
              <w:spacing w:before="0" w:after="0"/>
              <w:jc w:val="left"/>
            </w:pPr>
            <w:r>
              <w:rPr>
                <w:rFonts w:ascii="Times New Roman" w:hAnsi="Times New Roman"/>
                <w:b w:val="0"/>
                <w:sz w:val="16"/>
              </w:rPr>
              <w:t>Dichotomous NSSI/self-harm</w:t>
            </w:r>
          </w:p>
        </w:tc>
        <w:tc>
          <w:tcPr>
            <w:tcW w:w="2958" w:type="dxa"/>
            <w:tcBorders>
              <w:top w:val="single" w:color="auto" w:sz="6" w:space="0"/>
              <w:left w:val="nil"/>
              <w:bottom w:val="nil"/>
              <w:right w:val="nil"/>
            </w:tcBorders>
            <w:tcMar>
              <w:top w:w="40" w:type="dxa"/>
              <w:left w:w="50" w:type="dxa"/>
              <w:bottom w:w="40" w:type="dxa"/>
              <w:right w:w="50" w:type="dxa"/>
            </w:tcMar>
            <w:vAlign w:val="center"/>
          </w:tcPr>
          <w:p w14:paraId="5E1C1D57">
            <w:pPr>
              <w:spacing w:before="0" w:after="0"/>
              <w:jc w:val="left"/>
            </w:pPr>
            <w:r>
              <w:rPr>
                <w:rFonts w:ascii="Times New Roman" w:hAnsi="Times New Roman"/>
                <w:b w:val="0"/>
                <w:sz w:val="16"/>
              </w:rPr>
              <w:t>Culturally adapted CBT/problem-solving intervention</w:t>
            </w:r>
          </w:p>
        </w:tc>
        <w:tc>
          <w:tcPr>
            <w:tcW w:w="1890" w:type="dxa"/>
            <w:tcBorders>
              <w:top w:val="single" w:color="auto" w:sz="6" w:space="0"/>
              <w:left w:val="nil"/>
              <w:bottom w:val="nil"/>
              <w:right w:val="nil"/>
            </w:tcBorders>
            <w:tcMar>
              <w:top w:w="40" w:type="dxa"/>
              <w:left w:w="50" w:type="dxa"/>
              <w:bottom w:w="40" w:type="dxa"/>
              <w:right w:w="50" w:type="dxa"/>
            </w:tcMar>
            <w:vAlign w:val="center"/>
          </w:tcPr>
          <w:p w14:paraId="60CDC06D">
            <w:pPr>
              <w:spacing w:before="0" w:after="0"/>
              <w:jc w:val="center"/>
            </w:pPr>
            <w:r>
              <w:rPr>
                <w:rFonts w:ascii="Times New Roman" w:hAnsi="Times New Roman"/>
                <w:b w:val="0"/>
                <w:sz w:val="16"/>
              </w:rPr>
              <w:t>OR</w:t>
            </w:r>
          </w:p>
        </w:tc>
        <w:tc>
          <w:tcPr>
            <w:tcW w:w="2424" w:type="dxa"/>
            <w:tcBorders>
              <w:top w:val="single" w:color="auto" w:sz="6" w:space="0"/>
              <w:left w:val="nil"/>
              <w:bottom w:val="nil"/>
              <w:right w:val="nil"/>
            </w:tcBorders>
            <w:tcMar>
              <w:top w:w="40" w:type="dxa"/>
              <w:left w:w="50" w:type="dxa"/>
              <w:bottom w:w="40" w:type="dxa"/>
              <w:right w:w="50" w:type="dxa"/>
            </w:tcMar>
            <w:vAlign w:val="center"/>
          </w:tcPr>
          <w:p w14:paraId="56A785B3">
            <w:pPr>
              <w:spacing w:before="0" w:after="0"/>
              <w:jc w:val="center"/>
            </w:pPr>
            <w:r>
              <w:rPr>
                <w:rFonts w:ascii="Times New Roman" w:hAnsi="Times New Roman"/>
                <w:b w:val="0"/>
                <w:sz w:val="16"/>
              </w:rPr>
              <w:t>0.19</w:t>
            </w:r>
          </w:p>
        </w:tc>
        <w:tc>
          <w:tcPr>
            <w:tcW w:w="2424" w:type="dxa"/>
            <w:tcBorders>
              <w:top w:val="single" w:color="auto" w:sz="6" w:space="0"/>
              <w:left w:val="nil"/>
              <w:bottom w:val="nil"/>
              <w:right w:val="nil"/>
            </w:tcBorders>
            <w:tcMar>
              <w:top w:w="40" w:type="dxa"/>
              <w:left w:w="50" w:type="dxa"/>
              <w:bottom w:w="40" w:type="dxa"/>
              <w:right w:w="50" w:type="dxa"/>
            </w:tcMar>
            <w:vAlign w:val="center"/>
          </w:tcPr>
          <w:p w14:paraId="566DF8C3">
            <w:pPr>
              <w:spacing w:before="0" w:after="0"/>
              <w:jc w:val="center"/>
            </w:pPr>
            <w:r>
              <w:rPr>
                <w:rFonts w:ascii="Times New Roman" w:hAnsi="Times New Roman"/>
                <w:b w:val="0"/>
                <w:sz w:val="16"/>
              </w:rPr>
              <w:t>0.06 to 0.67</w:t>
            </w:r>
          </w:p>
        </w:tc>
        <w:tc>
          <w:tcPr>
            <w:tcW w:w="2424" w:type="dxa"/>
            <w:tcBorders>
              <w:top w:val="single" w:color="auto" w:sz="6" w:space="0"/>
              <w:left w:val="nil"/>
              <w:bottom w:val="nil"/>
              <w:right w:val="nil"/>
            </w:tcBorders>
            <w:tcMar>
              <w:top w:w="40" w:type="dxa"/>
              <w:left w:w="50" w:type="dxa"/>
              <w:bottom w:w="40" w:type="dxa"/>
              <w:right w:w="50" w:type="dxa"/>
            </w:tcMar>
            <w:vAlign w:val="center"/>
          </w:tcPr>
          <w:p w14:paraId="0100B5CA">
            <w:pPr>
              <w:spacing w:before="0" w:after="0"/>
              <w:jc w:val="center"/>
            </w:pPr>
            <w:r>
              <w:rPr>
                <w:rFonts w:ascii="Times New Roman" w:hAnsi="Times New Roman"/>
                <w:b w:val="0"/>
                <w:sz w:val="16"/>
              </w:rPr>
              <w:t>0.010</w:t>
            </w:r>
          </w:p>
        </w:tc>
      </w:tr>
      <w:tr w14:paraId="20A68E88">
        <w:tblPrEx>
          <w:tblCellMar>
            <w:top w:w="0" w:type="dxa"/>
            <w:left w:w="108" w:type="dxa"/>
            <w:bottom w:w="0" w:type="dxa"/>
            <w:right w:w="108" w:type="dxa"/>
          </w:tblCellMar>
        </w:tblPrEx>
        <w:trPr>
          <w:cantSplit/>
          <w:jc w:val="center"/>
        </w:trPr>
        <w:tc>
          <w:tcPr>
            <w:tcW w:w="2424" w:type="dxa"/>
            <w:tcBorders>
              <w:top w:val="nil"/>
              <w:left w:val="nil"/>
              <w:bottom w:val="nil"/>
              <w:right w:val="nil"/>
            </w:tcBorders>
            <w:tcMar>
              <w:top w:w="40" w:type="dxa"/>
              <w:left w:w="50" w:type="dxa"/>
              <w:bottom w:w="40" w:type="dxa"/>
              <w:right w:w="50" w:type="dxa"/>
            </w:tcMar>
            <w:vAlign w:val="center"/>
          </w:tcPr>
          <w:p w14:paraId="1C430AB1">
            <w:pPr>
              <w:spacing w:before="0" w:after="0"/>
              <w:jc w:val="left"/>
            </w:pPr>
            <w:r>
              <w:rPr>
                <w:rFonts w:ascii="Times New Roman" w:hAnsi="Times New Roman"/>
                <w:b w:val="0"/>
                <w:sz w:val="16"/>
              </w:rPr>
              <w:t>Dichotomous NSSI/self-harm</w:t>
            </w:r>
          </w:p>
        </w:tc>
        <w:tc>
          <w:tcPr>
            <w:tcW w:w="2958" w:type="dxa"/>
            <w:tcBorders>
              <w:top w:val="nil"/>
              <w:left w:val="nil"/>
              <w:bottom w:val="nil"/>
              <w:right w:val="nil"/>
            </w:tcBorders>
            <w:tcMar>
              <w:top w:w="40" w:type="dxa"/>
              <w:left w:w="50" w:type="dxa"/>
              <w:bottom w:w="40" w:type="dxa"/>
              <w:right w:w="50" w:type="dxa"/>
            </w:tcMar>
            <w:vAlign w:val="center"/>
          </w:tcPr>
          <w:p w14:paraId="2A6820D1">
            <w:pPr>
              <w:spacing w:before="0" w:after="0"/>
              <w:jc w:val="left"/>
            </w:pPr>
            <w:r>
              <w:rPr>
                <w:rFonts w:ascii="Times New Roman" w:hAnsi="Times New Roman"/>
                <w:b w:val="0"/>
                <w:sz w:val="16"/>
              </w:rPr>
              <w:t>DBT/DBT-A</w:t>
            </w:r>
          </w:p>
        </w:tc>
        <w:tc>
          <w:tcPr>
            <w:tcW w:w="1890" w:type="dxa"/>
            <w:tcBorders>
              <w:top w:val="nil"/>
              <w:left w:val="nil"/>
              <w:bottom w:val="nil"/>
              <w:right w:val="nil"/>
            </w:tcBorders>
            <w:tcMar>
              <w:top w:w="40" w:type="dxa"/>
              <w:left w:w="50" w:type="dxa"/>
              <w:bottom w:w="40" w:type="dxa"/>
              <w:right w:w="50" w:type="dxa"/>
            </w:tcMar>
            <w:vAlign w:val="center"/>
          </w:tcPr>
          <w:p w14:paraId="71C730CF">
            <w:pPr>
              <w:spacing w:before="0" w:after="0"/>
              <w:jc w:val="center"/>
            </w:pPr>
            <w:r>
              <w:rPr>
                <w:rFonts w:ascii="Times New Roman" w:hAnsi="Times New Roman"/>
                <w:b w:val="0"/>
                <w:sz w:val="16"/>
              </w:rPr>
              <w:t>OR</w:t>
            </w:r>
          </w:p>
        </w:tc>
        <w:tc>
          <w:tcPr>
            <w:tcW w:w="2424" w:type="dxa"/>
            <w:tcBorders>
              <w:top w:val="nil"/>
              <w:left w:val="nil"/>
              <w:bottom w:val="nil"/>
              <w:right w:val="nil"/>
            </w:tcBorders>
            <w:tcMar>
              <w:top w:w="40" w:type="dxa"/>
              <w:left w:w="50" w:type="dxa"/>
              <w:bottom w:w="40" w:type="dxa"/>
              <w:right w:w="50" w:type="dxa"/>
            </w:tcMar>
            <w:vAlign w:val="center"/>
          </w:tcPr>
          <w:p w14:paraId="1552C1FD">
            <w:pPr>
              <w:spacing w:before="0" w:after="0"/>
              <w:jc w:val="center"/>
            </w:pPr>
            <w:r>
              <w:rPr>
                <w:rFonts w:ascii="Times New Roman" w:hAnsi="Times New Roman"/>
                <w:b w:val="0"/>
                <w:sz w:val="16"/>
              </w:rPr>
              <w:t>0.14</w:t>
            </w:r>
          </w:p>
        </w:tc>
        <w:tc>
          <w:tcPr>
            <w:tcW w:w="2424" w:type="dxa"/>
            <w:tcBorders>
              <w:top w:val="nil"/>
              <w:left w:val="nil"/>
              <w:bottom w:val="nil"/>
              <w:right w:val="nil"/>
            </w:tcBorders>
            <w:tcMar>
              <w:top w:w="40" w:type="dxa"/>
              <w:left w:w="50" w:type="dxa"/>
              <w:bottom w:w="40" w:type="dxa"/>
              <w:right w:w="50" w:type="dxa"/>
            </w:tcMar>
            <w:vAlign w:val="center"/>
          </w:tcPr>
          <w:p w14:paraId="7F7EF9E8">
            <w:pPr>
              <w:spacing w:before="0" w:after="0"/>
              <w:jc w:val="center"/>
            </w:pPr>
            <w:r>
              <w:rPr>
                <w:rFonts w:ascii="Times New Roman" w:hAnsi="Times New Roman"/>
                <w:b w:val="0"/>
                <w:sz w:val="16"/>
              </w:rPr>
              <w:t>0.03 to 0.69</w:t>
            </w:r>
          </w:p>
        </w:tc>
        <w:tc>
          <w:tcPr>
            <w:tcW w:w="2424" w:type="dxa"/>
            <w:tcBorders>
              <w:top w:val="nil"/>
              <w:left w:val="nil"/>
              <w:bottom w:val="nil"/>
              <w:right w:val="nil"/>
            </w:tcBorders>
            <w:tcMar>
              <w:top w:w="40" w:type="dxa"/>
              <w:left w:w="50" w:type="dxa"/>
              <w:bottom w:w="40" w:type="dxa"/>
              <w:right w:w="50" w:type="dxa"/>
            </w:tcMar>
            <w:vAlign w:val="center"/>
          </w:tcPr>
          <w:p w14:paraId="4EBA2345">
            <w:pPr>
              <w:spacing w:before="0" w:after="0"/>
              <w:jc w:val="center"/>
            </w:pPr>
            <w:r>
              <w:rPr>
                <w:rFonts w:ascii="Times New Roman" w:hAnsi="Times New Roman"/>
                <w:b w:val="0"/>
                <w:sz w:val="16"/>
              </w:rPr>
              <w:t>0.016</w:t>
            </w:r>
          </w:p>
        </w:tc>
      </w:tr>
      <w:tr w14:paraId="0160414D">
        <w:tblPrEx>
          <w:tblCellMar>
            <w:top w:w="0" w:type="dxa"/>
            <w:left w:w="108" w:type="dxa"/>
            <w:bottom w:w="0" w:type="dxa"/>
            <w:right w:w="108" w:type="dxa"/>
          </w:tblCellMar>
        </w:tblPrEx>
        <w:trPr>
          <w:cantSplit/>
          <w:jc w:val="center"/>
        </w:trPr>
        <w:tc>
          <w:tcPr>
            <w:tcW w:w="2424" w:type="dxa"/>
            <w:tcBorders>
              <w:top w:val="nil"/>
              <w:left w:val="nil"/>
              <w:bottom w:val="nil"/>
              <w:right w:val="nil"/>
            </w:tcBorders>
            <w:tcMar>
              <w:top w:w="40" w:type="dxa"/>
              <w:left w:w="50" w:type="dxa"/>
              <w:bottom w:w="40" w:type="dxa"/>
              <w:right w:w="50" w:type="dxa"/>
            </w:tcMar>
            <w:vAlign w:val="center"/>
          </w:tcPr>
          <w:p w14:paraId="628935C7">
            <w:pPr>
              <w:spacing w:before="0" w:after="0"/>
              <w:jc w:val="left"/>
            </w:pPr>
            <w:r>
              <w:rPr>
                <w:rFonts w:ascii="Times New Roman" w:hAnsi="Times New Roman"/>
                <w:b w:val="0"/>
                <w:sz w:val="16"/>
              </w:rPr>
              <w:t>Dichotomous NSSI/self-harm</w:t>
            </w:r>
          </w:p>
        </w:tc>
        <w:tc>
          <w:tcPr>
            <w:tcW w:w="2958" w:type="dxa"/>
            <w:tcBorders>
              <w:top w:val="nil"/>
              <w:left w:val="nil"/>
              <w:bottom w:val="nil"/>
              <w:right w:val="nil"/>
            </w:tcBorders>
            <w:tcMar>
              <w:top w:w="40" w:type="dxa"/>
              <w:left w:w="50" w:type="dxa"/>
              <w:bottom w:w="40" w:type="dxa"/>
              <w:right w:w="50" w:type="dxa"/>
            </w:tcMar>
            <w:vAlign w:val="center"/>
          </w:tcPr>
          <w:p w14:paraId="1D40E211">
            <w:pPr>
              <w:spacing w:before="0" w:after="0"/>
              <w:jc w:val="left"/>
            </w:pPr>
            <w:r>
              <w:rPr>
                <w:rFonts w:ascii="Times New Roman" w:hAnsi="Times New Roman"/>
                <w:b w:val="0"/>
                <w:sz w:val="16"/>
              </w:rPr>
              <w:t>Group therapy/psychosocial intervention</w:t>
            </w:r>
          </w:p>
        </w:tc>
        <w:tc>
          <w:tcPr>
            <w:tcW w:w="1890" w:type="dxa"/>
            <w:tcBorders>
              <w:top w:val="nil"/>
              <w:left w:val="nil"/>
              <w:bottom w:val="nil"/>
              <w:right w:val="nil"/>
            </w:tcBorders>
            <w:tcMar>
              <w:top w:w="40" w:type="dxa"/>
              <w:left w:w="50" w:type="dxa"/>
              <w:bottom w:w="40" w:type="dxa"/>
              <w:right w:w="50" w:type="dxa"/>
            </w:tcMar>
            <w:vAlign w:val="center"/>
          </w:tcPr>
          <w:p w14:paraId="6777BF0F">
            <w:pPr>
              <w:spacing w:before="0" w:after="0"/>
              <w:jc w:val="center"/>
            </w:pPr>
            <w:r>
              <w:rPr>
                <w:rFonts w:ascii="Times New Roman" w:hAnsi="Times New Roman"/>
                <w:b w:val="0"/>
                <w:sz w:val="16"/>
              </w:rPr>
              <w:t>OR</w:t>
            </w:r>
          </w:p>
        </w:tc>
        <w:tc>
          <w:tcPr>
            <w:tcW w:w="2424" w:type="dxa"/>
            <w:tcBorders>
              <w:top w:val="nil"/>
              <w:left w:val="nil"/>
              <w:bottom w:val="nil"/>
              <w:right w:val="nil"/>
            </w:tcBorders>
            <w:tcMar>
              <w:top w:w="40" w:type="dxa"/>
              <w:left w:w="50" w:type="dxa"/>
              <w:bottom w:w="40" w:type="dxa"/>
              <w:right w:w="50" w:type="dxa"/>
            </w:tcMar>
            <w:vAlign w:val="center"/>
          </w:tcPr>
          <w:p w14:paraId="17D31983">
            <w:pPr>
              <w:spacing w:before="0" w:after="0"/>
              <w:jc w:val="center"/>
            </w:pPr>
            <w:r>
              <w:rPr>
                <w:rFonts w:ascii="Times New Roman" w:hAnsi="Times New Roman"/>
                <w:b w:val="0"/>
                <w:sz w:val="16"/>
              </w:rPr>
              <w:t>0.14</w:t>
            </w:r>
          </w:p>
        </w:tc>
        <w:tc>
          <w:tcPr>
            <w:tcW w:w="2424" w:type="dxa"/>
            <w:tcBorders>
              <w:top w:val="nil"/>
              <w:left w:val="nil"/>
              <w:bottom w:val="nil"/>
              <w:right w:val="nil"/>
            </w:tcBorders>
            <w:tcMar>
              <w:top w:w="40" w:type="dxa"/>
              <w:left w:w="50" w:type="dxa"/>
              <w:bottom w:w="40" w:type="dxa"/>
              <w:right w:w="50" w:type="dxa"/>
            </w:tcMar>
            <w:vAlign w:val="center"/>
          </w:tcPr>
          <w:p w14:paraId="212B3C5B">
            <w:pPr>
              <w:spacing w:before="0" w:after="0"/>
              <w:jc w:val="center"/>
            </w:pPr>
            <w:r>
              <w:rPr>
                <w:rFonts w:ascii="Times New Roman" w:hAnsi="Times New Roman"/>
                <w:b w:val="0"/>
                <w:sz w:val="16"/>
              </w:rPr>
              <w:t>0.03 to 0.71</w:t>
            </w:r>
          </w:p>
        </w:tc>
        <w:tc>
          <w:tcPr>
            <w:tcW w:w="2424" w:type="dxa"/>
            <w:tcBorders>
              <w:top w:val="nil"/>
              <w:left w:val="nil"/>
              <w:bottom w:val="nil"/>
              <w:right w:val="nil"/>
            </w:tcBorders>
            <w:tcMar>
              <w:top w:w="40" w:type="dxa"/>
              <w:left w:w="50" w:type="dxa"/>
              <w:bottom w:w="40" w:type="dxa"/>
              <w:right w:w="50" w:type="dxa"/>
            </w:tcMar>
            <w:vAlign w:val="center"/>
          </w:tcPr>
          <w:p w14:paraId="357BE0E7">
            <w:pPr>
              <w:spacing w:before="0" w:after="0"/>
              <w:jc w:val="center"/>
            </w:pPr>
            <w:r>
              <w:rPr>
                <w:rFonts w:ascii="Times New Roman" w:hAnsi="Times New Roman"/>
                <w:b w:val="0"/>
                <w:sz w:val="16"/>
              </w:rPr>
              <w:t>0.017</w:t>
            </w:r>
          </w:p>
        </w:tc>
      </w:tr>
      <w:tr w14:paraId="7A343D2C">
        <w:tblPrEx>
          <w:tblCellMar>
            <w:top w:w="0" w:type="dxa"/>
            <w:left w:w="108" w:type="dxa"/>
            <w:bottom w:w="0" w:type="dxa"/>
            <w:right w:w="108" w:type="dxa"/>
          </w:tblCellMar>
        </w:tblPrEx>
        <w:trPr>
          <w:cantSplit/>
          <w:jc w:val="center"/>
        </w:trPr>
        <w:tc>
          <w:tcPr>
            <w:tcW w:w="2424" w:type="dxa"/>
            <w:tcBorders>
              <w:top w:val="nil"/>
              <w:left w:val="nil"/>
              <w:bottom w:val="nil"/>
              <w:right w:val="nil"/>
            </w:tcBorders>
            <w:tcMar>
              <w:top w:w="40" w:type="dxa"/>
              <w:left w:w="50" w:type="dxa"/>
              <w:bottom w:w="40" w:type="dxa"/>
              <w:right w:w="50" w:type="dxa"/>
            </w:tcMar>
            <w:vAlign w:val="center"/>
          </w:tcPr>
          <w:p w14:paraId="48C626BF">
            <w:pPr>
              <w:spacing w:before="0" w:after="0"/>
              <w:jc w:val="left"/>
            </w:pPr>
            <w:r>
              <w:rPr>
                <w:rFonts w:ascii="Times New Roman" w:hAnsi="Times New Roman"/>
                <w:b w:val="0"/>
                <w:sz w:val="16"/>
              </w:rPr>
              <w:t>Continuous NSSI/self-harm</w:t>
            </w:r>
          </w:p>
        </w:tc>
        <w:tc>
          <w:tcPr>
            <w:tcW w:w="2958" w:type="dxa"/>
            <w:tcBorders>
              <w:top w:val="nil"/>
              <w:left w:val="nil"/>
              <w:bottom w:val="nil"/>
              <w:right w:val="nil"/>
            </w:tcBorders>
            <w:tcMar>
              <w:top w:w="40" w:type="dxa"/>
              <w:left w:w="50" w:type="dxa"/>
              <w:bottom w:w="40" w:type="dxa"/>
              <w:right w:w="50" w:type="dxa"/>
            </w:tcMar>
            <w:vAlign w:val="center"/>
          </w:tcPr>
          <w:p w14:paraId="66A89C64">
            <w:pPr>
              <w:spacing w:before="0" w:after="0"/>
              <w:jc w:val="left"/>
            </w:pPr>
            <w:r>
              <w:rPr>
                <w:rFonts w:ascii="Times New Roman" w:hAnsi="Times New Roman"/>
                <w:b w:val="0"/>
                <w:sz w:val="16"/>
              </w:rPr>
              <w:t>DBT-based intervention</w:t>
            </w:r>
          </w:p>
        </w:tc>
        <w:tc>
          <w:tcPr>
            <w:tcW w:w="1890" w:type="dxa"/>
            <w:tcBorders>
              <w:top w:val="nil"/>
              <w:left w:val="nil"/>
              <w:bottom w:val="nil"/>
              <w:right w:val="nil"/>
            </w:tcBorders>
            <w:tcMar>
              <w:top w:w="40" w:type="dxa"/>
              <w:left w:w="50" w:type="dxa"/>
              <w:bottom w:w="40" w:type="dxa"/>
              <w:right w:w="50" w:type="dxa"/>
            </w:tcMar>
            <w:vAlign w:val="center"/>
          </w:tcPr>
          <w:p w14:paraId="2A60C8CF">
            <w:pPr>
              <w:spacing w:before="0" w:after="0"/>
              <w:jc w:val="center"/>
            </w:pPr>
            <w:r>
              <w:rPr>
                <w:rFonts w:ascii="Times New Roman" w:hAnsi="Times New Roman"/>
                <w:b w:val="0"/>
                <w:sz w:val="16"/>
              </w:rPr>
              <w:t>SMD</w:t>
            </w:r>
          </w:p>
        </w:tc>
        <w:tc>
          <w:tcPr>
            <w:tcW w:w="2424" w:type="dxa"/>
            <w:tcBorders>
              <w:top w:val="nil"/>
              <w:left w:val="nil"/>
              <w:bottom w:val="nil"/>
              <w:right w:val="nil"/>
            </w:tcBorders>
            <w:tcMar>
              <w:top w:w="40" w:type="dxa"/>
              <w:left w:w="50" w:type="dxa"/>
              <w:bottom w:w="40" w:type="dxa"/>
              <w:right w:w="50" w:type="dxa"/>
            </w:tcMar>
            <w:vAlign w:val="center"/>
          </w:tcPr>
          <w:p w14:paraId="7E747218">
            <w:pPr>
              <w:spacing w:before="0" w:after="0"/>
              <w:jc w:val="center"/>
            </w:pPr>
            <w:r>
              <w:rPr>
                <w:rFonts w:ascii="Times New Roman" w:hAnsi="Times New Roman"/>
                <w:b w:val="0"/>
                <w:sz w:val="16"/>
              </w:rPr>
              <w:t>-1.82</w:t>
            </w:r>
          </w:p>
        </w:tc>
        <w:tc>
          <w:tcPr>
            <w:tcW w:w="2424" w:type="dxa"/>
            <w:tcBorders>
              <w:top w:val="nil"/>
              <w:left w:val="nil"/>
              <w:bottom w:val="nil"/>
              <w:right w:val="nil"/>
            </w:tcBorders>
            <w:tcMar>
              <w:top w:w="40" w:type="dxa"/>
              <w:left w:w="50" w:type="dxa"/>
              <w:bottom w:w="40" w:type="dxa"/>
              <w:right w:w="50" w:type="dxa"/>
            </w:tcMar>
            <w:vAlign w:val="center"/>
          </w:tcPr>
          <w:p w14:paraId="74E48C13">
            <w:pPr>
              <w:spacing w:before="0" w:after="0"/>
              <w:jc w:val="center"/>
            </w:pPr>
            <w:r>
              <w:rPr>
                <w:rFonts w:ascii="Times New Roman" w:hAnsi="Times New Roman"/>
                <w:b w:val="0"/>
                <w:sz w:val="16"/>
              </w:rPr>
              <w:t>-2.96 to -0.69</w:t>
            </w:r>
          </w:p>
        </w:tc>
        <w:tc>
          <w:tcPr>
            <w:tcW w:w="2424" w:type="dxa"/>
            <w:tcBorders>
              <w:top w:val="nil"/>
              <w:left w:val="nil"/>
              <w:bottom w:val="nil"/>
              <w:right w:val="nil"/>
            </w:tcBorders>
            <w:tcMar>
              <w:top w:w="40" w:type="dxa"/>
              <w:left w:w="50" w:type="dxa"/>
              <w:bottom w:w="40" w:type="dxa"/>
              <w:right w:w="50" w:type="dxa"/>
            </w:tcMar>
            <w:vAlign w:val="center"/>
          </w:tcPr>
          <w:p w14:paraId="5C9AE667">
            <w:pPr>
              <w:spacing w:before="0" w:after="0"/>
              <w:jc w:val="center"/>
            </w:pPr>
            <w:r>
              <w:rPr>
                <w:rFonts w:ascii="Times New Roman" w:hAnsi="Times New Roman"/>
                <w:b w:val="0"/>
                <w:sz w:val="16"/>
              </w:rPr>
              <w:t>0.002</w:t>
            </w:r>
          </w:p>
        </w:tc>
      </w:tr>
      <w:tr w14:paraId="3EA18C90">
        <w:tblPrEx>
          <w:tblCellMar>
            <w:top w:w="0" w:type="dxa"/>
            <w:left w:w="108" w:type="dxa"/>
            <w:bottom w:w="0" w:type="dxa"/>
            <w:right w:w="108" w:type="dxa"/>
          </w:tblCellMar>
        </w:tblPrEx>
        <w:trPr>
          <w:cantSplit/>
          <w:jc w:val="center"/>
        </w:trPr>
        <w:tc>
          <w:tcPr>
            <w:tcW w:w="2424" w:type="dxa"/>
            <w:tcBorders>
              <w:top w:val="nil"/>
              <w:left w:val="nil"/>
              <w:bottom w:val="nil"/>
              <w:right w:val="nil"/>
            </w:tcBorders>
            <w:tcMar>
              <w:top w:w="40" w:type="dxa"/>
              <w:left w:w="50" w:type="dxa"/>
              <w:bottom w:w="40" w:type="dxa"/>
              <w:right w:w="50" w:type="dxa"/>
            </w:tcMar>
            <w:vAlign w:val="center"/>
          </w:tcPr>
          <w:p w14:paraId="5461C69D">
            <w:pPr>
              <w:spacing w:before="0" w:after="0"/>
              <w:jc w:val="left"/>
            </w:pPr>
            <w:r>
              <w:rPr>
                <w:rFonts w:ascii="Times New Roman" w:hAnsi="Times New Roman"/>
                <w:b w:val="0"/>
                <w:sz w:val="16"/>
              </w:rPr>
              <w:t>Continuous NSSI/self-harm</w:t>
            </w:r>
          </w:p>
        </w:tc>
        <w:tc>
          <w:tcPr>
            <w:tcW w:w="2958" w:type="dxa"/>
            <w:tcBorders>
              <w:top w:val="nil"/>
              <w:left w:val="nil"/>
              <w:bottom w:val="nil"/>
              <w:right w:val="nil"/>
            </w:tcBorders>
            <w:tcMar>
              <w:top w:w="40" w:type="dxa"/>
              <w:left w:w="50" w:type="dxa"/>
              <w:bottom w:w="40" w:type="dxa"/>
              <w:right w:w="50" w:type="dxa"/>
            </w:tcMar>
            <w:vAlign w:val="center"/>
          </w:tcPr>
          <w:p w14:paraId="393B858F">
            <w:pPr>
              <w:spacing w:before="0" w:after="0"/>
              <w:jc w:val="left"/>
            </w:pPr>
            <w:r>
              <w:rPr>
                <w:rFonts w:ascii="Times New Roman" w:hAnsi="Times New Roman"/>
                <w:b w:val="0"/>
                <w:sz w:val="16"/>
              </w:rPr>
              <w:t>CBT-based/third-wave CBT</w:t>
            </w:r>
          </w:p>
        </w:tc>
        <w:tc>
          <w:tcPr>
            <w:tcW w:w="1890" w:type="dxa"/>
            <w:tcBorders>
              <w:top w:val="nil"/>
              <w:left w:val="nil"/>
              <w:bottom w:val="nil"/>
              <w:right w:val="nil"/>
            </w:tcBorders>
            <w:tcMar>
              <w:top w:w="40" w:type="dxa"/>
              <w:left w:w="50" w:type="dxa"/>
              <w:bottom w:w="40" w:type="dxa"/>
              <w:right w:w="50" w:type="dxa"/>
            </w:tcMar>
            <w:vAlign w:val="center"/>
          </w:tcPr>
          <w:p w14:paraId="58108ED4">
            <w:pPr>
              <w:spacing w:before="0" w:after="0"/>
              <w:jc w:val="center"/>
            </w:pPr>
            <w:r>
              <w:rPr>
                <w:rFonts w:ascii="Times New Roman" w:hAnsi="Times New Roman"/>
                <w:b w:val="0"/>
                <w:sz w:val="16"/>
              </w:rPr>
              <w:t>SMD</w:t>
            </w:r>
          </w:p>
        </w:tc>
        <w:tc>
          <w:tcPr>
            <w:tcW w:w="2424" w:type="dxa"/>
            <w:tcBorders>
              <w:top w:val="nil"/>
              <w:left w:val="nil"/>
              <w:bottom w:val="nil"/>
              <w:right w:val="nil"/>
            </w:tcBorders>
            <w:tcMar>
              <w:top w:w="40" w:type="dxa"/>
              <w:left w:w="50" w:type="dxa"/>
              <w:bottom w:w="40" w:type="dxa"/>
              <w:right w:w="50" w:type="dxa"/>
            </w:tcMar>
            <w:vAlign w:val="center"/>
          </w:tcPr>
          <w:p w14:paraId="46DB16C4">
            <w:pPr>
              <w:spacing w:before="0" w:after="0"/>
              <w:jc w:val="center"/>
            </w:pPr>
            <w:r>
              <w:rPr>
                <w:rFonts w:ascii="Times New Roman" w:hAnsi="Times New Roman"/>
                <w:b w:val="0"/>
                <w:sz w:val="16"/>
              </w:rPr>
              <w:t>-1.29</w:t>
            </w:r>
          </w:p>
        </w:tc>
        <w:tc>
          <w:tcPr>
            <w:tcW w:w="2424" w:type="dxa"/>
            <w:tcBorders>
              <w:top w:val="nil"/>
              <w:left w:val="nil"/>
              <w:bottom w:val="nil"/>
              <w:right w:val="nil"/>
            </w:tcBorders>
            <w:tcMar>
              <w:top w:w="40" w:type="dxa"/>
              <w:left w:w="50" w:type="dxa"/>
              <w:bottom w:w="40" w:type="dxa"/>
              <w:right w:w="50" w:type="dxa"/>
            </w:tcMar>
            <w:vAlign w:val="center"/>
          </w:tcPr>
          <w:p w14:paraId="6EA1B5C3">
            <w:pPr>
              <w:spacing w:before="0" w:after="0"/>
              <w:jc w:val="center"/>
            </w:pPr>
            <w:r>
              <w:rPr>
                <w:rFonts w:ascii="Times New Roman" w:hAnsi="Times New Roman"/>
                <w:b w:val="0"/>
                <w:sz w:val="16"/>
              </w:rPr>
              <w:t>-2.43 to -0.16</w:t>
            </w:r>
          </w:p>
        </w:tc>
        <w:tc>
          <w:tcPr>
            <w:tcW w:w="2424" w:type="dxa"/>
            <w:tcBorders>
              <w:top w:val="nil"/>
              <w:left w:val="nil"/>
              <w:bottom w:val="nil"/>
              <w:right w:val="nil"/>
            </w:tcBorders>
            <w:tcMar>
              <w:top w:w="40" w:type="dxa"/>
              <w:left w:w="50" w:type="dxa"/>
              <w:bottom w:w="40" w:type="dxa"/>
              <w:right w:w="50" w:type="dxa"/>
            </w:tcMar>
            <w:vAlign w:val="center"/>
          </w:tcPr>
          <w:p w14:paraId="3C911830">
            <w:pPr>
              <w:spacing w:before="0" w:after="0"/>
              <w:jc w:val="center"/>
            </w:pPr>
            <w:r>
              <w:rPr>
                <w:rFonts w:ascii="Times New Roman" w:hAnsi="Times New Roman"/>
                <w:b w:val="0"/>
                <w:sz w:val="16"/>
              </w:rPr>
              <w:t>0.025</w:t>
            </w:r>
          </w:p>
        </w:tc>
      </w:tr>
      <w:tr w14:paraId="1F3824B6">
        <w:tblPrEx>
          <w:tblCellMar>
            <w:top w:w="0" w:type="dxa"/>
            <w:left w:w="108" w:type="dxa"/>
            <w:bottom w:w="0" w:type="dxa"/>
            <w:right w:w="108" w:type="dxa"/>
          </w:tblCellMar>
        </w:tblPrEx>
        <w:trPr>
          <w:cantSplit/>
          <w:jc w:val="center"/>
        </w:trPr>
        <w:tc>
          <w:tcPr>
            <w:tcW w:w="2424" w:type="dxa"/>
            <w:tcBorders>
              <w:top w:val="nil"/>
              <w:left w:val="nil"/>
              <w:bottom w:val="nil"/>
              <w:right w:val="nil"/>
            </w:tcBorders>
            <w:tcMar>
              <w:top w:w="40" w:type="dxa"/>
              <w:left w:w="50" w:type="dxa"/>
              <w:bottom w:w="40" w:type="dxa"/>
              <w:right w:w="50" w:type="dxa"/>
            </w:tcMar>
            <w:vAlign w:val="center"/>
          </w:tcPr>
          <w:p w14:paraId="31198025">
            <w:pPr>
              <w:spacing w:before="0" w:after="0"/>
              <w:jc w:val="left"/>
            </w:pPr>
            <w:r>
              <w:rPr>
                <w:rFonts w:ascii="Times New Roman" w:hAnsi="Times New Roman"/>
                <w:b w:val="0"/>
                <w:sz w:val="16"/>
              </w:rPr>
              <w:t>Continuous NSSI/self-harm</w:t>
            </w:r>
          </w:p>
        </w:tc>
        <w:tc>
          <w:tcPr>
            <w:tcW w:w="2958" w:type="dxa"/>
            <w:tcBorders>
              <w:top w:val="nil"/>
              <w:left w:val="nil"/>
              <w:bottom w:val="nil"/>
              <w:right w:val="nil"/>
            </w:tcBorders>
            <w:tcMar>
              <w:top w:w="40" w:type="dxa"/>
              <w:left w:w="50" w:type="dxa"/>
              <w:bottom w:w="40" w:type="dxa"/>
              <w:right w:w="50" w:type="dxa"/>
            </w:tcMar>
            <w:vAlign w:val="center"/>
          </w:tcPr>
          <w:p w14:paraId="776E10C8">
            <w:pPr>
              <w:spacing w:before="0" w:after="0"/>
              <w:jc w:val="left"/>
            </w:pPr>
            <w:r>
              <w:rPr>
                <w:rFonts w:ascii="Times New Roman" w:hAnsi="Times New Roman"/>
                <w:b w:val="0"/>
                <w:sz w:val="16"/>
              </w:rPr>
              <w:t>General psychosocial/nursing intervention</w:t>
            </w:r>
          </w:p>
        </w:tc>
        <w:tc>
          <w:tcPr>
            <w:tcW w:w="1890" w:type="dxa"/>
            <w:tcBorders>
              <w:top w:val="nil"/>
              <w:left w:val="nil"/>
              <w:bottom w:val="nil"/>
              <w:right w:val="nil"/>
            </w:tcBorders>
            <w:tcMar>
              <w:top w:w="40" w:type="dxa"/>
              <w:left w:w="50" w:type="dxa"/>
              <w:bottom w:w="40" w:type="dxa"/>
              <w:right w:w="50" w:type="dxa"/>
            </w:tcMar>
            <w:vAlign w:val="center"/>
          </w:tcPr>
          <w:p w14:paraId="0EA7C772">
            <w:pPr>
              <w:spacing w:before="0" w:after="0"/>
              <w:jc w:val="center"/>
            </w:pPr>
            <w:r>
              <w:rPr>
                <w:rFonts w:ascii="Times New Roman" w:hAnsi="Times New Roman"/>
                <w:b w:val="0"/>
                <w:sz w:val="16"/>
              </w:rPr>
              <w:t>SMD</w:t>
            </w:r>
          </w:p>
        </w:tc>
        <w:tc>
          <w:tcPr>
            <w:tcW w:w="2424" w:type="dxa"/>
            <w:tcBorders>
              <w:top w:val="nil"/>
              <w:left w:val="nil"/>
              <w:bottom w:val="nil"/>
              <w:right w:val="nil"/>
            </w:tcBorders>
            <w:tcMar>
              <w:top w:w="40" w:type="dxa"/>
              <w:left w:w="50" w:type="dxa"/>
              <w:bottom w:w="40" w:type="dxa"/>
              <w:right w:w="50" w:type="dxa"/>
            </w:tcMar>
            <w:vAlign w:val="center"/>
          </w:tcPr>
          <w:p w14:paraId="16DCA423">
            <w:pPr>
              <w:spacing w:before="0" w:after="0"/>
              <w:jc w:val="center"/>
            </w:pPr>
            <w:r>
              <w:rPr>
                <w:rFonts w:ascii="Times New Roman" w:hAnsi="Times New Roman"/>
                <w:b w:val="0"/>
                <w:sz w:val="16"/>
              </w:rPr>
              <w:t>-1.64</w:t>
            </w:r>
          </w:p>
        </w:tc>
        <w:tc>
          <w:tcPr>
            <w:tcW w:w="2424" w:type="dxa"/>
            <w:tcBorders>
              <w:top w:val="nil"/>
              <w:left w:val="nil"/>
              <w:bottom w:val="nil"/>
              <w:right w:val="nil"/>
            </w:tcBorders>
            <w:tcMar>
              <w:top w:w="40" w:type="dxa"/>
              <w:left w:w="50" w:type="dxa"/>
              <w:bottom w:w="40" w:type="dxa"/>
              <w:right w:w="50" w:type="dxa"/>
            </w:tcMar>
            <w:vAlign w:val="center"/>
          </w:tcPr>
          <w:p w14:paraId="70A246A4">
            <w:pPr>
              <w:spacing w:before="0" w:after="0"/>
              <w:jc w:val="center"/>
            </w:pPr>
            <w:r>
              <w:rPr>
                <w:rFonts w:ascii="Times New Roman" w:hAnsi="Times New Roman"/>
                <w:b w:val="0"/>
                <w:sz w:val="16"/>
              </w:rPr>
              <w:t>-2.78 to -0.51</w:t>
            </w:r>
          </w:p>
        </w:tc>
        <w:tc>
          <w:tcPr>
            <w:tcW w:w="2424" w:type="dxa"/>
            <w:tcBorders>
              <w:top w:val="nil"/>
              <w:left w:val="nil"/>
              <w:bottom w:val="nil"/>
              <w:right w:val="nil"/>
            </w:tcBorders>
            <w:tcMar>
              <w:top w:w="40" w:type="dxa"/>
              <w:left w:w="50" w:type="dxa"/>
              <w:bottom w:w="40" w:type="dxa"/>
              <w:right w:w="50" w:type="dxa"/>
            </w:tcMar>
            <w:vAlign w:val="center"/>
          </w:tcPr>
          <w:p w14:paraId="49EB9444">
            <w:pPr>
              <w:spacing w:before="0" w:after="0"/>
              <w:jc w:val="center"/>
            </w:pPr>
            <w:r>
              <w:rPr>
                <w:rFonts w:ascii="Times New Roman" w:hAnsi="Times New Roman"/>
                <w:b w:val="0"/>
                <w:sz w:val="16"/>
              </w:rPr>
              <w:t>0.005</w:t>
            </w:r>
          </w:p>
        </w:tc>
      </w:tr>
      <w:tr w14:paraId="40B9FC06">
        <w:tblPrEx>
          <w:tblCellMar>
            <w:top w:w="0" w:type="dxa"/>
            <w:left w:w="108" w:type="dxa"/>
            <w:bottom w:w="0" w:type="dxa"/>
            <w:right w:w="108" w:type="dxa"/>
          </w:tblCellMar>
        </w:tblPrEx>
        <w:trPr>
          <w:cantSplit/>
          <w:jc w:val="center"/>
        </w:trPr>
        <w:tc>
          <w:tcPr>
            <w:tcW w:w="2424" w:type="dxa"/>
            <w:tcBorders>
              <w:top w:val="nil"/>
              <w:left w:val="nil"/>
              <w:bottom w:val="nil"/>
              <w:right w:val="nil"/>
            </w:tcBorders>
            <w:tcMar>
              <w:top w:w="40" w:type="dxa"/>
              <w:left w:w="50" w:type="dxa"/>
              <w:bottom w:w="40" w:type="dxa"/>
              <w:right w:w="50" w:type="dxa"/>
            </w:tcMar>
            <w:vAlign w:val="center"/>
          </w:tcPr>
          <w:p w14:paraId="6E70E9C7">
            <w:pPr>
              <w:spacing w:before="0" w:after="0"/>
              <w:jc w:val="left"/>
            </w:pPr>
            <w:r>
              <w:rPr>
                <w:rFonts w:ascii="Times New Roman" w:hAnsi="Times New Roman"/>
                <w:b w:val="0"/>
                <w:sz w:val="16"/>
              </w:rPr>
              <w:t>Continuous NSSI/self-harm</w:t>
            </w:r>
          </w:p>
        </w:tc>
        <w:tc>
          <w:tcPr>
            <w:tcW w:w="2958" w:type="dxa"/>
            <w:tcBorders>
              <w:top w:val="nil"/>
              <w:left w:val="nil"/>
              <w:bottom w:val="nil"/>
              <w:right w:val="nil"/>
            </w:tcBorders>
            <w:tcMar>
              <w:top w:w="40" w:type="dxa"/>
              <w:left w:w="50" w:type="dxa"/>
              <w:bottom w:w="40" w:type="dxa"/>
              <w:right w:w="50" w:type="dxa"/>
            </w:tcMar>
            <w:vAlign w:val="center"/>
          </w:tcPr>
          <w:p w14:paraId="172D243D">
            <w:pPr>
              <w:spacing w:before="0" w:after="0"/>
              <w:jc w:val="left"/>
            </w:pPr>
            <w:r>
              <w:rPr>
                <w:rFonts w:ascii="Times New Roman" w:hAnsi="Times New Roman"/>
                <w:b w:val="0"/>
                <w:sz w:val="16"/>
              </w:rPr>
              <w:t>Narrative/expressive therapy</w:t>
            </w:r>
          </w:p>
        </w:tc>
        <w:tc>
          <w:tcPr>
            <w:tcW w:w="1890" w:type="dxa"/>
            <w:tcBorders>
              <w:top w:val="nil"/>
              <w:left w:val="nil"/>
              <w:bottom w:val="nil"/>
              <w:right w:val="nil"/>
            </w:tcBorders>
            <w:tcMar>
              <w:top w:w="40" w:type="dxa"/>
              <w:left w:w="50" w:type="dxa"/>
              <w:bottom w:w="40" w:type="dxa"/>
              <w:right w:w="50" w:type="dxa"/>
            </w:tcMar>
            <w:vAlign w:val="center"/>
          </w:tcPr>
          <w:p w14:paraId="54439A0A">
            <w:pPr>
              <w:spacing w:before="0" w:after="0"/>
              <w:jc w:val="center"/>
            </w:pPr>
            <w:r>
              <w:rPr>
                <w:rFonts w:ascii="Times New Roman" w:hAnsi="Times New Roman"/>
                <w:b w:val="0"/>
                <w:sz w:val="16"/>
              </w:rPr>
              <w:t>SMD</w:t>
            </w:r>
          </w:p>
        </w:tc>
        <w:tc>
          <w:tcPr>
            <w:tcW w:w="2424" w:type="dxa"/>
            <w:tcBorders>
              <w:top w:val="nil"/>
              <w:left w:val="nil"/>
              <w:bottom w:val="nil"/>
              <w:right w:val="nil"/>
            </w:tcBorders>
            <w:tcMar>
              <w:top w:w="40" w:type="dxa"/>
              <w:left w:w="50" w:type="dxa"/>
              <w:bottom w:w="40" w:type="dxa"/>
              <w:right w:w="50" w:type="dxa"/>
            </w:tcMar>
            <w:vAlign w:val="center"/>
          </w:tcPr>
          <w:p w14:paraId="7872B2A1">
            <w:pPr>
              <w:spacing w:before="0" w:after="0"/>
              <w:jc w:val="center"/>
            </w:pPr>
            <w:r>
              <w:rPr>
                <w:rFonts w:ascii="Times New Roman" w:hAnsi="Times New Roman"/>
                <w:b w:val="0"/>
                <w:sz w:val="16"/>
              </w:rPr>
              <w:t>-0.74</w:t>
            </w:r>
          </w:p>
        </w:tc>
        <w:tc>
          <w:tcPr>
            <w:tcW w:w="2424" w:type="dxa"/>
            <w:tcBorders>
              <w:top w:val="nil"/>
              <w:left w:val="nil"/>
              <w:bottom w:val="nil"/>
              <w:right w:val="nil"/>
            </w:tcBorders>
            <w:tcMar>
              <w:top w:w="40" w:type="dxa"/>
              <w:left w:w="50" w:type="dxa"/>
              <w:bottom w:w="40" w:type="dxa"/>
              <w:right w:w="50" w:type="dxa"/>
            </w:tcMar>
            <w:vAlign w:val="center"/>
          </w:tcPr>
          <w:p w14:paraId="68273555">
            <w:pPr>
              <w:spacing w:before="0" w:after="0"/>
              <w:jc w:val="center"/>
            </w:pPr>
            <w:r>
              <w:rPr>
                <w:rFonts w:ascii="Times New Roman" w:hAnsi="Times New Roman"/>
                <w:b w:val="0"/>
                <w:sz w:val="16"/>
              </w:rPr>
              <w:t>-2.72 to 1.25</w:t>
            </w:r>
          </w:p>
        </w:tc>
        <w:tc>
          <w:tcPr>
            <w:tcW w:w="2424" w:type="dxa"/>
            <w:tcBorders>
              <w:top w:val="nil"/>
              <w:left w:val="nil"/>
              <w:bottom w:val="nil"/>
              <w:right w:val="nil"/>
            </w:tcBorders>
            <w:tcMar>
              <w:top w:w="40" w:type="dxa"/>
              <w:left w:w="50" w:type="dxa"/>
              <w:bottom w:w="40" w:type="dxa"/>
              <w:right w:w="50" w:type="dxa"/>
            </w:tcMar>
            <w:vAlign w:val="center"/>
          </w:tcPr>
          <w:p w14:paraId="5A872D1A">
            <w:pPr>
              <w:spacing w:before="0" w:after="0"/>
              <w:jc w:val="center"/>
            </w:pPr>
            <w:r>
              <w:rPr>
                <w:rFonts w:ascii="Times New Roman" w:hAnsi="Times New Roman"/>
                <w:b w:val="0"/>
                <w:sz w:val="16"/>
              </w:rPr>
              <w:t>0.468</w:t>
            </w:r>
          </w:p>
        </w:tc>
      </w:tr>
      <w:tr w14:paraId="2470C232">
        <w:tblPrEx>
          <w:tblCellMar>
            <w:top w:w="0" w:type="dxa"/>
            <w:left w:w="108" w:type="dxa"/>
            <w:bottom w:w="0" w:type="dxa"/>
            <w:right w:w="108" w:type="dxa"/>
          </w:tblCellMar>
        </w:tblPrEx>
        <w:trPr>
          <w:cantSplit/>
          <w:jc w:val="center"/>
        </w:trPr>
        <w:tc>
          <w:tcPr>
            <w:tcW w:w="2424" w:type="dxa"/>
            <w:tcBorders>
              <w:top w:val="nil"/>
              <w:left w:val="nil"/>
              <w:bottom w:val="nil"/>
              <w:right w:val="nil"/>
            </w:tcBorders>
            <w:tcMar>
              <w:top w:w="40" w:type="dxa"/>
              <w:left w:w="50" w:type="dxa"/>
              <w:bottom w:w="40" w:type="dxa"/>
              <w:right w:w="50" w:type="dxa"/>
            </w:tcMar>
            <w:vAlign w:val="center"/>
          </w:tcPr>
          <w:p w14:paraId="6A7E654D">
            <w:pPr>
              <w:spacing w:before="0" w:after="0"/>
              <w:jc w:val="left"/>
            </w:pPr>
            <w:r>
              <w:rPr>
                <w:rFonts w:ascii="Times New Roman" w:hAnsi="Times New Roman"/>
                <w:b w:val="0"/>
                <w:sz w:val="16"/>
              </w:rPr>
              <w:t>Continuous NSSI/self-harm</w:t>
            </w:r>
          </w:p>
        </w:tc>
        <w:tc>
          <w:tcPr>
            <w:tcW w:w="2958" w:type="dxa"/>
            <w:tcBorders>
              <w:top w:val="nil"/>
              <w:left w:val="nil"/>
              <w:bottom w:val="nil"/>
              <w:right w:val="nil"/>
            </w:tcBorders>
            <w:tcMar>
              <w:top w:w="40" w:type="dxa"/>
              <w:left w:w="50" w:type="dxa"/>
              <w:bottom w:w="40" w:type="dxa"/>
              <w:right w:w="50" w:type="dxa"/>
            </w:tcMar>
            <w:vAlign w:val="center"/>
          </w:tcPr>
          <w:p w14:paraId="7D50191C">
            <w:pPr>
              <w:spacing w:before="0" w:after="0"/>
              <w:jc w:val="left"/>
            </w:pPr>
            <w:r>
              <w:rPr>
                <w:rFonts w:ascii="Times New Roman" w:hAnsi="Times New Roman"/>
                <w:b w:val="0"/>
                <w:sz w:val="16"/>
              </w:rPr>
              <w:t>Family-based interpersonal psychotherapy</w:t>
            </w:r>
          </w:p>
        </w:tc>
        <w:tc>
          <w:tcPr>
            <w:tcW w:w="1890" w:type="dxa"/>
            <w:tcBorders>
              <w:top w:val="nil"/>
              <w:left w:val="nil"/>
              <w:bottom w:val="nil"/>
              <w:right w:val="nil"/>
            </w:tcBorders>
            <w:tcMar>
              <w:top w:w="40" w:type="dxa"/>
              <w:left w:w="50" w:type="dxa"/>
              <w:bottom w:w="40" w:type="dxa"/>
              <w:right w:w="50" w:type="dxa"/>
            </w:tcMar>
            <w:vAlign w:val="center"/>
          </w:tcPr>
          <w:p w14:paraId="5C26287C">
            <w:pPr>
              <w:spacing w:before="0" w:after="0"/>
              <w:jc w:val="center"/>
            </w:pPr>
            <w:r>
              <w:rPr>
                <w:rFonts w:ascii="Times New Roman" w:hAnsi="Times New Roman"/>
                <w:b w:val="0"/>
                <w:sz w:val="16"/>
              </w:rPr>
              <w:t>SMD</w:t>
            </w:r>
          </w:p>
        </w:tc>
        <w:tc>
          <w:tcPr>
            <w:tcW w:w="2424" w:type="dxa"/>
            <w:tcBorders>
              <w:top w:val="nil"/>
              <w:left w:val="nil"/>
              <w:bottom w:val="nil"/>
              <w:right w:val="nil"/>
            </w:tcBorders>
            <w:tcMar>
              <w:top w:w="40" w:type="dxa"/>
              <w:left w:w="50" w:type="dxa"/>
              <w:bottom w:w="40" w:type="dxa"/>
              <w:right w:w="50" w:type="dxa"/>
            </w:tcMar>
            <w:vAlign w:val="center"/>
          </w:tcPr>
          <w:p w14:paraId="67E8D8CD">
            <w:pPr>
              <w:spacing w:before="0" w:after="0"/>
              <w:jc w:val="center"/>
            </w:pPr>
            <w:r>
              <w:rPr>
                <w:rFonts w:ascii="Times New Roman" w:hAnsi="Times New Roman"/>
                <w:b w:val="0"/>
                <w:sz w:val="16"/>
              </w:rPr>
              <w:t>Not estimable</w:t>
            </w:r>
          </w:p>
        </w:tc>
        <w:tc>
          <w:tcPr>
            <w:tcW w:w="2424" w:type="dxa"/>
            <w:tcBorders>
              <w:top w:val="nil"/>
              <w:left w:val="nil"/>
              <w:bottom w:val="nil"/>
              <w:right w:val="nil"/>
            </w:tcBorders>
            <w:tcMar>
              <w:top w:w="40" w:type="dxa"/>
              <w:left w:w="50" w:type="dxa"/>
              <w:bottom w:w="40" w:type="dxa"/>
              <w:right w:w="50" w:type="dxa"/>
            </w:tcMar>
            <w:vAlign w:val="center"/>
          </w:tcPr>
          <w:p w14:paraId="3F1C325D">
            <w:pPr>
              <w:spacing w:before="0" w:after="0"/>
              <w:jc w:val="center"/>
            </w:pPr>
            <w:r>
              <w:rPr>
                <w:rFonts w:ascii="Times New Roman" w:hAnsi="Times New Roman"/>
                <w:b w:val="0"/>
                <w:sz w:val="16"/>
              </w:rPr>
              <w:t>-</w:t>
            </w:r>
          </w:p>
        </w:tc>
        <w:tc>
          <w:tcPr>
            <w:tcW w:w="2424" w:type="dxa"/>
            <w:tcBorders>
              <w:top w:val="nil"/>
              <w:left w:val="nil"/>
              <w:bottom w:val="nil"/>
              <w:right w:val="nil"/>
            </w:tcBorders>
            <w:tcMar>
              <w:top w:w="40" w:type="dxa"/>
              <w:left w:w="50" w:type="dxa"/>
              <w:bottom w:w="40" w:type="dxa"/>
              <w:right w:w="50" w:type="dxa"/>
            </w:tcMar>
            <w:vAlign w:val="center"/>
          </w:tcPr>
          <w:p w14:paraId="7B058E69">
            <w:pPr>
              <w:spacing w:before="0" w:after="0"/>
              <w:jc w:val="center"/>
            </w:pPr>
            <w:r>
              <w:rPr>
                <w:rFonts w:ascii="Times New Roman" w:hAnsi="Times New Roman"/>
                <w:b w:val="0"/>
                <w:sz w:val="16"/>
              </w:rPr>
              <w:t>-</w:t>
            </w:r>
          </w:p>
        </w:tc>
      </w:tr>
      <w:tr w14:paraId="665DD7D5">
        <w:tblPrEx>
          <w:tblCellMar>
            <w:top w:w="0" w:type="dxa"/>
            <w:left w:w="108" w:type="dxa"/>
            <w:bottom w:w="0" w:type="dxa"/>
            <w:right w:w="108" w:type="dxa"/>
          </w:tblCellMar>
        </w:tblPrEx>
        <w:trPr>
          <w:cantSplit/>
          <w:jc w:val="center"/>
        </w:trPr>
        <w:tc>
          <w:tcPr>
            <w:tcW w:w="2424" w:type="dxa"/>
            <w:tcBorders>
              <w:top w:val="nil"/>
              <w:left w:val="nil"/>
              <w:bottom w:val="single" w:color="auto" w:sz="8" w:space="0"/>
              <w:right w:val="nil"/>
            </w:tcBorders>
            <w:tcMar>
              <w:top w:w="40" w:type="dxa"/>
              <w:left w:w="50" w:type="dxa"/>
              <w:bottom w:w="40" w:type="dxa"/>
              <w:right w:w="50" w:type="dxa"/>
            </w:tcMar>
            <w:vAlign w:val="center"/>
          </w:tcPr>
          <w:p w14:paraId="3B3DDB9E">
            <w:pPr>
              <w:spacing w:before="0" w:after="0"/>
              <w:jc w:val="left"/>
            </w:pPr>
            <w:r>
              <w:rPr>
                <w:rFonts w:ascii="Times New Roman" w:hAnsi="Times New Roman"/>
                <w:b w:val="0"/>
                <w:sz w:val="16"/>
              </w:rPr>
              <w:t>Continuous NSSI/self-harm</w:t>
            </w:r>
          </w:p>
        </w:tc>
        <w:tc>
          <w:tcPr>
            <w:tcW w:w="2958" w:type="dxa"/>
            <w:tcBorders>
              <w:top w:val="nil"/>
              <w:left w:val="nil"/>
              <w:bottom w:val="single" w:color="auto" w:sz="8" w:space="0"/>
              <w:right w:val="nil"/>
            </w:tcBorders>
            <w:tcMar>
              <w:top w:w="40" w:type="dxa"/>
              <w:left w:w="50" w:type="dxa"/>
              <w:bottom w:w="40" w:type="dxa"/>
              <w:right w:w="50" w:type="dxa"/>
            </w:tcMar>
            <w:vAlign w:val="center"/>
          </w:tcPr>
          <w:p w14:paraId="16C5AD14">
            <w:pPr>
              <w:spacing w:before="0" w:after="0"/>
              <w:jc w:val="left"/>
            </w:pPr>
            <w:r>
              <w:rPr>
                <w:rFonts w:ascii="Times New Roman" w:hAnsi="Times New Roman"/>
                <w:b w:val="0"/>
                <w:sz w:val="16"/>
              </w:rPr>
              <w:t>Group interpersonal psychotherapy</w:t>
            </w:r>
          </w:p>
        </w:tc>
        <w:tc>
          <w:tcPr>
            <w:tcW w:w="1890" w:type="dxa"/>
            <w:tcBorders>
              <w:top w:val="nil"/>
              <w:left w:val="nil"/>
              <w:bottom w:val="single" w:color="auto" w:sz="8" w:space="0"/>
              <w:right w:val="nil"/>
            </w:tcBorders>
            <w:tcMar>
              <w:top w:w="40" w:type="dxa"/>
              <w:left w:w="50" w:type="dxa"/>
              <w:bottom w:w="40" w:type="dxa"/>
              <w:right w:w="50" w:type="dxa"/>
            </w:tcMar>
            <w:vAlign w:val="center"/>
          </w:tcPr>
          <w:p w14:paraId="0C563087">
            <w:pPr>
              <w:spacing w:before="0" w:after="0"/>
              <w:jc w:val="center"/>
            </w:pPr>
            <w:r>
              <w:rPr>
                <w:rFonts w:ascii="Times New Roman" w:hAnsi="Times New Roman"/>
                <w:b w:val="0"/>
                <w:sz w:val="16"/>
              </w:rPr>
              <w:t>SMD</w:t>
            </w:r>
          </w:p>
        </w:tc>
        <w:tc>
          <w:tcPr>
            <w:tcW w:w="2424" w:type="dxa"/>
            <w:tcBorders>
              <w:top w:val="nil"/>
              <w:left w:val="nil"/>
              <w:bottom w:val="single" w:color="auto" w:sz="8" w:space="0"/>
              <w:right w:val="nil"/>
            </w:tcBorders>
            <w:tcMar>
              <w:top w:w="40" w:type="dxa"/>
              <w:left w:w="50" w:type="dxa"/>
              <w:bottom w:w="40" w:type="dxa"/>
              <w:right w:w="50" w:type="dxa"/>
            </w:tcMar>
            <w:vAlign w:val="center"/>
          </w:tcPr>
          <w:p w14:paraId="6F47D4E1">
            <w:pPr>
              <w:spacing w:before="0" w:after="0"/>
              <w:jc w:val="center"/>
            </w:pPr>
            <w:r>
              <w:rPr>
                <w:rFonts w:ascii="Times New Roman" w:hAnsi="Times New Roman"/>
                <w:b w:val="0"/>
                <w:sz w:val="16"/>
              </w:rPr>
              <w:t>Not estimable</w:t>
            </w:r>
          </w:p>
        </w:tc>
        <w:tc>
          <w:tcPr>
            <w:tcW w:w="2424" w:type="dxa"/>
            <w:tcBorders>
              <w:top w:val="nil"/>
              <w:left w:val="nil"/>
              <w:bottom w:val="single" w:color="auto" w:sz="8" w:space="0"/>
              <w:right w:val="nil"/>
            </w:tcBorders>
            <w:tcMar>
              <w:top w:w="40" w:type="dxa"/>
              <w:left w:w="50" w:type="dxa"/>
              <w:bottom w:w="40" w:type="dxa"/>
              <w:right w:w="50" w:type="dxa"/>
            </w:tcMar>
            <w:vAlign w:val="center"/>
          </w:tcPr>
          <w:p w14:paraId="33F73B68">
            <w:pPr>
              <w:spacing w:before="0" w:after="0"/>
              <w:jc w:val="center"/>
            </w:pPr>
            <w:r>
              <w:rPr>
                <w:rFonts w:ascii="Times New Roman" w:hAnsi="Times New Roman"/>
                <w:b w:val="0"/>
                <w:sz w:val="16"/>
              </w:rPr>
              <w:t>-</w:t>
            </w:r>
          </w:p>
        </w:tc>
        <w:tc>
          <w:tcPr>
            <w:tcW w:w="2424" w:type="dxa"/>
            <w:tcBorders>
              <w:top w:val="nil"/>
              <w:left w:val="nil"/>
              <w:bottom w:val="single" w:color="auto" w:sz="8" w:space="0"/>
              <w:right w:val="nil"/>
            </w:tcBorders>
            <w:tcMar>
              <w:top w:w="40" w:type="dxa"/>
              <w:left w:w="50" w:type="dxa"/>
              <w:bottom w:w="40" w:type="dxa"/>
              <w:right w:w="50" w:type="dxa"/>
            </w:tcMar>
            <w:vAlign w:val="center"/>
          </w:tcPr>
          <w:p w14:paraId="3FBAA46E">
            <w:pPr>
              <w:spacing w:before="0" w:after="0"/>
              <w:jc w:val="center"/>
            </w:pPr>
            <w:r>
              <w:rPr>
                <w:rFonts w:ascii="Times New Roman" w:hAnsi="Times New Roman"/>
                <w:b w:val="0"/>
                <w:sz w:val="16"/>
              </w:rPr>
              <w:t>-</w:t>
            </w:r>
          </w:p>
        </w:tc>
      </w:tr>
    </w:tbl>
    <w:p w14:paraId="69C1E617">
      <w:pPr>
        <w:spacing w:before="80" w:after="0"/>
      </w:pPr>
      <w:r>
        <w:rPr>
          <w:rFonts w:ascii="Times New Roman" w:hAnsi="Times New Roman"/>
          <w:b/>
          <w:sz w:val="17"/>
        </w:rPr>
        <w:t xml:space="preserve">Note: </w:t>
      </w:r>
      <w:r>
        <w:rPr>
          <w:rFonts w:ascii="Times New Roman" w:hAnsi="Times New Roman"/>
          <w:sz w:val="17"/>
        </w:rPr>
        <w:t>For the dichotomous NSSI/self-harm outcome, exclusion of the high-risk school cluster trial left 9 studies and 10 treatment nodes. Because every remaining comparison design was represented by one study, the network was saturated and residual heterogeneity could not be estimated. For the continuous NSSI/self-harm outcome, exclusion of trials judged at high risk for that outcome left 10 studies and 5 connected treatment nodes; heterogeneity remained high (τ² = 0.9491, τ = 0.9742, I² = 94.9%). Family-based and group interpersonal psychotherapy were not estimable after exclusion because each node was supported only by a high-risk trial. OR, odds ratio; SMD, standardized mean difference; CBT, cognitive behavioral therapy; DBT-A, dialectical behavior therapy for adolescents.</w:t>
      </w:r>
    </w:p>
    <w:p w14:paraId="3C1B8C3C">
      <w:r>
        <w:br w:type="page"/>
      </w:r>
    </w:p>
    <w:p w14:paraId="0C884479">
      <w:pPr>
        <w:spacing w:before="160" w:after="80"/>
      </w:pPr>
      <w:r>
        <w:rPr>
          <w:rFonts w:ascii="Times New Roman" w:hAnsi="Times New Roman" w:eastAsia="Times New Roman"/>
          <w:b/>
          <w:color w:val="000000"/>
          <w:sz w:val="20"/>
        </w:rPr>
        <w:t>Supplementary Table S4. Study-level intervention-node coding for continuous NSSI/self-harm outcomes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2952"/>
        <w:gridCol w:w="2304"/>
        <w:gridCol w:w="3384"/>
      </w:tblGrid>
      <w:tr w14:paraId="4932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00" w:type="dxa"/>
            <w:tcBorders>
              <w:top w:val="single" w:color="auto" w:sz="8" w:space="0"/>
              <w:left w:val="nil"/>
              <w:bottom w:val="single" w:color="auto" w:sz="6" w:space="0"/>
              <w:right w:val="nil"/>
            </w:tcBorders>
            <w:tcMar>
              <w:top w:w="60" w:type="dxa"/>
              <w:left w:w="70" w:type="dxa"/>
              <w:bottom w:w="60" w:type="dxa"/>
              <w:right w:w="70" w:type="dxa"/>
            </w:tcMar>
            <w:vAlign w:val="center"/>
          </w:tcPr>
          <w:p w14:paraId="7DFC23E0">
            <w:pPr>
              <w:spacing w:before="0" w:after="0" w:line="240" w:lineRule="auto"/>
              <w:jc w:val="center"/>
            </w:pPr>
            <w:r>
              <w:rPr>
                <w:rFonts w:ascii="Times New Roman" w:hAnsi="Times New Roman" w:eastAsia="Times New Roman"/>
                <w:b/>
                <w:color w:val="000000"/>
                <w:sz w:val="16"/>
              </w:rPr>
              <w:t>Study</w:t>
            </w:r>
          </w:p>
        </w:tc>
        <w:tc>
          <w:tcPr>
            <w:tcW w:w="2952" w:type="dxa"/>
            <w:tcBorders>
              <w:top w:val="single" w:color="auto" w:sz="8" w:space="0"/>
              <w:left w:val="nil"/>
              <w:bottom w:val="single" w:color="auto" w:sz="6" w:space="0"/>
              <w:right w:val="nil"/>
            </w:tcBorders>
            <w:tcMar>
              <w:top w:w="60" w:type="dxa"/>
              <w:left w:w="70" w:type="dxa"/>
              <w:bottom w:w="60" w:type="dxa"/>
              <w:right w:w="70" w:type="dxa"/>
            </w:tcMar>
            <w:vAlign w:val="center"/>
          </w:tcPr>
          <w:p w14:paraId="1C7B4A87">
            <w:pPr>
              <w:spacing w:before="0" w:after="0" w:line="240" w:lineRule="auto"/>
              <w:jc w:val="center"/>
            </w:pPr>
            <w:r>
              <w:rPr>
                <w:rFonts w:ascii="Times New Roman" w:hAnsi="Times New Roman" w:eastAsia="Times New Roman"/>
                <w:b/>
                <w:color w:val="000000"/>
                <w:sz w:val="16"/>
              </w:rPr>
              <w:t>Original intervention description</w:t>
            </w:r>
          </w:p>
        </w:tc>
        <w:tc>
          <w:tcPr>
            <w:tcW w:w="2304" w:type="dxa"/>
            <w:tcBorders>
              <w:top w:val="single" w:color="auto" w:sz="8" w:space="0"/>
              <w:left w:val="nil"/>
              <w:bottom w:val="single" w:color="auto" w:sz="6" w:space="0"/>
              <w:right w:val="nil"/>
            </w:tcBorders>
            <w:tcMar>
              <w:top w:w="60" w:type="dxa"/>
              <w:left w:w="70" w:type="dxa"/>
              <w:bottom w:w="60" w:type="dxa"/>
              <w:right w:w="70" w:type="dxa"/>
            </w:tcMar>
            <w:vAlign w:val="center"/>
          </w:tcPr>
          <w:p w14:paraId="0F2877A9">
            <w:pPr>
              <w:spacing w:before="0" w:after="0" w:line="240" w:lineRule="auto"/>
              <w:jc w:val="center"/>
            </w:pPr>
            <w:r>
              <w:rPr>
                <w:rFonts w:ascii="Times New Roman" w:hAnsi="Times New Roman" w:eastAsia="Times New Roman"/>
                <w:b/>
                <w:color w:val="000000"/>
                <w:sz w:val="16"/>
              </w:rPr>
              <w:t>Final network node</w:t>
            </w:r>
          </w:p>
        </w:tc>
        <w:tc>
          <w:tcPr>
            <w:tcW w:w="3384" w:type="dxa"/>
            <w:tcBorders>
              <w:top w:val="single" w:color="auto" w:sz="8" w:space="0"/>
              <w:left w:val="nil"/>
              <w:bottom w:val="single" w:color="auto" w:sz="6" w:space="0"/>
              <w:right w:val="nil"/>
            </w:tcBorders>
            <w:tcMar>
              <w:top w:w="60" w:type="dxa"/>
              <w:left w:w="70" w:type="dxa"/>
              <w:bottom w:w="60" w:type="dxa"/>
              <w:right w:w="70" w:type="dxa"/>
            </w:tcMar>
            <w:vAlign w:val="center"/>
          </w:tcPr>
          <w:p w14:paraId="4406FF49">
            <w:pPr>
              <w:spacing w:before="0" w:after="0" w:line="240" w:lineRule="auto"/>
              <w:jc w:val="center"/>
            </w:pPr>
            <w:r>
              <w:rPr>
                <w:rFonts w:ascii="Times New Roman" w:hAnsi="Times New Roman" w:eastAsia="Times New Roman"/>
                <w:b/>
                <w:color w:val="000000"/>
                <w:sz w:val="16"/>
              </w:rPr>
              <w:t>Classification rationale</w:t>
            </w:r>
          </w:p>
        </w:tc>
      </w:tr>
      <w:tr w14:paraId="1416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single" w:color="auto" w:sz="6" w:space="0"/>
              <w:left w:val="nil"/>
              <w:bottom w:val="nil"/>
              <w:right w:val="nil"/>
            </w:tcBorders>
            <w:tcMar>
              <w:top w:w="60" w:type="dxa"/>
              <w:left w:w="70" w:type="dxa"/>
              <w:bottom w:w="60" w:type="dxa"/>
              <w:right w:w="70" w:type="dxa"/>
            </w:tcMar>
            <w:vAlign w:val="center"/>
          </w:tcPr>
          <w:p w14:paraId="6258CC0E">
            <w:pPr>
              <w:spacing w:before="0" w:after="0" w:line="240" w:lineRule="auto"/>
              <w:jc w:val="left"/>
            </w:pPr>
            <w:r>
              <w:rPr>
                <w:rFonts w:ascii="Times New Roman" w:hAnsi="Times New Roman" w:eastAsia="Times New Roman"/>
                <w:b w:val="0"/>
                <w:color w:val="000000"/>
                <w:sz w:val="15"/>
              </w:rPr>
              <w:t>Mehlum et al. (2014)</w:t>
            </w:r>
          </w:p>
        </w:tc>
        <w:tc>
          <w:tcPr>
            <w:tcW w:w="2952" w:type="dxa"/>
            <w:tcBorders>
              <w:top w:val="single" w:color="auto" w:sz="6" w:space="0"/>
              <w:left w:val="nil"/>
              <w:bottom w:val="nil"/>
              <w:right w:val="nil"/>
            </w:tcBorders>
            <w:tcMar>
              <w:top w:w="60" w:type="dxa"/>
              <w:left w:w="70" w:type="dxa"/>
              <w:bottom w:w="60" w:type="dxa"/>
              <w:right w:w="70" w:type="dxa"/>
            </w:tcMar>
            <w:vAlign w:val="center"/>
          </w:tcPr>
          <w:p w14:paraId="41432A4E">
            <w:pPr>
              <w:spacing w:before="0" w:after="0" w:line="240" w:lineRule="auto"/>
              <w:jc w:val="left"/>
            </w:pPr>
            <w:r>
              <w:rPr>
                <w:rFonts w:ascii="Times New Roman" w:hAnsi="Times New Roman" w:eastAsia="Times New Roman"/>
                <w:b w:val="0"/>
                <w:color w:val="000000"/>
                <w:sz w:val="15"/>
              </w:rPr>
              <w:t>DBT-A</w:t>
            </w:r>
          </w:p>
        </w:tc>
        <w:tc>
          <w:tcPr>
            <w:tcW w:w="2304" w:type="dxa"/>
            <w:tcBorders>
              <w:top w:val="single" w:color="auto" w:sz="6" w:space="0"/>
              <w:left w:val="nil"/>
              <w:bottom w:val="nil"/>
              <w:right w:val="nil"/>
            </w:tcBorders>
            <w:tcMar>
              <w:top w:w="60" w:type="dxa"/>
              <w:left w:w="70" w:type="dxa"/>
              <w:bottom w:w="60" w:type="dxa"/>
              <w:right w:w="70" w:type="dxa"/>
            </w:tcMar>
            <w:vAlign w:val="center"/>
          </w:tcPr>
          <w:p w14:paraId="1EB52535">
            <w:pPr>
              <w:spacing w:before="0" w:after="0" w:line="240" w:lineRule="auto"/>
              <w:jc w:val="left"/>
            </w:pPr>
            <w:r>
              <w:rPr>
                <w:rFonts w:ascii="Times New Roman" w:hAnsi="Times New Roman" w:eastAsia="Times New Roman"/>
                <w:b w:val="0"/>
                <w:color w:val="000000"/>
                <w:sz w:val="15"/>
              </w:rPr>
              <w:t>DBT-based intervention</w:t>
            </w:r>
          </w:p>
        </w:tc>
        <w:tc>
          <w:tcPr>
            <w:tcW w:w="3384" w:type="dxa"/>
            <w:tcBorders>
              <w:top w:val="single" w:color="auto" w:sz="6" w:space="0"/>
              <w:left w:val="nil"/>
              <w:bottom w:val="nil"/>
              <w:right w:val="nil"/>
            </w:tcBorders>
            <w:tcMar>
              <w:top w:w="60" w:type="dxa"/>
              <w:left w:w="70" w:type="dxa"/>
              <w:bottom w:w="60" w:type="dxa"/>
              <w:right w:w="70" w:type="dxa"/>
            </w:tcMar>
            <w:vAlign w:val="center"/>
          </w:tcPr>
          <w:p w14:paraId="53573909">
            <w:pPr>
              <w:spacing w:before="0" w:after="0" w:line="240" w:lineRule="auto"/>
              <w:jc w:val="left"/>
            </w:pPr>
            <w:r>
              <w:rPr>
                <w:rFonts w:ascii="Times New Roman" w:hAnsi="Times New Roman" w:eastAsia="Times New Roman"/>
                <w:b w:val="0"/>
                <w:color w:val="000000"/>
                <w:sz w:val="15"/>
              </w:rPr>
              <w:t>Explicit DBT-A protocol; DBT skills and treatment model are the therapeutic core.</w:t>
            </w:r>
          </w:p>
        </w:tc>
      </w:tr>
      <w:tr w14:paraId="0126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159C68FE">
            <w:pPr>
              <w:spacing w:before="0" w:after="0" w:line="240" w:lineRule="auto"/>
              <w:jc w:val="left"/>
            </w:pPr>
            <w:r>
              <w:rPr>
                <w:rFonts w:ascii="Times New Roman" w:hAnsi="Times New Roman" w:eastAsia="Times New Roman"/>
                <w:b w:val="0"/>
                <w:color w:val="000000"/>
                <w:sz w:val="15"/>
              </w:rPr>
              <w:t>Wang et al. (2022a)</w:t>
            </w:r>
          </w:p>
        </w:tc>
        <w:tc>
          <w:tcPr>
            <w:tcW w:w="2952" w:type="dxa"/>
            <w:tcBorders>
              <w:top w:val="nil"/>
              <w:left w:val="nil"/>
              <w:bottom w:val="nil"/>
              <w:right w:val="nil"/>
            </w:tcBorders>
            <w:tcMar>
              <w:top w:w="60" w:type="dxa"/>
              <w:left w:w="70" w:type="dxa"/>
              <w:bottom w:w="60" w:type="dxa"/>
              <w:right w:w="70" w:type="dxa"/>
            </w:tcMar>
            <w:vAlign w:val="center"/>
          </w:tcPr>
          <w:p w14:paraId="4390A3EE">
            <w:pPr>
              <w:spacing w:before="0" w:after="0" w:line="240" w:lineRule="auto"/>
              <w:jc w:val="left"/>
            </w:pPr>
            <w:r>
              <w:rPr>
                <w:rFonts w:ascii="Times New Roman" w:hAnsi="Times New Roman" w:eastAsia="Times New Roman"/>
                <w:b w:val="0"/>
                <w:color w:val="000000"/>
                <w:sz w:val="15"/>
              </w:rPr>
              <w:t>Group psychological/comprehensive psychosocial intervention</w:t>
            </w:r>
          </w:p>
        </w:tc>
        <w:tc>
          <w:tcPr>
            <w:tcW w:w="2304" w:type="dxa"/>
            <w:tcBorders>
              <w:top w:val="nil"/>
              <w:left w:val="nil"/>
              <w:bottom w:val="nil"/>
              <w:right w:val="nil"/>
            </w:tcBorders>
            <w:tcMar>
              <w:top w:w="60" w:type="dxa"/>
              <w:left w:w="70" w:type="dxa"/>
              <w:bottom w:w="60" w:type="dxa"/>
              <w:right w:w="70" w:type="dxa"/>
            </w:tcMar>
            <w:vAlign w:val="center"/>
          </w:tcPr>
          <w:p w14:paraId="3D560CD8">
            <w:pPr>
              <w:spacing w:before="0" w:after="0" w:line="240" w:lineRule="auto"/>
              <w:jc w:val="left"/>
            </w:pPr>
            <w:r>
              <w:rPr>
                <w:rFonts w:ascii="Times New Roman" w:hAnsi="Times New Roman" w:eastAsia="Times New Roman"/>
                <w:b w:val="0"/>
                <w:color w:val="000000"/>
                <w:sz w:val="15"/>
              </w:rPr>
              <w:t>General psychosocial/nursing intervention</w:t>
            </w:r>
          </w:p>
        </w:tc>
        <w:tc>
          <w:tcPr>
            <w:tcW w:w="3384" w:type="dxa"/>
            <w:tcBorders>
              <w:top w:val="nil"/>
              <w:left w:val="nil"/>
              <w:bottom w:val="nil"/>
              <w:right w:val="nil"/>
            </w:tcBorders>
            <w:tcMar>
              <w:top w:w="60" w:type="dxa"/>
              <w:left w:w="70" w:type="dxa"/>
              <w:bottom w:w="60" w:type="dxa"/>
              <w:right w:w="70" w:type="dxa"/>
            </w:tcMar>
            <w:vAlign w:val="center"/>
          </w:tcPr>
          <w:p w14:paraId="5F2441FB">
            <w:pPr>
              <w:spacing w:before="0" w:after="0" w:line="240" w:lineRule="auto"/>
              <w:jc w:val="left"/>
            </w:pPr>
            <w:r>
              <w:rPr>
                <w:rFonts w:ascii="Times New Roman" w:hAnsi="Times New Roman" w:eastAsia="Times New Roman"/>
                <w:b w:val="0"/>
                <w:color w:val="000000"/>
                <w:sz w:val="15"/>
              </w:rPr>
              <w:t>Multicomponent psychosocial/nursing intervention without a single named psychotherapy model as the dominant component.</w:t>
            </w:r>
          </w:p>
        </w:tc>
      </w:tr>
      <w:tr w14:paraId="2E9C5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28934F12">
            <w:pPr>
              <w:spacing w:before="0" w:after="0" w:line="240" w:lineRule="auto"/>
              <w:jc w:val="left"/>
            </w:pPr>
            <w:r>
              <w:rPr>
                <w:rFonts w:ascii="Times New Roman" w:hAnsi="Times New Roman" w:eastAsia="Times New Roman"/>
                <w:b w:val="0"/>
                <w:color w:val="000000"/>
                <w:sz w:val="15"/>
              </w:rPr>
              <w:t>Huang et al. (2022)</w:t>
            </w:r>
          </w:p>
        </w:tc>
        <w:tc>
          <w:tcPr>
            <w:tcW w:w="2952" w:type="dxa"/>
            <w:tcBorders>
              <w:top w:val="nil"/>
              <w:left w:val="nil"/>
              <w:bottom w:val="nil"/>
              <w:right w:val="nil"/>
            </w:tcBorders>
            <w:tcMar>
              <w:top w:w="60" w:type="dxa"/>
              <w:left w:w="70" w:type="dxa"/>
              <w:bottom w:w="60" w:type="dxa"/>
              <w:right w:w="70" w:type="dxa"/>
            </w:tcMar>
            <w:vAlign w:val="center"/>
          </w:tcPr>
          <w:p w14:paraId="467DA958">
            <w:pPr>
              <w:spacing w:before="0" w:after="0" w:line="240" w:lineRule="auto"/>
              <w:jc w:val="left"/>
            </w:pPr>
            <w:r>
              <w:rPr>
                <w:rFonts w:ascii="Times New Roman" w:hAnsi="Times New Roman" w:eastAsia="Times New Roman"/>
                <w:b w:val="0"/>
                <w:color w:val="000000"/>
                <w:sz w:val="15"/>
              </w:rPr>
              <w:t>Collage analysis combined with cognitive behavioral therapy</w:t>
            </w:r>
          </w:p>
        </w:tc>
        <w:tc>
          <w:tcPr>
            <w:tcW w:w="2304" w:type="dxa"/>
            <w:tcBorders>
              <w:top w:val="nil"/>
              <w:left w:val="nil"/>
              <w:bottom w:val="nil"/>
              <w:right w:val="nil"/>
            </w:tcBorders>
            <w:tcMar>
              <w:top w:w="60" w:type="dxa"/>
              <w:left w:w="70" w:type="dxa"/>
              <w:bottom w:w="60" w:type="dxa"/>
              <w:right w:w="70" w:type="dxa"/>
            </w:tcMar>
            <w:vAlign w:val="center"/>
          </w:tcPr>
          <w:p w14:paraId="18EB9FF4">
            <w:pPr>
              <w:spacing w:before="0" w:after="0" w:line="240" w:lineRule="auto"/>
              <w:jc w:val="left"/>
            </w:pPr>
            <w:r>
              <w:rPr>
                <w:rFonts w:ascii="Times New Roman" w:hAnsi="Times New Roman" w:eastAsia="Times New Roman"/>
                <w:b w:val="0"/>
                <w:color w:val="000000"/>
                <w:sz w:val="15"/>
              </w:rPr>
              <w:t>CBT-based/third-wave CBT</w:t>
            </w:r>
          </w:p>
        </w:tc>
        <w:tc>
          <w:tcPr>
            <w:tcW w:w="3384" w:type="dxa"/>
            <w:tcBorders>
              <w:top w:val="nil"/>
              <w:left w:val="nil"/>
              <w:bottom w:val="nil"/>
              <w:right w:val="nil"/>
            </w:tcBorders>
            <w:tcMar>
              <w:top w:w="60" w:type="dxa"/>
              <w:left w:w="70" w:type="dxa"/>
              <w:bottom w:w="60" w:type="dxa"/>
              <w:right w:w="70" w:type="dxa"/>
            </w:tcMar>
            <w:vAlign w:val="center"/>
          </w:tcPr>
          <w:p w14:paraId="2F2D4BA9">
            <w:pPr>
              <w:spacing w:before="0" w:after="0" w:line="240" w:lineRule="auto"/>
              <w:jc w:val="left"/>
            </w:pPr>
            <w:r>
              <w:rPr>
                <w:rFonts w:ascii="Times New Roman" w:hAnsi="Times New Roman" w:eastAsia="Times New Roman"/>
                <w:b w:val="0"/>
                <w:color w:val="000000"/>
                <w:sz w:val="15"/>
              </w:rPr>
              <w:t>CBT is the structured therapeutic core; collage-based work is an adjunctive delivery component.</w:t>
            </w:r>
          </w:p>
        </w:tc>
      </w:tr>
      <w:tr w14:paraId="278F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3FA462E9">
            <w:pPr>
              <w:spacing w:before="0" w:after="0" w:line="240" w:lineRule="auto"/>
              <w:jc w:val="left"/>
            </w:pPr>
            <w:r>
              <w:rPr>
                <w:rFonts w:ascii="Times New Roman" w:hAnsi="Times New Roman" w:eastAsia="Times New Roman"/>
                <w:b w:val="0"/>
                <w:color w:val="000000"/>
                <w:sz w:val="15"/>
              </w:rPr>
              <w:t>Wang et al. (2022b)</w:t>
            </w:r>
          </w:p>
        </w:tc>
        <w:tc>
          <w:tcPr>
            <w:tcW w:w="2952" w:type="dxa"/>
            <w:tcBorders>
              <w:top w:val="nil"/>
              <w:left w:val="nil"/>
              <w:bottom w:val="nil"/>
              <w:right w:val="nil"/>
            </w:tcBorders>
            <w:tcMar>
              <w:top w:w="60" w:type="dxa"/>
              <w:left w:w="70" w:type="dxa"/>
              <w:bottom w:w="60" w:type="dxa"/>
              <w:right w:w="70" w:type="dxa"/>
            </w:tcMar>
            <w:vAlign w:val="center"/>
          </w:tcPr>
          <w:p w14:paraId="07CAB8AE">
            <w:pPr>
              <w:spacing w:before="0" w:after="0" w:line="240" w:lineRule="auto"/>
              <w:jc w:val="left"/>
            </w:pPr>
            <w:r>
              <w:rPr>
                <w:rFonts w:ascii="Times New Roman" w:hAnsi="Times New Roman" w:eastAsia="Times New Roman"/>
                <w:b w:val="0"/>
                <w:color w:val="000000"/>
                <w:sz w:val="15"/>
              </w:rPr>
              <w:t>Adolescent cognitive behavioral therapy</w:t>
            </w:r>
          </w:p>
        </w:tc>
        <w:tc>
          <w:tcPr>
            <w:tcW w:w="2304" w:type="dxa"/>
            <w:tcBorders>
              <w:top w:val="nil"/>
              <w:left w:val="nil"/>
              <w:bottom w:val="nil"/>
              <w:right w:val="nil"/>
            </w:tcBorders>
            <w:tcMar>
              <w:top w:w="60" w:type="dxa"/>
              <w:left w:w="70" w:type="dxa"/>
              <w:bottom w:w="60" w:type="dxa"/>
              <w:right w:w="70" w:type="dxa"/>
            </w:tcMar>
            <w:vAlign w:val="center"/>
          </w:tcPr>
          <w:p w14:paraId="18FD6D98">
            <w:pPr>
              <w:spacing w:before="0" w:after="0" w:line="240" w:lineRule="auto"/>
              <w:jc w:val="left"/>
            </w:pPr>
            <w:r>
              <w:rPr>
                <w:rFonts w:ascii="Times New Roman" w:hAnsi="Times New Roman" w:eastAsia="Times New Roman"/>
                <w:b w:val="0"/>
                <w:color w:val="000000"/>
                <w:sz w:val="15"/>
              </w:rPr>
              <w:t>CBT-based/third-wave CBT</w:t>
            </w:r>
          </w:p>
        </w:tc>
        <w:tc>
          <w:tcPr>
            <w:tcW w:w="3384" w:type="dxa"/>
            <w:tcBorders>
              <w:top w:val="nil"/>
              <w:left w:val="nil"/>
              <w:bottom w:val="nil"/>
              <w:right w:val="nil"/>
            </w:tcBorders>
            <w:tcMar>
              <w:top w:w="60" w:type="dxa"/>
              <w:left w:w="70" w:type="dxa"/>
              <w:bottom w:w="60" w:type="dxa"/>
              <w:right w:w="70" w:type="dxa"/>
            </w:tcMar>
            <w:vAlign w:val="center"/>
          </w:tcPr>
          <w:p w14:paraId="4BE35979">
            <w:pPr>
              <w:spacing w:before="0" w:after="0" w:line="240" w:lineRule="auto"/>
              <w:jc w:val="left"/>
            </w:pPr>
            <w:r>
              <w:rPr>
                <w:rFonts w:ascii="Times New Roman" w:hAnsi="Times New Roman" w:eastAsia="Times New Roman"/>
                <w:b w:val="0"/>
                <w:color w:val="000000"/>
                <w:sz w:val="15"/>
              </w:rPr>
              <w:t>Intervention is explicitly based on CBT principles and techniques.</w:t>
            </w:r>
          </w:p>
        </w:tc>
      </w:tr>
      <w:tr w14:paraId="4892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4D10894F">
            <w:pPr>
              <w:spacing w:before="0" w:after="0" w:line="240" w:lineRule="auto"/>
              <w:jc w:val="left"/>
            </w:pPr>
            <w:r>
              <w:rPr>
                <w:rFonts w:ascii="Times New Roman" w:hAnsi="Times New Roman" w:eastAsia="Times New Roman"/>
                <w:b w:val="0"/>
                <w:color w:val="000000"/>
                <w:sz w:val="15"/>
              </w:rPr>
              <w:t>Stallard et al. (2024)</w:t>
            </w:r>
          </w:p>
        </w:tc>
        <w:tc>
          <w:tcPr>
            <w:tcW w:w="2952" w:type="dxa"/>
            <w:tcBorders>
              <w:top w:val="nil"/>
              <w:left w:val="nil"/>
              <w:bottom w:val="nil"/>
              <w:right w:val="nil"/>
            </w:tcBorders>
            <w:tcMar>
              <w:top w:w="60" w:type="dxa"/>
              <w:left w:w="70" w:type="dxa"/>
              <w:bottom w:w="60" w:type="dxa"/>
              <w:right w:w="70" w:type="dxa"/>
            </w:tcMar>
            <w:vAlign w:val="center"/>
          </w:tcPr>
          <w:p w14:paraId="3DEF32F9">
            <w:pPr>
              <w:spacing w:before="0" w:after="0" w:line="240" w:lineRule="auto"/>
              <w:jc w:val="left"/>
            </w:pPr>
            <w:r>
              <w:rPr>
                <w:rFonts w:ascii="Times New Roman" w:hAnsi="Times New Roman" w:eastAsia="Times New Roman"/>
                <w:b w:val="0"/>
                <w:color w:val="000000"/>
                <w:sz w:val="15"/>
              </w:rPr>
              <w:t>BlueIce digital intervention plus usual care</w:t>
            </w:r>
          </w:p>
        </w:tc>
        <w:tc>
          <w:tcPr>
            <w:tcW w:w="2304" w:type="dxa"/>
            <w:tcBorders>
              <w:top w:val="nil"/>
              <w:left w:val="nil"/>
              <w:bottom w:val="nil"/>
              <w:right w:val="nil"/>
            </w:tcBorders>
            <w:tcMar>
              <w:top w:w="60" w:type="dxa"/>
              <w:left w:w="70" w:type="dxa"/>
              <w:bottom w:w="60" w:type="dxa"/>
              <w:right w:w="70" w:type="dxa"/>
            </w:tcMar>
            <w:vAlign w:val="center"/>
          </w:tcPr>
          <w:p w14:paraId="7BA88199">
            <w:pPr>
              <w:spacing w:before="0" w:after="0" w:line="240" w:lineRule="auto"/>
              <w:jc w:val="left"/>
            </w:pPr>
            <w:r>
              <w:rPr>
                <w:rFonts w:ascii="Times New Roman" w:hAnsi="Times New Roman" w:eastAsia="Times New Roman"/>
                <w:b w:val="0"/>
                <w:color w:val="000000"/>
                <w:sz w:val="15"/>
              </w:rPr>
              <w:t>CBT-based/third-wave CBT</w:t>
            </w:r>
          </w:p>
        </w:tc>
        <w:tc>
          <w:tcPr>
            <w:tcW w:w="3384" w:type="dxa"/>
            <w:tcBorders>
              <w:top w:val="nil"/>
              <w:left w:val="nil"/>
              <w:bottom w:val="nil"/>
              <w:right w:val="nil"/>
            </w:tcBorders>
            <w:tcMar>
              <w:top w:w="60" w:type="dxa"/>
              <w:left w:w="70" w:type="dxa"/>
              <w:bottom w:w="60" w:type="dxa"/>
              <w:right w:w="70" w:type="dxa"/>
            </w:tcMar>
            <w:vAlign w:val="center"/>
          </w:tcPr>
          <w:p w14:paraId="15E45C20">
            <w:pPr>
              <w:spacing w:before="0" w:after="0" w:line="240" w:lineRule="auto"/>
              <w:jc w:val="left"/>
            </w:pPr>
            <w:r>
              <w:rPr>
                <w:rFonts w:ascii="Times New Roman" w:hAnsi="Times New Roman" w:eastAsia="Times New Roman"/>
                <w:b w:val="0"/>
                <w:color w:val="000000"/>
                <w:sz w:val="15"/>
              </w:rPr>
              <w:t>Structured digital coping and cognitive-behavioral/third-wave components were delivered as an adjunct to usual care.</w:t>
            </w:r>
          </w:p>
        </w:tc>
      </w:tr>
      <w:tr w14:paraId="7FAE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3EC7FD39">
            <w:pPr>
              <w:spacing w:before="0" w:after="0" w:line="240" w:lineRule="auto"/>
              <w:jc w:val="left"/>
            </w:pPr>
            <w:r>
              <w:rPr>
                <w:rFonts w:ascii="Times New Roman" w:hAnsi="Times New Roman" w:eastAsia="Times New Roman"/>
                <w:b w:val="0"/>
                <w:color w:val="000000"/>
                <w:sz w:val="15"/>
              </w:rPr>
              <w:t>Zhang et al. (2024a)</w:t>
            </w:r>
          </w:p>
        </w:tc>
        <w:tc>
          <w:tcPr>
            <w:tcW w:w="2952" w:type="dxa"/>
            <w:tcBorders>
              <w:top w:val="nil"/>
              <w:left w:val="nil"/>
              <w:bottom w:val="nil"/>
              <w:right w:val="nil"/>
            </w:tcBorders>
            <w:tcMar>
              <w:top w:w="60" w:type="dxa"/>
              <w:left w:w="70" w:type="dxa"/>
              <w:bottom w:w="60" w:type="dxa"/>
              <w:right w:w="70" w:type="dxa"/>
            </w:tcMar>
            <w:vAlign w:val="center"/>
          </w:tcPr>
          <w:p w14:paraId="2C48F73A">
            <w:pPr>
              <w:spacing w:before="0" w:after="0" w:line="240" w:lineRule="auto"/>
              <w:jc w:val="left"/>
            </w:pPr>
            <w:r>
              <w:rPr>
                <w:rFonts w:ascii="Times New Roman" w:hAnsi="Times New Roman" w:eastAsia="Times New Roman"/>
                <w:b w:val="0"/>
                <w:color w:val="000000"/>
                <w:sz w:val="15"/>
              </w:rPr>
              <w:t>Cognitive-behavioral intervention based on DBT principles</w:t>
            </w:r>
          </w:p>
        </w:tc>
        <w:tc>
          <w:tcPr>
            <w:tcW w:w="2304" w:type="dxa"/>
            <w:tcBorders>
              <w:top w:val="nil"/>
              <w:left w:val="nil"/>
              <w:bottom w:val="nil"/>
              <w:right w:val="nil"/>
            </w:tcBorders>
            <w:tcMar>
              <w:top w:w="60" w:type="dxa"/>
              <w:left w:w="70" w:type="dxa"/>
              <w:bottom w:w="60" w:type="dxa"/>
              <w:right w:w="70" w:type="dxa"/>
            </w:tcMar>
            <w:vAlign w:val="center"/>
          </w:tcPr>
          <w:p w14:paraId="19D90895">
            <w:pPr>
              <w:spacing w:before="0" w:after="0" w:line="240" w:lineRule="auto"/>
              <w:jc w:val="left"/>
            </w:pPr>
            <w:r>
              <w:rPr>
                <w:rFonts w:ascii="Times New Roman" w:hAnsi="Times New Roman" w:eastAsia="Times New Roman"/>
                <w:b w:val="0"/>
                <w:color w:val="000000"/>
                <w:sz w:val="15"/>
              </w:rPr>
              <w:t>DBT-based intervention</w:t>
            </w:r>
          </w:p>
        </w:tc>
        <w:tc>
          <w:tcPr>
            <w:tcW w:w="3384" w:type="dxa"/>
            <w:tcBorders>
              <w:top w:val="nil"/>
              <w:left w:val="nil"/>
              <w:bottom w:val="nil"/>
              <w:right w:val="nil"/>
            </w:tcBorders>
            <w:tcMar>
              <w:top w:w="60" w:type="dxa"/>
              <w:left w:w="70" w:type="dxa"/>
              <w:bottom w:w="60" w:type="dxa"/>
              <w:right w:w="70" w:type="dxa"/>
            </w:tcMar>
            <w:vAlign w:val="center"/>
          </w:tcPr>
          <w:p w14:paraId="62C93AA1">
            <w:pPr>
              <w:spacing w:before="0" w:after="0" w:line="240" w:lineRule="auto"/>
              <w:jc w:val="left"/>
            </w:pPr>
            <w:r>
              <w:rPr>
                <w:rFonts w:ascii="Times New Roman" w:hAnsi="Times New Roman" w:eastAsia="Times New Roman"/>
                <w:b w:val="0"/>
                <w:color w:val="000000"/>
                <w:sz w:val="15"/>
              </w:rPr>
              <w:t>The intervention was explicitly developed from a DBT framework; CBT techniques were delivered within that DBT-informed structure.</w:t>
            </w:r>
          </w:p>
        </w:tc>
      </w:tr>
      <w:tr w14:paraId="5890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7896A27E">
            <w:pPr>
              <w:spacing w:before="0" w:after="0" w:line="240" w:lineRule="auto"/>
              <w:jc w:val="left"/>
            </w:pPr>
            <w:r>
              <w:rPr>
                <w:rFonts w:ascii="Times New Roman" w:hAnsi="Times New Roman" w:eastAsia="Times New Roman"/>
                <w:b w:val="0"/>
                <w:color w:val="000000"/>
                <w:sz w:val="15"/>
              </w:rPr>
              <w:t>Zhang et al. (2024c)</w:t>
            </w:r>
          </w:p>
        </w:tc>
        <w:tc>
          <w:tcPr>
            <w:tcW w:w="2952" w:type="dxa"/>
            <w:tcBorders>
              <w:top w:val="nil"/>
              <w:left w:val="nil"/>
              <w:bottom w:val="nil"/>
              <w:right w:val="nil"/>
            </w:tcBorders>
            <w:tcMar>
              <w:top w:w="60" w:type="dxa"/>
              <w:left w:w="70" w:type="dxa"/>
              <w:bottom w:w="60" w:type="dxa"/>
              <w:right w:w="70" w:type="dxa"/>
            </w:tcMar>
            <w:vAlign w:val="center"/>
          </w:tcPr>
          <w:p w14:paraId="4FD86B27">
            <w:pPr>
              <w:spacing w:before="0" w:after="0" w:line="240" w:lineRule="auto"/>
              <w:jc w:val="left"/>
            </w:pPr>
            <w:r>
              <w:rPr>
                <w:rFonts w:ascii="Times New Roman" w:hAnsi="Times New Roman" w:eastAsia="Times New Roman"/>
                <w:b w:val="0"/>
                <w:color w:val="000000"/>
                <w:sz w:val="15"/>
              </w:rPr>
              <w:t>Focused psychological nursing</w:t>
            </w:r>
          </w:p>
        </w:tc>
        <w:tc>
          <w:tcPr>
            <w:tcW w:w="2304" w:type="dxa"/>
            <w:tcBorders>
              <w:top w:val="nil"/>
              <w:left w:val="nil"/>
              <w:bottom w:val="nil"/>
              <w:right w:val="nil"/>
            </w:tcBorders>
            <w:tcMar>
              <w:top w:w="60" w:type="dxa"/>
              <w:left w:w="70" w:type="dxa"/>
              <w:bottom w:w="60" w:type="dxa"/>
              <w:right w:w="70" w:type="dxa"/>
            </w:tcMar>
            <w:vAlign w:val="center"/>
          </w:tcPr>
          <w:p w14:paraId="36318361">
            <w:pPr>
              <w:spacing w:before="0" w:after="0" w:line="240" w:lineRule="auto"/>
              <w:jc w:val="left"/>
            </w:pPr>
            <w:r>
              <w:rPr>
                <w:rFonts w:ascii="Times New Roman" w:hAnsi="Times New Roman" w:eastAsia="Times New Roman"/>
                <w:b w:val="0"/>
                <w:color w:val="000000"/>
                <w:sz w:val="15"/>
              </w:rPr>
              <w:t>General psychosocial/nursing intervention</w:t>
            </w:r>
          </w:p>
        </w:tc>
        <w:tc>
          <w:tcPr>
            <w:tcW w:w="3384" w:type="dxa"/>
            <w:tcBorders>
              <w:top w:val="nil"/>
              <w:left w:val="nil"/>
              <w:bottom w:val="nil"/>
              <w:right w:val="nil"/>
            </w:tcBorders>
            <w:tcMar>
              <w:top w:w="60" w:type="dxa"/>
              <w:left w:w="70" w:type="dxa"/>
              <w:bottom w:w="60" w:type="dxa"/>
              <w:right w:w="70" w:type="dxa"/>
            </w:tcMar>
            <w:vAlign w:val="center"/>
          </w:tcPr>
          <w:p w14:paraId="70C6D77D">
            <w:pPr>
              <w:spacing w:before="0" w:after="0" w:line="240" w:lineRule="auto"/>
              <w:jc w:val="left"/>
            </w:pPr>
            <w:r>
              <w:rPr>
                <w:rFonts w:ascii="Times New Roman" w:hAnsi="Times New Roman" w:eastAsia="Times New Roman"/>
                <w:b w:val="0"/>
                <w:color w:val="000000"/>
                <w:sz w:val="15"/>
              </w:rPr>
              <w:t>Nursing-led multicomponent psychological support without a single manualized psychotherapy model defining the intervention.</w:t>
            </w:r>
          </w:p>
        </w:tc>
      </w:tr>
      <w:tr w14:paraId="78E1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30FC3A50">
            <w:pPr>
              <w:spacing w:before="0" w:after="0" w:line="240" w:lineRule="auto"/>
              <w:jc w:val="left"/>
            </w:pPr>
            <w:r>
              <w:rPr>
                <w:rFonts w:ascii="Times New Roman" w:hAnsi="Times New Roman" w:eastAsia="Times New Roman"/>
                <w:b w:val="0"/>
                <w:color w:val="000000"/>
                <w:sz w:val="15"/>
              </w:rPr>
              <w:t>Li et al. (2025)</w:t>
            </w:r>
          </w:p>
        </w:tc>
        <w:tc>
          <w:tcPr>
            <w:tcW w:w="2952" w:type="dxa"/>
            <w:tcBorders>
              <w:top w:val="nil"/>
              <w:left w:val="nil"/>
              <w:bottom w:val="nil"/>
              <w:right w:val="nil"/>
            </w:tcBorders>
            <w:tcMar>
              <w:top w:w="60" w:type="dxa"/>
              <w:left w:w="70" w:type="dxa"/>
              <w:bottom w:w="60" w:type="dxa"/>
              <w:right w:w="70" w:type="dxa"/>
            </w:tcMar>
            <w:vAlign w:val="center"/>
          </w:tcPr>
          <w:p w14:paraId="769BC303">
            <w:pPr>
              <w:spacing w:before="0" w:after="0" w:line="240" w:lineRule="auto"/>
              <w:jc w:val="left"/>
            </w:pPr>
            <w:r>
              <w:rPr>
                <w:rFonts w:ascii="Times New Roman" w:hAnsi="Times New Roman" w:eastAsia="Times New Roman"/>
                <w:b w:val="0"/>
                <w:color w:val="000000"/>
                <w:sz w:val="15"/>
              </w:rPr>
              <w:t>DBT-based school prevention intervention</w:t>
            </w:r>
          </w:p>
        </w:tc>
        <w:tc>
          <w:tcPr>
            <w:tcW w:w="2304" w:type="dxa"/>
            <w:tcBorders>
              <w:top w:val="nil"/>
              <w:left w:val="nil"/>
              <w:bottom w:val="nil"/>
              <w:right w:val="nil"/>
            </w:tcBorders>
            <w:tcMar>
              <w:top w:w="60" w:type="dxa"/>
              <w:left w:w="70" w:type="dxa"/>
              <w:bottom w:w="60" w:type="dxa"/>
              <w:right w:w="70" w:type="dxa"/>
            </w:tcMar>
            <w:vAlign w:val="center"/>
          </w:tcPr>
          <w:p w14:paraId="51253D6F">
            <w:pPr>
              <w:spacing w:before="0" w:after="0" w:line="240" w:lineRule="auto"/>
              <w:jc w:val="left"/>
            </w:pPr>
            <w:r>
              <w:rPr>
                <w:rFonts w:ascii="Times New Roman" w:hAnsi="Times New Roman" w:eastAsia="Times New Roman"/>
                <w:b w:val="0"/>
                <w:color w:val="000000"/>
                <w:sz w:val="15"/>
              </w:rPr>
              <w:t>DBT-based intervention</w:t>
            </w:r>
          </w:p>
        </w:tc>
        <w:tc>
          <w:tcPr>
            <w:tcW w:w="3384" w:type="dxa"/>
            <w:tcBorders>
              <w:top w:val="nil"/>
              <w:left w:val="nil"/>
              <w:bottom w:val="nil"/>
              <w:right w:val="nil"/>
            </w:tcBorders>
            <w:tcMar>
              <w:top w:w="60" w:type="dxa"/>
              <w:left w:w="70" w:type="dxa"/>
              <w:bottom w:w="60" w:type="dxa"/>
              <w:right w:w="70" w:type="dxa"/>
            </w:tcMar>
            <w:vAlign w:val="center"/>
          </w:tcPr>
          <w:p w14:paraId="36EA6F8C">
            <w:pPr>
              <w:spacing w:before="0" w:after="0" w:line="240" w:lineRule="auto"/>
              <w:jc w:val="left"/>
            </w:pPr>
            <w:r>
              <w:rPr>
                <w:rFonts w:ascii="Times New Roman" w:hAnsi="Times New Roman" w:eastAsia="Times New Roman"/>
                <w:b w:val="0"/>
                <w:color w:val="000000"/>
                <w:sz w:val="15"/>
              </w:rPr>
              <w:t>DBT principles and skills formed the defining intervention framework.</w:t>
            </w:r>
          </w:p>
        </w:tc>
      </w:tr>
      <w:tr w14:paraId="1A8D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3136C166">
            <w:pPr>
              <w:spacing w:before="0" w:after="0" w:line="240" w:lineRule="auto"/>
              <w:jc w:val="left"/>
            </w:pPr>
            <w:r>
              <w:rPr>
                <w:rFonts w:ascii="Times New Roman" w:hAnsi="Times New Roman" w:eastAsia="Times New Roman"/>
                <w:b w:val="0"/>
                <w:color w:val="000000"/>
                <w:sz w:val="15"/>
              </w:rPr>
              <w:t>Pan et al. (2025)</w:t>
            </w:r>
          </w:p>
        </w:tc>
        <w:tc>
          <w:tcPr>
            <w:tcW w:w="2952" w:type="dxa"/>
            <w:tcBorders>
              <w:top w:val="nil"/>
              <w:left w:val="nil"/>
              <w:bottom w:val="nil"/>
              <w:right w:val="nil"/>
            </w:tcBorders>
            <w:tcMar>
              <w:top w:w="60" w:type="dxa"/>
              <w:left w:w="70" w:type="dxa"/>
              <w:bottom w:w="60" w:type="dxa"/>
              <w:right w:w="70" w:type="dxa"/>
            </w:tcMar>
            <w:vAlign w:val="center"/>
          </w:tcPr>
          <w:p w14:paraId="55E1F19A">
            <w:pPr>
              <w:spacing w:before="0" w:after="0" w:line="240" w:lineRule="auto"/>
              <w:jc w:val="left"/>
            </w:pPr>
            <w:r>
              <w:rPr>
                <w:rFonts w:ascii="Times New Roman" w:hAnsi="Times New Roman" w:eastAsia="Times New Roman"/>
                <w:b w:val="0"/>
                <w:color w:val="000000"/>
                <w:sz w:val="15"/>
              </w:rPr>
              <w:t>DBT-based group psychological counseling</w:t>
            </w:r>
          </w:p>
        </w:tc>
        <w:tc>
          <w:tcPr>
            <w:tcW w:w="2304" w:type="dxa"/>
            <w:tcBorders>
              <w:top w:val="nil"/>
              <w:left w:val="nil"/>
              <w:bottom w:val="nil"/>
              <w:right w:val="nil"/>
            </w:tcBorders>
            <w:tcMar>
              <w:top w:w="60" w:type="dxa"/>
              <w:left w:w="70" w:type="dxa"/>
              <w:bottom w:w="60" w:type="dxa"/>
              <w:right w:w="70" w:type="dxa"/>
            </w:tcMar>
            <w:vAlign w:val="center"/>
          </w:tcPr>
          <w:p w14:paraId="329E0291">
            <w:pPr>
              <w:spacing w:before="0" w:after="0" w:line="240" w:lineRule="auto"/>
              <w:jc w:val="left"/>
            </w:pPr>
            <w:r>
              <w:rPr>
                <w:rFonts w:ascii="Times New Roman" w:hAnsi="Times New Roman" w:eastAsia="Times New Roman"/>
                <w:b w:val="0"/>
                <w:color w:val="000000"/>
                <w:sz w:val="15"/>
              </w:rPr>
              <w:t>DBT-based intervention</w:t>
            </w:r>
          </w:p>
        </w:tc>
        <w:tc>
          <w:tcPr>
            <w:tcW w:w="3384" w:type="dxa"/>
            <w:tcBorders>
              <w:top w:val="nil"/>
              <w:left w:val="nil"/>
              <w:bottom w:val="nil"/>
              <w:right w:val="nil"/>
            </w:tcBorders>
            <w:tcMar>
              <w:top w:w="60" w:type="dxa"/>
              <w:left w:w="70" w:type="dxa"/>
              <w:bottom w:w="60" w:type="dxa"/>
              <w:right w:w="70" w:type="dxa"/>
            </w:tcMar>
            <w:vAlign w:val="center"/>
          </w:tcPr>
          <w:p w14:paraId="7B9040B8">
            <w:pPr>
              <w:spacing w:before="0" w:after="0" w:line="240" w:lineRule="auto"/>
              <w:jc w:val="left"/>
            </w:pPr>
            <w:r>
              <w:rPr>
                <w:rFonts w:ascii="Times New Roman" w:hAnsi="Times New Roman" w:eastAsia="Times New Roman"/>
                <w:b w:val="0"/>
                <w:color w:val="000000"/>
                <w:sz w:val="15"/>
              </w:rPr>
              <w:t>DBT was the named and defining psychotherapeutic framework.</w:t>
            </w:r>
          </w:p>
        </w:tc>
      </w:tr>
      <w:tr w14:paraId="0F43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052D00EE">
            <w:pPr>
              <w:spacing w:before="0" w:after="0" w:line="240" w:lineRule="auto"/>
              <w:jc w:val="left"/>
            </w:pPr>
            <w:r>
              <w:rPr>
                <w:rFonts w:ascii="Times New Roman" w:hAnsi="Times New Roman" w:eastAsia="Times New Roman"/>
                <w:b w:val="0"/>
                <w:color w:val="000000"/>
                <w:sz w:val="15"/>
              </w:rPr>
              <w:t>Ren et al. (2025)</w:t>
            </w:r>
          </w:p>
        </w:tc>
        <w:tc>
          <w:tcPr>
            <w:tcW w:w="2952" w:type="dxa"/>
            <w:tcBorders>
              <w:top w:val="nil"/>
              <w:left w:val="nil"/>
              <w:bottom w:val="nil"/>
              <w:right w:val="nil"/>
            </w:tcBorders>
            <w:tcMar>
              <w:top w:w="60" w:type="dxa"/>
              <w:left w:w="70" w:type="dxa"/>
              <w:bottom w:w="60" w:type="dxa"/>
              <w:right w:w="70" w:type="dxa"/>
            </w:tcMar>
            <w:vAlign w:val="center"/>
          </w:tcPr>
          <w:p w14:paraId="03CFBF4E">
            <w:pPr>
              <w:spacing w:before="0" w:after="0" w:line="240" w:lineRule="auto"/>
              <w:jc w:val="left"/>
            </w:pPr>
            <w:r>
              <w:rPr>
                <w:rFonts w:ascii="Times New Roman" w:hAnsi="Times New Roman" w:eastAsia="Times New Roman"/>
                <w:b w:val="0"/>
                <w:color w:val="000000"/>
                <w:sz w:val="15"/>
              </w:rPr>
              <w:t>Acceptance and commitment therapy combined with CBT</w:t>
            </w:r>
          </w:p>
        </w:tc>
        <w:tc>
          <w:tcPr>
            <w:tcW w:w="2304" w:type="dxa"/>
            <w:tcBorders>
              <w:top w:val="nil"/>
              <w:left w:val="nil"/>
              <w:bottom w:val="nil"/>
              <w:right w:val="nil"/>
            </w:tcBorders>
            <w:tcMar>
              <w:top w:w="60" w:type="dxa"/>
              <w:left w:w="70" w:type="dxa"/>
              <w:bottom w:w="60" w:type="dxa"/>
              <w:right w:w="70" w:type="dxa"/>
            </w:tcMar>
            <w:vAlign w:val="center"/>
          </w:tcPr>
          <w:p w14:paraId="4A3CFDEC">
            <w:pPr>
              <w:spacing w:before="0" w:after="0" w:line="240" w:lineRule="auto"/>
              <w:jc w:val="left"/>
            </w:pPr>
            <w:r>
              <w:rPr>
                <w:rFonts w:ascii="Times New Roman" w:hAnsi="Times New Roman" w:eastAsia="Times New Roman"/>
                <w:b w:val="0"/>
                <w:color w:val="000000"/>
                <w:sz w:val="15"/>
              </w:rPr>
              <w:t>CBT-based/third-wave CBT</w:t>
            </w:r>
          </w:p>
        </w:tc>
        <w:tc>
          <w:tcPr>
            <w:tcW w:w="3384" w:type="dxa"/>
            <w:tcBorders>
              <w:top w:val="nil"/>
              <w:left w:val="nil"/>
              <w:bottom w:val="nil"/>
              <w:right w:val="nil"/>
            </w:tcBorders>
            <w:tcMar>
              <w:top w:w="60" w:type="dxa"/>
              <w:left w:w="70" w:type="dxa"/>
              <w:bottom w:w="60" w:type="dxa"/>
              <w:right w:w="70" w:type="dxa"/>
            </w:tcMar>
            <w:vAlign w:val="center"/>
          </w:tcPr>
          <w:p w14:paraId="718EC3F3">
            <w:pPr>
              <w:spacing w:before="0" w:after="0" w:line="240" w:lineRule="auto"/>
              <w:jc w:val="left"/>
            </w:pPr>
            <w:r>
              <w:rPr>
                <w:rFonts w:ascii="Times New Roman" w:hAnsi="Times New Roman" w:eastAsia="Times New Roman"/>
                <w:b w:val="0"/>
                <w:color w:val="000000"/>
                <w:sz w:val="15"/>
              </w:rPr>
              <w:t>ACT was treated as a third-wave CBT approach and was delivered together with CBT.</w:t>
            </w:r>
          </w:p>
        </w:tc>
      </w:tr>
      <w:tr w14:paraId="5314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5B956A0A">
            <w:pPr>
              <w:spacing w:before="0" w:after="0" w:line="240" w:lineRule="auto"/>
              <w:jc w:val="left"/>
            </w:pPr>
            <w:r>
              <w:rPr>
                <w:rFonts w:ascii="Times New Roman" w:hAnsi="Times New Roman" w:eastAsia="Times New Roman"/>
                <w:b w:val="0"/>
                <w:color w:val="000000"/>
                <w:sz w:val="15"/>
              </w:rPr>
              <w:t>Liao et al. (2025)</w:t>
            </w:r>
          </w:p>
        </w:tc>
        <w:tc>
          <w:tcPr>
            <w:tcW w:w="2952" w:type="dxa"/>
            <w:tcBorders>
              <w:top w:val="nil"/>
              <w:left w:val="nil"/>
              <w:bottom w:val="nil"/>
              <w:right w:val="nil"/>
            </w:tcBorders>
            <w:tcMar>
              <w:top w:w="60" w:type="dxa"/>
              <w:left w:w="70" w:type="dxa"/>
              <w:bottom w:w="60" w:type="dxa"/>
              <w:right w:w="70" w:type="dxa"/>
            </w:tcMar>
            <w:vAlign w:val="center"/>
          </w:tcPr>
          <w:p w14:paraId="1A39A8BF">
            <w:pPr>
              <w:spacing w:before="0" w:after="0" w:line="240" w:lineRule="auto"/>
              <w:jc w:val="left"/>
            </w:pPr>
            <w:r>
              <w:rPr>
                <w:rFonts w:ascii="Times New Roman" w:hAnsi="Times New Roman" w:eastAsia="Times New Roman"/>
                <w:b w:val="0"/>
                <w:color w:val="000000"/>
                <w:sz w:val="15"/>
              </w:rPr>
              <w:t>Clinical bibliotherapy/pharmacotherapy-combined intervention</w:t>
            </w:r>
          </w:p>
        </w:tc>
        <w:tc>
          <w:tcPr>
            <w:tcW w:w="2304" w:type="dxa"/>
            <w:tcBorders>
              <w:top w:val="nil"/>
              <w:left w:val="nil"/>
              <w:bottom w:val="nil"/>
              <w:right w:val="nil"/>
            </w:tcBorders>
            <w:tcMar>
              <w:top w:w="60" w:type="dxa"/>
              <w:left w:w="70" w:type="dxa"/>
              <w:bottom w:w="60" w:type="dxa"/>
              <w:right w:w="70" w:type="dxa"/>
            </w:tcMar>
            <w:vAlign w:val="center"/>
          </w:tcPr>
          <w:p w14:paraId="1380D8FC">
            <w:pPr>
              <w:spacing w:before="0" w:after="0" w:line="240" w:lineRule="auto"/>
              <w:jc w:val="left"/>
            </w:pPr>
            <w:r>
              <w:rPr>
                <w:rFonts w:ascii="Times New Roman" w:hAnsi="Times New Roman" w:eastAsia="Times New Roman"/>
                <w:b w:val="0"/>
                <w:color w:val="000000"/>
                <w:sz w:val="15"/>
              </w:rPr>
              <w:t>Disconnected active-comparator network</w:t>
            </w:r>
          </w:p>
        </w:tc>
        <w:tc>
          <w:tcPr>
            <w:tcW w:w="3384" w:type="dxa"/>
            <w:tcBorders>
              <w:top w:val="nil"/>
              <w:left w:val="nil"/>
              <w:bottom w:val="nil"/>
              <w:right w:val="nil"/>
            </w:tcBorders>
            <w:tcMar>
              <w:top w:w="60" w:type="dxa"/>
              <w:left w:w="70" w:type="dxa"/>
              <w:bottom w:w="60" w:type="dxa"/>
              <w:right w:w="70" w:type="dxa"/>
            </w:tcMar>
            <w:vAlign w:val="center"/>
          </w:tcPr>
          <w:p w14:paraId="72AB65B2">
            <w:pPr>
              <w:spacing w:before="0" w:after="0" w:line="240" w:lineRule="auto"/>
              <w:jc w:val="left"/>
            </w:pPr>
            <w:r>
              <w:rPr>
                <w:rFonts w:ascii="Times New Roman" w:hAnsi="Times New Roman" w:eastAsia="Times New Roman"/>
                <w:b w:val="0"/>
                <w:color w:val="000000"/>
                <w:sz w:val="15"/>
              </w:rPr>
              <w:t>The combined intervention and medication/clinical-management comparator formed a clinically distinct, disconnected active-comparator network and were not forced into the main TAU-connected model.</w:t>
            </w:r>
          </w:p>
        </w:tc>
      </w:tr>
      <w:tr w14:paraId="5C93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15CCFBD5">
            <w:pPr>
              <w:spacing w:before="0" w:after="0" w:line="240" w:lineRule="auto"/>
              <w:jc w:val="left"/>
            </w:pPr>
            <w:r>
              <w:rPr>
                <w:rFonts w:ascii="Times New Roman" w:hAnsi="Times New Roman" w:eastAsia="Times New Roman"/>
                <w:b w:val="0"/>
                <w:color w:val="000000"/>
                <w:sz w:val="15"/>
              </w:rPr>
              <w:t>Yin et al. (2025)</w:t>
            </w:r>
          </w:p>
        </w:tc>
        <w:tc>
          <w:tcPr>
            <w:tcW w:w="2952" w:type="dxa"/>
            <w:tcBorders>
              <w:top w:val="nil"/>
              <w:left w:val="nil"/>
              <w:bottom w:val="nil"/>
              <w:right w:val="nil"/>
            </w:tcBorders>
            <w:tcMar>
              <w:top w:w="60" w:type="dxa"/>
              <w:left w:w="70" w:type="dxa"/>
              <w:bottom w:w="60" w:type="dxa"/>
              <w:right w:w="70" w:type="dxa"/>
            </w:tcMar>
            <w:vAlign w:val="center"/>
          </w:tcPr>
          <w:p w14:paraId="048F38E5">
            <w:pPr>
              <w:spacing w:before="0" w:after="0" w:line="240" w:lineRule="auto"/>
              <w:jc w:val="left"/>
            </w:pPr>
            <w:r>
              <w:rPr>
                <w:rFonts w:ascii="Times New Roman" w:hAnsi="Times New Roman" w:eastAsia="Times New Roman"/>
                <w:b w:val="0"/>
                <w:color w:val="000000"/>
                <w:sz w:val="15"/>
              </w:rPr>
              <w:t>Group interpersonal psychotherapy plus TAU</w:t>
            </w:r>
          </w:p>
        </w:tc>
        <w:tc>
          <w:tcPr>
            <w:tcW w:w="2304" w:type="dxa"/>
            <w:tcBorders>
              <w:top w:val="nil"/>
              <w:left w:val="nil"/>
              <w:bottom w:val="nil"/>
              <w:right w:val="nil"/>
            </w:tcBorders>
            <w:tcMar>
              <w:top w:w="60" w:type="dxa"/>
              <w:left w:w="70" w:type="dxa"/>
              <w:bottom w:w="60" w:type="dxa"/>
              <w:right w:w="70" w:type="dxa"/>
            </w:tcMar>
            <w:vAlign w:val="center"/>
          </w:tcPr>
          <w:p w14:paraId="4DB1D460">
            <w:pPr>
              <w:spacing w:before="0" w:after="0" w:line="240" w:lineRule="auto"/>
              <w:jc w:val="left"/>
            </w:pPr>
            <w:r>
              <w:rPr>
                <w:rFonts w:ascii="Times New Roman" w:hAnsi="Times New Roman" w:eastAsia="Times New Roman"/>
                <w:b w:val="0"/>
                <w:color w:val="000000"/>
                <w:sz w:val="15"/>
              </w:rPr>
              <w:t>Group interpersonal psychotherapy</w:t>
            </w:r>
          </w:p>
        </w:tc>
        <w:tc>
          <w:tcPr>
            <w:tcW w:w="3384" w:type="dxa"/>
            <w:tcBorders>
              <w:top w:val="nil"/>
              <w:left w:val="nil"/>
              <w:bottom w:val="nil"/>
              <w:right w:val="nil"/>
            </w:tcBorders>
            <w:tcMar>
              <w:top w:w="60" w:type="dxa"/>
              <w:left w:w="70" w:type="dxa"/>
              <w:bottom w:w="60" w:type="dxa"/>
              <w:right w:w="70" w:type="dxa"/>
            </w:tcMar>
            <w:vAlign w:val="center"/>
          </w:tcPr>
          <w:p w14:paraId="4F1E90A4">
            <w:pPr>
              <w:spacing w:before="0" w:after="0" w:line="240" w:lineRule="auto"/>
              <w:jc w:val="left"/>
            </w:pPr>
            <w:r>
              <w:rPr>
                <w:rFonts w:ascii="Times New Roman" w:hAnsi="Times New Roman" w:eastAsia="Times New Roman"/>
                <w:b w:val="0"/>
                <w:color w:val="000000"/>
                <w:sz w:val="15"/>
              </w:rPr>
              <w:t>Manualized group IPT was retained as a distinct node because its interpersonal model and delivery format were clinically specific.</w:t>
            </w:r>
          </w:p>
        </w:tc>
      </w:tr>
      <w:tr w14:paraId="0D68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108F43A9">
            <w:pPr>
              <w:spacing w:before="0" w:after="0" w:line="240" w:lineRule="auto"/>
              <w:jc w:val="left"/>
            </w:pPr>
            <w:r>
              <w:rPr>
                <w:rFonts w:ascii="Times New Roman" w:hAnsi="Times New Roman" w:eastAsia="Times New Roman"/>
                <w:b w:val="0"/>
                <w:color w:val="000000"/>
                <w:sz w:val="15"/>
              </w:rPr>
              <w:t>Yu et al. (2026)</w:t>
            </w:r>
          </w:p>
        </w:tc>
        <w:tc>
          <w:tcPr>
            <w:tcW w:w="2952" w:type="dxa"/>
            <w:tcBorders>
              <w:top w:val="nil"/>
              <w:left w:val="nil"/>
              <w:bottom w:val="nil"/>
              <w:right w:val="nil"/>
            </w:tcBorders>
            <w:tcMar>
              <w:top w:w="60" w:type="dxa"/>
              <w:left w:w="70" w:type="dxa"/>
              <w:bottom w:w="60" w:type="dxa"/>
              <w:right w:w="70" w:type="dxa"/>
            </w:tcMar>
            <w:vAlign w:val="center"/>
          </w:tcPr>
          <w:p w14:paraId="1E7E50D7">
            <w:pPr>
              <w:spacing w:before="0" w:after="0" w:line="240" w:lineRule="auto"/>
              <w:jc w:val="left"/>
            </w:pPr>
            <w:r>
              <w:rPr>
                <w:rFonts w:ascii="Times New Roman" w:hAnsi="Times New Roman" w:eastAsia="Times New Roman"/>
                <w:b w:val="0"/>
                <w:color w:val="000000"/>
                <w:sz w:val="15"/>
              </w:rPr>
              <w:t>Family-based interpersonal psychotherapy</w:t>
            </w:r>
          </w:p>
        </w:tc>
        <w:tc>
          <w:tcPr>
            <w:tcW w:w="2304" w:type="dxa"/>
            <w:tcBorders>
              <w:top w:val="nil"/>
              <w:left w:val="nil"/>
              <w:bottom w:val="nil"/>
              <w:right w:val="nil"/>
            </w:tcBorders>
            <w:tcMar>
              <w:top w:w="60" w:type="dxa"/>
              <w:left w:w="70" w:type="dxa"/>
              <w:bottom w:w="60" w:type="dxa"/>
              <w:right w:w="70" w:type="dxa"/>
            </w:tcMar>
            <w:vAlign w:val="center"/>
          </w:tcPr>
          <w:p w14:paraId="2C6AC22A">
            <w:pPr>
              <w:spacing w:before="0" w:after="0" w:line="240" w:lineRule="auto"/>
              <w:jc w:val="left"/>
            </w:pPr>
            <w:r>
              <w:rPr>
                <w:rFonts w:ascii="Times New Roman" w:hAnsi="Times New Roman" w:eastAsia="Times New Roman"/>
                <w:b w:val="0"/>
                <w:color w:val="000000"/>
                <w:sz w:val="15"/>
              </w:rPr>
              <w:t>Family-based interpersonal psychotherapy</w:t>
            </w:r>
          </w:p>
        </w:tc>
        <w:tc>
          <w:tcPr>
            <w:tcW w:w="3384" w:type="dxa"/>
            <w:tcBorders>
              <w:top w:val="nil"/>
              <w:left w:val="nil"/>
              <w:bottom w:val="nil"/>
              <w:right w:val="nil"/>
            </w:tcBorders>
            <w:tcMar>
              <w:top w:w="60" w:type="dxa"/>
              <w:left w:w="70" w:type="dxa"/>
              <w:bottom w:w="60" w:type="dxa"/>
              <w:right w:w="70" w:type="dxa"/>
            </w:tcMar>
            <w:vAlign w:val="center"/>
          </w:tcPr>
          <w:p w14:paraId="186A6467">
            <w:pPr>
              <w:spacing w:before="0" w:after="0" w:line="240" w:lineRule="auto"/>
              <w:jc w:val="left"/>
            </w:pPr>
            <w:r>
              <w:rPr>
                <w:rFonts w:ascii="Times New Roman" w:hAnsi="Times New Roman" w:eastAsia="Times New Roman"/>
                <w:b w:val="0"/>
                <w:color w:val="000000"/>
                <w:sz w:val="15"/>
              </w:rPr>
              <w:t>Family-based IPT was retained as a distinct node because family involvement and the interpersonal treatment model were defining components.</w:t>
            </w:r>
          </w:p>
        </w:tc>
      </w:tr>
      <w:tr w14:paraId="4E44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31E3E8C2">
            <w:pPr>
              <w:spacing w:before="0" w:after="0" w:line="240" w:lineRule="auto"/>
              <w:jc w:val="left"/>
            </w:pPr>
            <w:r>
              <w:rPr>
                <w:rFonts w:ascii="Times New Roman" w:hAnsi="Times New Roman" w:eastAsia="Times New Roman"/>
                <w:b w:val="0"/>
                <w:color w:val="000000"/>
                <w:sz w:val="15"/>
              </w:rPr>
              <w:t>Zhou et al. (2026)</w:t>
            </w:r>
          </w:p>
        </w:tc>
        <w:tc>
          <w:tcPr>
            <w:tcW w:w="2952" w:type="dxa"/>
            <w:tcBorders>
              <w:top w:val="nil"/>
              <w:left w:val="nil"/>
              <w:bottom w:val="nil"/>
              <w:right w:val="nil"/>
            </w:tcBorders>
            <w:tcMar>
              <w:top w:w="60" w:type="dxa"/>
              <w:left w:w="70" w:type="dxa"/>
              <w:bottom w:w="60" w:type="dxa"/>
              <w:right w:w="70" w:type="dxa"/>
            </w:tcMar>
            <w:vAlign w:val="center"/>
          </w:tcPr>
          <w:p w14:paraId="6F894B47">
            <w:pPr>
              <w:spacing w:before="0" w:after="0" w:line="240" w:lineRule="auto"/>
              <w:jc w:val="left"/>
            </w:pPr>
            <w:r>
              <w:rPr>
                <w:rFonts w:ascii="Times New Roman" w:hAnsi="Times New Roman" w:eastAsia="Times New Roman"/>
                <w:b w:val="0"/>
                <w:color w:val="000000"/>
                <w:sz w:val="15"/>
              </w:rPr>
              <w:t>Dialectical behavior therapy</w:t>
            </w:r>
          </w:p>
        </w:tc>
        <w:tc>
          <w:tcPr>
            <w:tcW w:w="2304" w:type="dxa"/>
            <w:tcBorders>
              <w:top w:val="nil"/>
              <w:left w:val="nil"/>
              <w:bottom w:val="nil"/>
              <w:right w:val="nil"/>
            </w:tcBorders>
            <w:tcMar>
              <w:top w:w="60" w:type="dxa"/>
              <w:left w:w="70" w:type="dxa"/>
              <w:bottom w:w="60" w:type="dxa"/>
              <w:right w:w="70" w:type="dxa"/>
            </w:tcMar>
            <w:vAlign w:val="center"/>
          </w:tcPr>
          <w:p w14:paraId="43EF1442">
            <w:pPr>
              <w:spacing w:before="0" w:after="0" w:line="240" w:lineRule="auto"/>
              <w:jc w:val="left"/>
            </w:pPr>
            <w:r>
              <w:rPr>
                <w:rFonts w:ascii="Times New Roman" w:hAnsi="Times New Roman" w:eastAsia="Times New Roman"/>
                <w:b w:val="0"/>
                <w:color w:val="000000"/>
                <w:sz w:val="15"/>
              </w:rPr>
              <w:t>DBT-based intervention</w:t>
            </w:r>
          </w:p>
        </w:tc>
        <w:tc>
          <w:tcPr>
            <w:tcW w:w="3384" w:type="dxa"/>
            <w:tcBorders>
              <w:top w:val="nil"/>
              <w:left w:val="nil"/>
              <w:bottom w:val="nil"/>
              <w:right w:val="nil"/>
            </w:tcBorders>
            <w:tcMar>
              <w:top w:w="60" w:type="dxa"/>
              <w:left w:w="70" w:type="dxa"/>
              <w:bottom w:w="60" w:type="dxa"/>
              <w:right w:w="70" w:type="dxa"/>
            </w:tcMar>
            <w:vAlign w:val="center"/>
          </w:tcPr>
          <w:p w14:paraId="2CA4D808">
            <w:pPr>
              <w:spacing w:before="0" w:after="0" w:line="240" w:lineRule="auto"/>
              <w:jc w:val="left"/>
            </w:pPr>
            <w:r>
              <w:rPr>
                <w:rFonts w:ascii="Times New Roman" w:hAnsi="Times New Roman" w:eastAsia="Times New Roman"/>
                <w:b w:val="0"/>
                <w:color w:val="000000"/>
                <w:sz w:val="15"/>
              </w:rPr>
              <w:t>DBT was the explicit therapeutic model.</w:t>
            </w:r>
          </w:p>
        </w:tc>
      </w:tr>
      <w:tr w14:paraId="3BB5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07AF7FD1">
            <w:pPr>
              <w:spacing w:before="0" w:after="0" w:line="240" w:lineRule="auto"/>
              <w:jc w:val="left"/>
            </w:pPr>
            <w:r>
              <w:rPr>
                <w:rFonts w:ascii="Times New Roman" w:hAnsi="Times New Roman" w:eastAsia="Times New Roman"/>
                <w:b w:val="0"/>
                <w:color w:val="000000"/>
                <w:sz w:val="15"/>
              </w:rPr>
              <w:t>Xu et al. (2026)</w:t>
            </w:r>
          </w:p>
        </w:tc>
        <w:tc>
          <w:tcPr>
            <w:tcW w:w="2952" w:type="dxa"/>
            <w:tcBorders>
              <w:top w:val="nil"/>
              <w:left w:val="nil"/>
              <w:bottom w:val="nil"/>
              <w:right w:val="nil"/>
            </w:tcBorders>
            <w:tcMar>
              <w:top w:w="60" w:type="dxa"/>
              <w:left w:w="70" w:type="dxa"/>
              <w:bottom w:w="60" w:type="dxa"/>
              <w:right w:w="70" w:type="dxa"/>
            </w:tcMar>
            <w:vAlign w:val="center"/>
          </w:tcPr>
          <w:p w14:paraId="29B5841A">
            <w:pPr>
              <w:spacing w:before="0" w:after="0" w:line="240" w:lineRule="auto"/>
              <w:jc w:val="left"/>
            </w:pPr>
            <w:r>
              <w:rPr>
                <w:rFonts w:ascii="Times New Roman" w:hAnsi="Times New Roman" w:eastAsia="Times New Roman"/>
                <w:b w:val="0"/>
                <w:color w:val="000000"/>
                <w:sz w:val="15"/>
              </w:rPr>
              <w:t>Staged intervention guided by goal management</w:t>
            </w:r>
          </w:p>
        </w:tc>
        <w:tc>
          <w:tcPr>
            <w:tcW w:w="2304" w:type="dxa"/>
            <w:tcBorders>
              <w:top w:val="nil"/>
              <w:left w:val="nil"/>
              <w:bottom w:val="nil"/>
              <w:right w:val="nil"/>
            </w:tcBorders>
            <w:tcMar>
              <w:top w:w="60" w:type="dxa"/>
              <w:left w:w="70" w:type="dxa"/>
              <w:bottom w:w="60" w:type="dxa"/>
              <w:right w:w="70" w:type="dxa"/>
            </w:tcMar>
            <w:vAlign w:val="center"/>
          </w:tcPr>
          <w:p w14:paraId="08DDEC49">
            <w:pPr>
              <w:spacing w:before="0" w:after="0" w:line="240" w:lineRule="auto"/>
              <w:jc w:val="left"/>
            </w:pPr>
            <w:r>
              <w:rPr>
                <w:rFonts w:ascii="Times New Roman" w:hAnsi="Times New Roman" w:eastAsia="Times New Roman"/>
                <w:b w:val="0"/>
                <w:color w:val="000000"/>
                <w:sz w:val="15"/>
              </w:rPr>
              <w:t>General psychosocial/nursing intervention</w:t>
            </w:r>
          </w:p>
        </w:tc>
        <w:tc>
          <w:tcPr>
            <w:tcW w:w="3384" w:type="dxa"/>
            <w:tcBorders>
              <w:top w:val="nil"/>
              <w:left w:val="nil"/>
              <w:bottom w:val="nil"/>
              <w:right w:val="nil"/>
            </w:tcBorders>
            <w:tcMar>
              <w:top w:w="60" w:type="dxa"/>
              <w:left w:w="70" w:type="dxa"/>
              <w:bottom w:w="60" w:type="dxa"/>
              <w:right w:w="70" w:type="dxa"/>
            </w:tcMar>
            <w:vAlign w:val="center"/>
          </w:tcPr>
          <w:p w14:paraId="65FA17D2">
            <w:pPr>
              <w:spacing w:before="0" w:after="0" w:line="240" w:lineRule="auto"/>
              <w:jc w:val="left"/>
            </w:pPr>
            <w:r>
              <w:rPr>
                <w:rFonts w:ascii="Times New Roman" w:hAnsi="Times New Roman" w:eastAsia="Times New Roman"/>
                <w:b w:val="0"/>
                <w:color w:val="000000"/>
                <w:sz w:val="15"/>
              </w:rPr>
              <w:t>Multicomponent goal-management/psychosocial intervention without a single specific psychotherapy model as the sole defining treatment.</w:t>
            </w:r>
          </w:p>
        </w:tc>
      </w:tr>
      <w:tr w14:paraId="7137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277BEB0B">
            <w:pPr>
              <w:spacing w:before="0" w:after="0" w:line="240" w:lineRule="auto"/>
              <w:jc w:val="left"/>
            </w:pPr>
            <w:r>
              <w:rPr>
                <w:rFonts w:ascii="Times New Roman" w:hAnsi="Times New Roman" w:eastAsia="Times New Roman"/>
                <w:b w:val="0"/>
                <w:color w:val="000000"/>
                <w:sz w:val="15"/>
              </w:rPr>
              <w:t>Cui et al. (2026)</w:t>
            </w:r>
          </w:p>
        </w:tc>
        <w:tc>
          <w:tcPr>
            <w:tcW w:w="2952" w:type="dxa"/>
            <w:tcBorders>
              <w:top w:val="nil"/>
              <w:left w:val="nil"/>
              <w:bottom w:val="nil"/>
              <w:right w:val="nil"/>
            </w:tcBorders>
            <w:tcMar>
              <w:top w:w="60" w:type="dxa"/>
              <w:left w:w="70" w:type="dxa"/>
              <w:bottom w:w="60" w:type="dxa"/>
              <w:right w:w="70" w:type="dxa"/>
            </w:tcMar>
            <w:vAlign w:val="center"/>
          </w:tcPr>
          <w:p w14:paraId="3EE9707B">
            <w:pPr>
              <w:spacing w:before="0" w:after="0" w:line="240" w:lineRule="auto"/>
              <w:jc w:val="left"/>
            </w:pPr>
            <w:r>
              <w:rPr>
                <w:rFonts w:ascii="Times New Roman" w:hAnsi="Times New Roman" w:eastAsia="Times New Roman"/>
                <w:b w:val="0"/>
                <w:color w:val="000000"/>
                <w:sz w:val="15"/>
              </w:rPr>
              <w:t>Positive psychology intervention combined with DBT</w:t>
            </w:r>
          </w:p>
        </w:tc>
        <w:tc>
          <w:tcPr>
            <w:tcW w:w="2304" w:type="dxa"/>
            <w:tcBorders>
              <w:top w:val="nil"/>
              <w:left w:val="nil"/>
              <w:bottom w:val="nil"/>
              <w:right w:val="nil"/>
            </w:tcBorders>
            <w:tcMar>
              <w:top w:w="60" w:type="dxa"/>
              <w:left w:w="70" w:type="dxa"/>
              <w:bottom w:w="60" w:type="dxa"/>
              <w:right w:w="70" w:type="dxa"/>
            </w:tcMar>
            <w:vAlign w:val="center"/>
          </w:tcPr>
          <w:p w14:paraId="6F69DE5E">
            <w:pPr>
              <w:spacing w:before="0" w:after="0" w:line="240" w:lineRule="auto"/>
              <w:jc w:val="left"/>
            </w:pPr>
            <w:r>
              <w:rPr>
                <w:rFonts w:ascii="Times New Roman" w:hAnsi="Times New Roman" w:eastAsia="Times New Roman"/>
                <w:b w:val="0"/>
                <w:color w:val="000000"/>
                <w:sz w:val="15"/>
              </w:rPr>
              <w:t>DBT-based intervention</w:t>
            </w:r>
          </w:p>
        </w:tc>
        <w:tc>
          <w:tcPr>
            <w:tcW w:w="3384" w:type="dxa"/>
            <w:tcBorders>
              <w:top w:val="nil"/>
              <w:left w:val="nil"/>
              <w:bottom w:val="nil"/>
              <w:right w:val="nil"/>
            </w:tcBorders>
            <w:tcMar>
              <w:top w:w="60" w:type="dxa"/>
              <w:left w:w="70" w:type="dxa"/>
              <w:bottom w:w="60" w:type="dxa"/>
              <w:right w:w="70" w:type="dxa"/>
            </w:tcMar>
            <w:vAlign w:val="center"/>
          </w:tcPr>
          <w:p w14:paraId="41A367E8">
            <w:pPr>
              <w:spacing w:before="0" w:after="0" w:line="240" w:lineRule="auto"/>
              <w:jc w:val="left"/>
            </w:pPr>
            <w:r>
              <w:rPr>
                <w:rFonts w:ascii="Times New Roman" w:hAnsi="Times New Roman" w:eastAsia="Times New Roman"/>
                <w:b w:val="0"/>
                <w:color w:val="000000"/>
                <w:sz w:val="15"/>
              </w:rPr>
              <w:t>DBT was the principal structured psychotherapy framework; positive-psychology components were adjunctive.</w:t>
            </w:r>
          </w:p>
        </w:tc>
      </w:tr>
      <w:tr w14:paraId="529C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01C841B7">
            <w:pPr>
              <w:spacing w:before="0" w:after="0" w:line="240" w:lineRule="auto"/>
              <w:jc w:val="left"/>
            </w:pPr>
            <w:r>
              <w:rPr>
                <w:rFonts w:ascii="Times New Roman" w:hAnsi="Times New Roman" w:eastAsia="Times New Roman"/>
                <w:b w:val="0"/>
                <w:color w:val="000000"/>
                <w:sz w:val="15"/>
              </w:rPr>
              <w:t>Peng et al. (2026)</w:t>
            </w:r>
          </w:p>
        </w:tc>
        <w:tc>
          <w:tcPr>
            <w:tcW w:w="2952" w:type="dxa"/>
            <w:tcBorders>
              <w:top w:val="nil"/>
              <w:left w:val="nil"/>
              <w:bottom w:val="nil"/>
              <w:right w:val="nil"/>
            </w:tcBorders>
            <w:tcMar>
              <w:top w:w="60" w:type="dxa"/>
              <w:left w:w="70" w:type="dxa"/>
              <w:bottom w:w="60" w:type="dxa"/>
              <w:right w:w="70" w:type="dxa"/>
            </w:tcMar>
            <w:vAlign w:val="center"/>
          </w:tcPr>
          <w:p w14:paraId="01BBBDFA">
            <w:pPr>
              <w:spacing w:before="0" w:after="0" w:line="240" w:lineRule="auto"/>
              <w:jc w:val="left"/>
            </w:pPr>
            <w:r>
              <w:rPr>
                <w:rFonts w:ascii="Times New Roman" w:hAnsi="Times New Roman" w:eastAsia="Times New Roman"/>
                <w:b w:val="0"/>
                <w:color w:val="000000"/>
                <w:sz w:val="15"/>
              </w:rPr>
              <w:t>CBT-based group counseling</w:t>
            </w:r>
          </w:p>
        </w:tc>
        <w:tc>
          <w:tcPr>
            <w:tcW w:w="2304" w:type="dxa"/>
            <w:tcBorders>
              <w:top w:val="nil"/>
              <w:left w:val="nil"/>
              <w:bottom w:val="nil"/>
              <w:right w:val="nil"/>
            </w:tcBorders>
            <w:tcMar>
              <w:top w:w="60" w:type="dxa"/>
              <w:left w:w="70" w:type="dxa"/>
              <w:bottom w:w="60" w:type="dxa"/>
              <w:right w:w="70" w:type="dxa"/>
            </w:tcMar>
            <w:vAlign w:val="center"/>
          </w:tcPr>
          <w:p w14:paraId="757E3A06">
            <w:pPr>
              <w:spacing w:before="0" w:after="0" w:line="240" w:lineRule="auto"/>
              <w:jc w:val="left"/>
            </w:pPr>
            <w:r>
              <w:rPr>
                <w:rFonts w:ascii="Times New Roman" w:hAnsi="Times New Roman" w:eastAsia="Times New Roman"/>
                <w:b w:val="0"/>
                <w:color w:val="000000"/>
                <w:sz w:val="15"/>
              </w:rPr>
              <w:t>CBT-based/third-wave CBT</w:t>
            </w:r>
          </w:p>
        </w:tc>
        <w:tc>
          <w:tcPr>
            <w:tcW w:w="3384" w:type="dxa"/>
            <w:tcBorders>
              <w:top w:val="nil"/>
              <w:left w:val="nil"/>
              <w:bottom w:val="nil"/>
              <w:right w:val="nil"/>
            </w:tcBorders>
            <w:tcMar>
              <w:top w:w="60" w:type="dxa"/>
              <w:left w:w="70" w:type="dxa"/>
              <w:bottom w:w="60" w:type="dxa"/>
              <w:right w:w="70" w:type="dxa"/>
            </w:tcMar>
            <w:vAlign w:val="center"/>
          </w:tcPr>
          <w:p w14:paraId="612FD746">
            <w:pPr>
              <w:spacing w:before="0" w:after="0" w:line="240" w:lineRule="auto"/>
              <w:jc w:val="left"/>
            </w:pPr>
            <w:r>
              <w:rPr>
                <w:rFonts w:ascii="Times New Roman" w:hAnsi="Times New Roman" w:eastAsia="Times New Roman"/>
                <w:b w:val="0"/>
                <w:color w:val="000000"/>
                <w:sz w:val="15"/>
              </w:rPr>
              <w:t>CBT was the explicit treatment framework.</w:t>
            </w:r>
          </w:p>
        </w:tc>
      </w:tr>
      <w:tr w14:paraId="2802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nil"/>
              <w:right w:val="nil"/>
            </w:tcBorders>
            <w:tcMar>
              <w:top w:w="60" w:type="dxa"/>
              <w:left w:w="70" w:type="dxa"/>
              <w:bottom w:w="60" w:type="dxa"/>
              <w:right w:w="70" w:type="dxa"/>
            </w:tcMar>
            <w:vAlign w:val="center"/>
          </w:tcPr>
          <w:p w14:paraId="195057D2">
            <w:pPr>
              <w:spacing w:before="0" w:after="0" w:line="240" w:lineRule="auto"/>
              <w:jc w:val="left"/>
            </w:pPr>
            <w:r>
              <w:rPr>
                <w:rFonts w:ascii="Times New Roman" w:hAnsi="Times New Roman" w:eastAsia="Times New Roman"/>
                <w:b w:val="0"/>
                <w:color w:val="000000"/>
                <w:sz w:val="15"/>
              </w:rPr>
              <w:t>Mao et al. (2026)</w:t>
            </w:r>
          </w:p>
        </w:tc>
        <w:tc>
          <w:tcPr>
            <w:tcW w:w="2952" w:type="dxa"/>
            <w:tcBorders>
              <w:top w:val="nil"/>
              <w:left w:val="nil"/>
              <w:bottom w:val="nil"/>
              <w:right w:val="nil"/>
            </w:tcBorders>
            <w:tcMar>
              <w:top w:w="60" w:type="dxa"/>
              <w:left w:w="70" w:type="dxa"/>
              <w:bottom w:w="60" w:type="dxa"/>
              <w:right w:w="70" w:type="dxa"/>
            </w:tcMar>
            <w:vAlign w:val="center"/>
          </w:tcPr>
          <w:p w14:paraId="473795C5">
            <w:pPr>
              <w:spacing w:before="0" w:after="0" w:line="240" w:lineRule="auto"/>
              <w:jc w:val="left"/>
            </w:pPr>
            <w:r>
              <w:rPr>
                <w:rFonts w:ascii="Times New Roman" w:hAnsi="Times New Roman" w:eastAsia="Times New Roman"/>
                <w:b w:val="0"/>
                <w:color w:val="000000"/>
                <w:sz w:val="15"/>
              </w:rPr>
              <w:t>Mindfulness-based stress reduction combined with cognitive therapy</w:t>
            </w:r>
          </w:p>
        </w:tc>
        <w:tc>
          <w:tcPr>
            <w:tcW w:w="2304" w:type="dxa"/>
            <w:tcBorders>
              <w:top w:val="nil"/>
              <w:left w:val="nil"/>
              <w:bottom w:val="nil"/>
              <w:right w:val="nil"/>
            </w:tcBorders>
            <w:tcMar>
              <w:top w:w="60" w:type="dxa"/>
              <w:left w:w="70" w:type="dxa"/>
              <w:bottom w:w="60" w:type="dxa"/>
              <w:right w:w="70" w:type="dxa"/>
            </w:tcMar>
            <w:vAlign w:val="center"/>
          </w:tcPr>
          <w:p w14:paraId="41E02812">
            <w:pPr>
              <w:spacing w:before="0" w:after="0" w:line="240" w:lineRule="auto"/>
              <w:jc w:val="left"/>
            </w:pPr>
            <w:r>
              <w:rPr>
                <w:rFonts w:ascii="Times New Roman" w:hAnsi="Times New Roman" w:eastAsia="Times New Roman"/>
                <w:b w:val="0"/>
                <w:color w:val="000000"/>
                <w:sz w:val="15"/>
              </w:rPr>
              <w:t>CBT-based/third-wave CBT</w:t>
            </w:r>
          </w:p>
        </w:tc>
        <w:tc>
          <w:tcPr>
            <w:tcW w:w="3384" w:type="dxa"/>
            <w:tcBorders>
              <w:top w:val="nil"/>
              <w:left w:val="nil"/>
              <w:bottom w:val="nil"/>
              <w:right w:val="nil"/>
            </w:tcBorders>
            <w:tcMar>
              <w:top w:w="60" w:type="dxa"/>
              <w:left w:w="70" w:type="dxa"/>
              <w:bottom w:w="60" w:type="dxa"/>
              <w:right w:w="70" w:type="dxa"/>
            </w:tcMar>
            <w:vAlign w:val="center"/>
          </w:tcPr>
          <w:p w14:paraId="78C0D312">
            <w:pPr>
              <w:spacing w:before="0" w:after="0" w:line="240" w:lineRule="auto"/>
              <w:jc w:val="left"/>
            </w:pPr>
            <w:r>
              <w:rPr>
                <w:rFonts w:ascii="Times New Roman" w:hAnsi="Times New Roman" w:eastAsia="Times New Roman"/>
                <w:b w:val="0"/>
                <w:color w:val="000000"/>
                <w:sz w:val="15"/>
              </w:rPr>
              <w:t>Mindfulness and cognitive therapy were grouped with third-wave CBT approaches according to the prespecified node rule.</w:t>
            </w:r>
          </w:p>
        </w:tc>
      </w:tr>
      <w:tr w14:paraId="488E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00" w:type="dxa"/>
            <w:tcBorders>
              <w:top w:val="nil"/>
              <w:left w:val="nil"/>
              <w:bottom w:val="single" w:color="auto" w:sz="8" w:space="0"/>
              <w:right w:val="nil"/>
            </w:tcBorders>
            <w:tcMar>
              <w:top w:w="60" w:type="dxa"/>
              <w:left w:w="70" w:type="dxa"/>
              <w:bottom w:w="60" w:type="dxa"/>
              <w:right w:w="70" w:type="dxa"/>
            </w:tcMar>
            <w:vAlign w:val="center"/>
          </w:tcPr>
          <w:p w14:paraId="6BC5DE93">
            <w:pPr>
              <w:spacing w:before="0" w:after="0" w:line="240" w:lineRule="auto"/>
              <w:jc w:val="left"/>
            </w:pPr>
            <w:r>
              <w:rPr>
                <w:rFonts w:ascii="Times New Roman" w:hAnsi="Times New Roman" w:eastAsia="Times New Roman"/>
                <w:b w:val="0"/>
                <w:color w:val="000000"/>
                <w:sz w:val="15"/>
              </w:rPr>
              <w:t>Zhang Y-Y et al. (2024)</w:t>
            </w:r>
          </w:p>
        </w:tc>
        <w:tc>
          <w:tcPr>
            <w:tcW w:w="2952" w:type="dxa"/>
            <w:tcBorders>
              <w:top w:val="nil"/>
              <w:left w:val="nil"/>
              <w:bottom w:val="single" w:color="auto" w:sz="8" w:space="0"/>
              <w:right w:val="nil"/>
            </w:tcBorders>
            <w:tcMar>
              <w:top w:w="60" w:type="dxa"/>
              <w:left w:w="70" w:type="dxa"/>
              <w:bottom w:w="60" w:type="dxa"/>
              <w:right w:w="70" w:type="dxa"/>
            </w:tcMar>
            <w:vAlign w:val="center"/>
          </w:tcPr>
          <w:p w14:paraId="4CCE0F55">
            <w:pPr>
              <w:spacing w:before="0" w:after="0" w:line="240" w:lineRule="auto"/>
              <w:jc w:val="left"/>
            </w:pPr>
            <w:r>
              <w:rPr>
                <w:rFonts w:ascii="Times New Roman" w:hAnsi="Times New Roman" w:eastAsia="Times New Roman"/>
                <w:b w:val="0"/>
                <w:color w:val="000000"/>
                <w:sz w:val="15"/>
              </w:rPr>
              <w:t>Narrative therapy</w:t>
            </w:r>
          </w:p>
        </w:tc>
        <w:tc>
          <w:tcPr>
            <w:tcW w:w="2304" w:type="dxa"/>
            <w:tcBorders>
              <w:top w:val="nil"/>
              <w:left w:val="nil"/>
              <w:bottom w:val="single" w:color="auto" w:sz="8" w:space="0"/>
              <w:right w:val="nil"/>
            </w:tcBorders>
            <w:tcMar>
              <w:top w:w="60" w:type="dxa"/>
              <w:left w:w="70" w:type="dxa"/>
              <w:bottom w:w="60" w:type="dxa"/>
              <w:right w:w="70" w:type="dxa"/>
            </w:tcMar>
            <w:vAlign w:val="center"/>
          </w:tcPr>
          <w:p w14:paraId="52655ABE">
            <w:pPr>
              <w:spacing w:before="0" w:after="0" w:line="240" w:lineRule="auto"/>
              <w:jc w:val="left"/>
            </w:pPr>
            <w:r>
              <w:rPr>
                <w:rFonts w:ascii="Times New Roman" w:hAnsi="Times New Roman" w:eastAsia="Times New Roman"/>
                <w:b w:val="0"/>
                <w:color w:val="000000"/>
                <w:sz w:val="15"/>
              </w:rPr>
              <w:t>Narrative/expressive therapy</w:t>
            </w:r>
          </w:p>
        </w:tc>
        <w:tc>
          <w:tcPr>
            <w:tcW w:w="3384" w:type="dxa"/>
            <w:tcBorders>
              <w:top w:val="nil"/>
              <w:left w:val="nil"/>
              <w:bottom w:val="single" w:color="auto" w:sz="8" w:space="0"/>
              <w:right w:val="nil"/>
            </w:tcBorders>
            <w:tcMar>
              <w:top w:w="60" w:type="dxa"/>
              <w:left w:w="70" w:type="dxa"/>
              <w:bottom w:w="60" w:type="dxa"/>
              <w:right w:w="70" w:type="dxa"/>
            </w:tcMar>
            <w:vAlign w:val="center"/>
          </w:tcPr>
          <w:p w14:paraId="515A56A4">
            <w:pPr>
              <w:spacing w:before="0" w:after="0" w:line="240" w:lineRule="auto"/>
              <w:jc w:val="left"/>
            </w:pPr>
            <w:r>
              <w:rPr>
                <w:rFonts w:ascii="Times New Roman" w:hAnsi="Times New Roman" w:eastAsia="Times New Roman"/>
                <w:b w:val="0"/>
                <w:color w:val="000000"/>
                <w:sz w:val="15"/>
              </w:rPr>
              <w:t>Narrative restructuring and expression were the defining therapeutic components.</w:t>
            </w:r>
          </w:p>
        </w:tc>
      </w:tr>
    </w:tbl>
    <w:p w14:paraId="5DADE4A1">
      <w:pPr>
        <w:spacing w:before="40" w:after="100"/>
      </w:pPr>
      <w:r>
        <w:rPr>
          <w:rFonts w:ascii="Times New Roman" w:hAnsi="Times New Roman" w:eastAsia="Times New Roman"/>
          <w:color w:val="000000"/>
          <w:sz w:val="16"/>
        </w:rPr>
        <w:t>Note: The table documents the study-level implementation of the node definitions described in Methods Section 2.8. Classification was based on theoretical orientation, core therapeutic components, and delivery format; clinically distinct IPT nodes were retained rather than merged when doing so preserved interpretability.</w:t>
      </w:r>
    </w:p>
    <w:p w14:paraId="3BDA9712">
      <w:pPr>
        <w:spacing w:before="160" w:after="80"/>
      </w:pPr>
      <w:r>
        <w:rPr>
          <w:rFonts w:ascii="Times New Roman" w:hAnsi="Times New Roman" w:eastAsia="Times New Roman"/>
          <w:b/>
          <w:color w:val="000000"/>
          <w:sz w:val="20"/>
        </w:rPr>
        <w:t>Supplementary Table S5. Complete database-specific search strategies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0"/>
        <w:gridCol w:w="7920"/>
      </w:tblGrid>
      <w:tr w14:paraId="4509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20" w:type="dxa"/>
            <w:tcBorders>
              <w:top w:val="single" w:color="auto" w:sz="8" w:space="0"/>
              <w:left w:val="nil"/>
              <w:bottom w:val="single" w:color="auto" w:sz="6" w:space="0"/>
              <w:right w:val="nil"/>
            </w:tcBorders>
            <w:tcMar>
              <w:top w:w="60" w:type="dxa"/>
              <w:left w:w="70" w:type="dxa"/>
              <w:bottom w:w="60" w:type="dxa"/>
              <w:right w:w="70" w:type="dxa"/>
            </w:tcMar>
            <w:vAlign w:val="center"/>
          </w:tcPr>
          <w:p w14:paraId="43D80236">
            <w:pPr>
              <w:spacing w:before="0" w:after="0" w:line="240" w:lineRule="auto"/>
              <w:jc w:val="center"/>
            </w:pPr>
            <w:r>
              <w:rPr>
                <w:rFonts w:ascii="Times New Roman" w:hAnsi="Times New Roman" w:eastAsia="Times New Roman"/>
                <w:b/>
                <w:color w:val="000000"/>
                <w:sz w:val="16"/>
              </w:rPr>
              <w:t>Database and coverage</w:t>
            </w:r>
          </w:p>
        </w:tc>
        <w:tc>
          <w:tcPr>
            <w:tcW w:w="7920" w:type="dxa"/>
            <w:tcBorders>
              <w:top w:val="single" w:color="auto" w:sz="8" w:space="0"/>
              <w:left w:val="nil"/>
              <w:bottom w:val="single" w:color="auto" w:sz="6" w:space="0"/>
              <w:right w:val="nil"/>
            </w:tcBorders>
            <w:tcMar>
              <w:top w:w="60" w:type="dxa"/>
              <w:left w:w="70" w:type="dxa"/>
              <w:bottom w:w="60" w:type="dxa"/>
              <w:right w:w="70" w:type="dxa"/>
            </w:tcMar>
            <w:vAlign w:val="center"/>
          </w:tcPr>
          <w:p w14:paraId="4BF0951F">
            <w:pPr>
              <w:spacing w:before="0" w:after="0" w:line="240" w:lineRule="auto"/>
              <w:jc w:val="center"/>
            </w:pPr>
            <w:r>
              <w:rPr>
                <w:rFonts w:ascii="Times New Roman" w:hAnsi="Times New Roman" w:eastAsia="Times New Roman"/>
                <w:b/>
                <w:color w:val="000000"/>
                <w:sz w:val="16"/>
              </w:rPr>
              <w:t>Search syntax</w:t>
            </w:r>
          </w:p>
        </w:tc>
      </w:tr>
      <w:tr w14:paraId="53BC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0" w:type="dxa"/>
            <w:tcBorders>
              <w:top w:val="single" w:color="auto" w:sz="6" w:space="0"/>
              <w:left w:val="nil"/>
              <w:bottom w:val="nil"/>
              <w:right w:val="nil"/>
            </w:tcBorders>
            <w:tcMar>
              <w:top w:w="60" w:type="dxa"/>
              <w:left w:w="70" w:type="dxa"/>
              <w:bottom w:w="60" w:type="dxa"/>
              <w:right w:w="70" w:type="dxa"/>
            </w:tcMar>
            <w:vAlign w:val="center"/>
          </w:tcPr>
          <w:p w14:paraId="04EA3D1C">
            <w:pPr>
              <w:spacing w:before="0" w:after="0" w:line="240" w:lineRule="auto"/>
              <w:jc w:val="left"/>
            </w:pPr>
            <w:r>
              <w:rPr>
                <w:rFonts w:ascii="Times New Roman" w:hAnsi="Times New Roman" w:eastAsia="Times New Roman"/>
                <w:b w:val="0"/>
                <w:color w:val="000000"/>
                <w:sz w:val="15"/>
              </w:rPr>
              <w:t>PubMed</w:t>
            </w:r>
            <w:r>
              <w:rPr>
                <w:rFonts w:ascii="Times New Roman" w:hAnsi="Times New Roman" w:eastAsia="Times New Roman"/>
                <w:b w:val="0"/>
                <w:color w:val="000000"/>
                <w:sz w:val="15"/>
              </w:rPr>
              <w:br w:type="textWrapping"/>
            </w:r>
            <w:r>
              <w:rPr>
                <w:rFonts w:ascii="Times New Roman" w:hAnsi="Times New Roman" w:eastAsia="Times New Roman"/>
                <w:b w:val="0"/>
                <w:color w:val="000000"/>
                <w:sz w:val="15"/>
              </w:rPr>
              <w:t>Coverage: inception to July 4, 2026</w:t>
            </w:r>
          </w:p>
        </w:tc>
        <w:tc>
          <w:tcPr>
            <w:tcW w:w="7920" w:type="dxa"/>
            <w:tcBorders>
              <w:top w:val="single" w:color="auto" w:sz="6" w:space="0"/>
              <w:left w:val="nil"/>
              <w:bottom w:val="nil"/>
              <w:right w:val="nil"/>
            </w:tcBorders>
            <w:tcMar>
              <w:top w:w="60" w:type="dxa"/>
              <w:left w:w="70" w:type="dxa"/>
              <w:bottom w:w="60" w:type="dxa"/>
              <w:right w:w="70" w:type="dxa"/>
            </w:tcMar>
            <w:vAlign w:val="center"/>
          </w:tcPr>
          <w:p w14:paraId="18DD6D07">
            <w:pPr>
              <w:spacing w:before="0" w:after="0" w:line="240" w:lineRule="auto"/>
              <w:jc w:val="left"/>
            </w:pPr>
            <w:r>
              <w:rPr>
                <w:rFonts w:ascii="Times New Roman" w:hAnsi="Times New Roman" w:eastAsia="Times New Roman"/>
                <w:b w:val="0"/>
                <w:color w:val="000000"/>
                <w:sz w:val="14"/>
              </w:rPr>
              <w:t>(("Adolescent"[Mesh] OR adolescent*[tiab] OR youth[tiab] OR "young people"[tiab] OR "young person"[tiab] OR "young persons"[tiab]) AND ("Self-Injurious Behavior"[Mesh] OR "non-suicidal self-injury"[tiab] OR "nonsuicidal self-injury"[tiab] OR NSSI[tiab] OR self-harm*[tiab] OR "self injur*"[tiab] OR "suicidal ideation"[tiab] OR "suicide attempt*"[tiab] OR "suicidal behavio*"[tiab]) AND ("Psychotherapy"[Mesh] OR psychosocial[tiab] OR psychotherap*[tiab] OR "psychological intervention*"[tiab] OR "cognitive behavio* therapy"[tiab] OR CBT[tiab] OR "dialectical behavio* therapy"[tiab] OR DBT[tiab] OR "family therap*"[tiab] OR "family intervention*"[tiab] OR "group therap*"[tiab] OR mindfulness[tiab] OR "nursing intervention*"[tiab]) AND (randomized controlled trial[pt] OR controlled clinical trial[pt] OR random*[tiab] OR trial[tiab]))</w:t>
            </w:r>
          </w:p>
        </w:tc>
      </w:tr>
      <w:tr w14:paraId="5085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0" w:type="dxa"/>
            <w:tcBorders>
              <w:top w:val="nil"/>
              <w:left w:val="nil"/>
              <w:bottom w:val="nil"/>
              <w:right w:val="nil"/>
            </w:tcBorders>
            <w:tcMar>
              <w:top w:w="60" w:type="dxa"/>
              <w:left w:w="70" w:type="dxa"/>
              <w:bottom w:w="60" w:type="dxa"/>
              <w:right w:w="70" w:type="dxa"/>
            </w:tcMar>
            <w:vAlign w:val="center"/>
          </w:tcPr>
          <w:p w14:paraId="22918676">
            <w:pPr>
              <w:spacing w:before="0" w:after="0" w:line="240" w:lineRule="auto"/>
              <w:jc w:val="left"/>
            </w:pPr>
            <w:r>
              <w:rPr>
                <w:rFonts w:ascii="Times New Roman" w:hAnsi="Times New Roman" w:eastAsia="Times New Roman"/>
                <w:b w:val="0"/>
                <w:color w:val="000000"/>
                <w:sz w:val="15"/>
              </w:rPr>
              <w:t>Embase</w:t>
            </w:r>
            <w:r>
              <w:rPr>
                <w:rFonts w:ascii="Times New Roman" w:hAnsi="Times New Roman" w:eastAsia="Times New Roman"/>
                <w:b w:val="0"/>
                <w:color w:val="000000"/>
                <w:sz w:val="15"/>
              </w:rPr>
              <w:br w:type="textWrapping"/>
            </w:r>
            <w:r>
              <w:rPr>
                <w:rFonts w:ascii="Times New Roman" w:hAnsi="Times New Roman" w:eastAsia="Times New Roman"/>
                <w:b w:val="0"/>
                <w:color w:val="000000"/>
                <w:sz w:val="15"/>
              </w:rPr>
              <w:t>Coverage: inception to July 4, 2026</w:t>
            </w:r>
          </w:p>
        </w:tc>
        <w:tc>
          <w:tcPr>
            <w:tcW w:w="7920" w:type="dxa"/>
            <w:tcBorders>
              <w:top w:val="nil"/>
              <w:left w:val="nil"/>
              <w:bottom w:val="nil"/>
              <w:right w:val="nil"/>
            </w:tcBorders>
            <w:tcMar>
              <w:top w:w="60" w:type="dxa"/>
              <w:left w:w="70" w:type="dxa"/>
              <w:bottom w:w="60" w:type="dxa"/>
              <w:right w:w="70" w:type="dxa"/>
            </w:tcMar>
            <w:vAlign w:val="center"/>
          </w:tcPr>
          <w:p w14:paraId="217E8E74">
            <w:pPr>
              <w:spacing w:before="0" w:after="0" w:line="240" w:lineRule="auto"/>
              <w:jc w:val="left"/>
            </w:pPr>
            <w:r>
              <w:rPr>
                <w:rFonts w:ascii="Times New Roman" w:hAnsi="Times New Roman" w:eastAsia="Times New Roman"/>
                <w:b w:val="0"/>
                <w:color w:val="000000"/>
                <w:sz w:val="14"/>
              </w:rPr>
              <w:t>('adolescent'/exp OR adolescent*:ti,ab,kw OR youth:ti,ab,kw OR 'young people':ti,ab,kw) AND ('self injurious behavior'/exp OR 'non suicidal self injury':ti,ab,kw OR 'nonsuicidal self injury':ti,ab,kw OR nssi:ti,ab,kw OR 'self harm':ti,ab,kw OR 'suicidal ideation':ti,ab,kw OR 'suicide attempt':ti,ab,kw OR 'suicidal behavior':ti,ab,kw) AND ('psychotherapy'/exp OR psychosocial:ti,ab,kw OR psychotherap*:ti,ab,kw OR 'psychological intervention':ti,ab,kw OR 'cognitive behavioral therapy'/exp OR cbt:ti,ab,kw OR 'dialectical behavior therapy':ti,ab,kw OR dbt:ti,ab,kw OR 'family therapy'/exp OR 'group therapy'/exp OR mindfulness:ti,ab,kw OR 'nursing intervention':ti,ab,kw) AND ('randomized controlled trial'/exp OR random*:ti,ab,kw OR trial:ti,ab,kw)</w:t>
            </w:r>
          </w:p>
        </w:tc>
      </w:tr>
      <w:tr w14:paraId="32D1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0" w:type="dxa"/>
            <w:tcBorders>
              <w:top w:val="nil"/>
              <w:left w:val="nil"/>
              <w:bottom w:val="nil"/>
              <w:right w:val="nil"/>
            </w:tcBorders>
            <w:tcMar>
              <w:top w:w="60" w:type="dxa"/>
              <w:left w:w="70" w:type="dxa"/>
              <w:bottom w:w="60" w:type="dxa"/>
              <w:right w:w="70" w:type="dxa"/>
            </w:tcMar>
            <w:vAlign w:val="center"/>
          </w:tcPr>
          <w:p w14:paraId="2F141345">
            <w:pPr>
              <w:spacing w:before="0" w:after="0" w:line="240" w:lineRule="auto"/>
              <w:jc w:val="left"/>
            </w:pPr>
            <w:r>
              <w:rPr>
                <w:rFonts w:ascii="Times New Roman" w:hAnsi="Times New Roman" w:eastAsia="Times New Roman"/>
                <w:b w:val="0"/>
                <w:color w:val="000000"/>
                <w:sz w:val="15"/>
              </w:rPr>
              <w:t>Web of Science Core Collection</w:t>
            </w:r>
            <w:r>
              <w:rPr>
                <w:rFonts w:ascii="Times New Roman" w:hAnsi="Times New Roman" w:eastAsia="Times New Roman"/>
                <w:b w:val="0"/>
                <w:color w:val="000000"/>
                <w:sz w:val="15"/>
              </w:rPr>
              <w:br w:type="textWrapping"/>
            </w:r>
            <w:r>
              <w:rPr>
                <w:rFonts w:ascii="Times New Roman" w:hAnsi="Times New Roman" w:eastAsia="Times New Roman"/>
                <w:b w:val="0"/>
                <w:color w:val="000000"/>
                <w:sz w:val="15"/>
              </w:rPr>
              <w:t>Coverage: inception to July 4, 2026</w:t>
            </w:r>
          </w:p>
        </w:tc>
        <w:tc>
          <w:tcPr>
            <w:tcW w:w="7920" w:type="dxa"/>
            <w:tcBorders>
              <w:top w:val="nil"/>
              <w:left w:val="nil"/>
              <w:bottom w:val="nil"/>
              <w:right w:val="nil"/>
            </w:tcBorders>
            <w:tcMar>
              <w:top w:w="60" w:type="dxa"/>
              <w:left w:w="70" w:type="dxa"/>
              <w:bottom w:w="60" w:type="dxa"/>
              <w:right w:w="70" w:type="dxa"/>
            </w:tcMar>
            <w:vAlign w:val="center"/>
          </w:tcPr>
          <w:p w14:paraId="6DCB465D">
            <w:pPr>
              <w:spacing w:before="0" w:after="0" w:line="240" w:lineRule="auto"/>
              <w:jc w:val="left"/>
            </w:pPr>
            <w:r>
              <w:rPr>
                <w:rFonts w:ascii="Times New Roman" w:hAnsi="Times New Roman" w:eastAsia="Times New Roman"/>
                <w:b w:val="0"/>
                <w:color w:val="000000"/>
                <w:sz w:val="14"/>
              </w:rPr>
              <w:t>TS=(adolescent* OR youth OR "young people" OR "young person*") AND TS=("non-suicidal self-injur*" OR "nonsuicidal self-injur*" OR NSSI OR self-harm* OR "self injur*" OR "suicidal ideation" OR "suicide attempt*" OR "suicidal behavio*") AND TS=(psychosocial OR psychotherap* OR "psychological intervention*" OR "cognitive behavio* therapy" OR CBT OR "dialectical behavio* therapy" OR DBT OR "family therap*" OR "family intervention*" OR "group therap*" OR mindfulness OR "nursing intervention*") AND TS=(random* OR trial OR "controlled trial")</w:t>
            </w:r>
          </w:p>
        </w:tc>
      </w:tr>
      <w:tr w14:paraId="5457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0" w:type="dxa"/>
            <w:tcBorders>
              <w:top w:val="nil"/>
              <w:left w:val="nil"/>
              <w:bottom w:val="nil"/>
              <w:right w:val="nil"/>
            </w:tcBorders>
            <w:tcMar>
              <w:top w:w="60" w:type="dxa"/>
              <w:left w:w="70" w:type="dxa"/>
              <w:bottom w:w="60" w:type="dxa"/>
              <w:right w:w="70" w:type="dxa"/>
            </w:tcMar>
            <w:vAlign w:val="center"/>
          </w:tcPr>
          <w:p w14:paraId="568617F0">
            <w:pPr>
              <w:spacing w:before="0" w:after="0" w:line="240" w:lineRule="auto"/>
              <w:jc w:val="left"/>
            </w:pPr>
            <w:r>
              <w:rPr>
                <w:rFonts w:ascii="Times New Roman" w:hAnsi="Times New Roman" w:eastAsia="Times New Roman"/>
                <w:b w:val="0"/>
                <w:color w:val="000000"/>
                <w:sz w:val="15"/>
              </w:rPr>
              <w:t>Cochrane Library/CENTRAL</w:t>
            </w:r>
            <w:r>
              <w:rPr>
                <w:rFonts w:ascii="Times New Roman" w:hAnsi="Times New Roman" w:eastAsia="Times New Roman"/>
                <w:b w:val="0"/>
                <w:color w:val="000000"/>
                <w:sz w:val="15"/>
              </w:rPr>
              <w:br w:type="textWrapping"/>
            </w:r>
            <w:r>
              <w:rPr>
                <w:rFonts w:ascii="Times New Roman" w:hAnsi="Times New Roman" w:eastAsia="Times New Roman"/>
                <w:b w:val="0"/>
                <w:color w:val="000000"/>
                <w:sz w:val="15"/>
              </w:rPr>
              <w:t>Coverage: inception to July 4, 2026</w:t>
            </w:r>
          </w:p>
        </w:tc>
        <w:tc>
          <w:tcPr>
            <w:tcW w:w="7920" w:type="dxa"/>
            <w:tcBorders>
              <w:top w:val="nil"/>
              <w:left w:val="nil"/>
              <w:bottom w:val="nil"/>
              <w:right w:val="nil"/>
            </w:tcBorders>
            <w:tcMar>
              <w:top w:w="60" w:type="dxa"/>
              <w:left w:w="70" w:type="dxa"/>
              <w:bottom w:w="60" w:type="dxa"/>
              <w:right w:w="70" w:type="dxa"/>
            </w:tcMar>
            <w:vAlign w:val="center"/>
          </w:tcPr>
          <w:p w14:paraId="61AB2CAB">
            <w:pPr>
              <w:spacing w:before="0" w:after="0" w:line="240" w:lineRule="auto"/>
              <w:jc w:val="left"/>
            </w:pPr>
            <w:r>
              <w:rPr>
                <w:rFonts w:ascii="Times New Roman" w:hAnsi="Times New Roman" w:eastAsia="Times New Roman"/>
                <w:b w:val="0"/>
                <w:color w:val="000000"/>
                <w:sz w:val="14"/>
              </w:rPr>
              <w:t>([mh Adolescent] OR adolescent*:ti,ab,kw OR youth:ti,ab,kw OR "young people":ti,ab,kw) AND ([mh "Self-Injurious Behavior"] OR "non-suicidal self-injur*":ti,ab,kw OR "nonsuicidal self-injur*":ti,ab,kw OR NSSI:ti,ab,kw OR self-harm*:ti,ab,kw OR "suicidal ideation":ti,ab,kw OR "suicide attempt*":ti,ab,kw OR "suicidal behavio*":ti,ab,kw) AND ([mh Psychotherapy] OR psychosocial:ti,ab,kw OR psychotherap*:ti,ab,kw OR "cognitive behavio* therapy":ti,ab,kw OR CBT:ti,ab,kw OR "dialectical behavio* therapy":ti,ab,kw OR DBT:ti,ab,kw OR "family therap*":ti,ab,kw OR "group therap*":ti,ab,kw OR mindfulness:ti,ab,kw OR "nursing intervention*":ti,ab,kw) in Trials</w:t>
            </w:r>
          </w:p>
        </w:tc>
      </w:tr>
      <w:tr w14:paraId="35630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0" w:type="dxa"/>
            <w:tcBorders>
              <w:top w:val="nil"/>
              <w:left w:val="nil"/>
              <w:bottom w:val="nil"/>
              <w:right w:val="nil"/>
            </w:tcBorders>
            <w:tcMar>
              <w:top w:w="60" w:type="dxa"/>
              <w:left w:w="70" w:type="dxa"/>
              <w:bottom w:w="60" w:type="dxa"/>
              <w:right w:w="70" w:type="dxa"/>
            </w:tcMar>
            <w:vAlign w:val="center"/>
          </w:tcPr>
          <w:p w14:paraId="3029882D">
            <w:pPr>
              <w:spacing w:before="0" w:after="0" w:line="240" w:lineRule="auto"/>
              <w:jc w:val="left"/>
            </w:pPr>
            <w:r>
              <w:rPr>
                <w:rFonts w:ascii="Times New Roman" w:hAnsi="Times New Roman" w:eastAsia="Times New Roman"/>
                <w:b w:val="0"/>
                <w:color w:val="000000"/>
                <w:sz w:val="15"/>
              </w:rPr>
              <w:t>Scopus</w:t>
            </w:r>
            <w:r>
              <w:rPr>
                <w:rFonts w:ascii="Times New Roman" w:hAnsi="Times New Roman" w:eastAsia="Times New Roman"/>
                <w:b w:val="0"/>
                <w:color w:val="000000"/>
                <w:sz w:val="15"/>
              </w:rPr>
              <w:br w:type="textWrapping"/>
            </w:r>
            <w:r>
              <w:rPr>
                <w:rFonts w:ascii="Times New Roman" w:hAnsi="Times New Roman" w:eastAsia="Times New Roman"/>
                <w:b w:val="0"/>
                <w:color w:val="000000"/>
                <w:sz w:val="15"/>
              </w:rPr>
              <w:t>Coverage: inception to July 4, 2026</w:t>
            </w:r>
          </w:p>
        </w:tc>
        <w:tc>
          <w:tcPr>
            <w:tcW w:w="7920" w:type="dxa"/>
            <w:tcBorders>
              <w:top w:val="nil"/>
              <w:left w:val="nil"/>
              <w:bottom w:val="nil"/>
              <w:right w:val="nil"/>
            </w:tcBorders>
            <w:tcMar>
              <w:top w:w="60" w:type="dxa"/>
              <w:left w:w="70" w:type="dxa"/>
              <w:bottom w:w="60" w:type="dxa"/>
              <w:right w:w="70" w:type="dxa"/>
            </w:tcMar>
            <w:vAlign w:val="center"/>
          </w:tcPr>
          <w:p w14:paraId="4AB0D91F">
            <w:pPr>
              <w:spacing w:before="0" w:after="0" w:line="240" w:lineRule="auto"/>
              <w:jc w:val="left"/>
            </w:pPr>
            <w:r>
              <w:rPr>
                <w:rFonts w:ascii="Times New Roman" w:hAnsi="Times New Roman" w:eastAsia="Times New Roman"/>
                <w:b w:val="0"/>
                <w:color w:val="000000"/>
                <w:sz w:val="14"/>
              </w:rPr>
              <w:t>TITLE-ABS-KEY(adolescent* OR youth OR "young people" OR "young person*") AND TITLE-ABS-KEY("non-suicidal self-injur*" OR "nonsuicidal self-injur*" OR NSSI OR self-harm* OR "self injur*" OR "suicidal ideation" OR "suicide attempt*" OR "suicidal behavio*") AND TITLE-ABS-KEY(psychosocial OR psychotherap* OR "psychological intervention*" OR "cognitive behavio* therapy" OR CBT OR "dialectical behavio* therapy" OR DBT OR "family therap*" OR "family intervention*" OR "group therap*" OR mindfulness OR "nursing intervention*") AND TITLE-ABS-KEY(random* OR trial OR "controlled trial")</w:t>
            </w:r>
          </w:p>
        </w:tc>
      </w:tr>
      <w:tr w14:paraId="7E8F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0" w:type="dxa"/>
            <w:tcBorders>
              <w:top w:val="nil"/>
              <w:left w:val="nil"/>
              <w:bottom w:val="nil"/>
              <w:right w:val="nil"/>
            </w:tcBorders>
            <w:tcMar>
              <w:top w:w="60" w:type="dxa"/>
              <w:left w:w="70" w:type="dxa"/>
              <w:bottom w:w="60" w:type="dxa"/>
              <w:right w:w="70" w:type="dxa"/>
            </w:tcMar>
            <w:vAlign w:val="center"/>
          </w:tcPr>
          <w:p w14:paraId="01EE3689">
            <w:pPr>
              <w:spacing w:before="0" w:after="0" w:line="240" w:lineRule="auto"/>
              <w:jc w:val="left"/>
            </w:pPr>
            <w:r>
              <w:rPr>
                <w:rFonts w:ascii="Times New Roman" w:hAnsi="Times New Roman" w:eastAsia="Times New Roman"/>
                <w:b w:val="0"/>
                <w:color w:val="000000"/>
                <w:sz w:val="15"/>
              </w:rPr>
              <w:t>China National Knowledge Infrastructure (CNKI)</w:t>
            </w:r>
            <w:r>
              <w:rPr>
                <w:rFonts w:ascii="Times New Roman" w:hAnsi="Times New Roman" w:eastAsia="Times New Roman"/>
                <w:b w:val="0"/>
                <w:color w:val="000000"/>
                <w:sz w:val="15"/>
              </w:rPr>
              <w:br w:type="textWrapping"/>
            </w:r>
            <w:r>
              <w:rPr>
                <w:rFonts w:ascii="Times New Roman" w:hAnsi="Times New Roman" w:eastAsia="Times New Roman"/>
                <w:b w:val="0"/>
                <w:color w:val="000000"/>
                <w:sz w:val="15"/>
              </w:rPr>
              <w:t>Coverage: inception to July 4, 2026</w:t>
            </w:r>
          </w:p>
        </w:tc>
        <w:tc>
          <w:tcPr>
            <w:tcW w:w="7920" w:type="dxa"/>
            <w:tcBorders>
              <w:top w:val="nil"/>
              <w:left w:val="nil"/>
              <w:bottom w:val="nil"/>
              <w:right w:val="nil"/>
            </w:tcBorders>
            <w:tcMar>
              <w:top w:w="60" w:type="dxa"/>
              <w:left w:w="70" w:type="dxa"/>
              <w:bottom w:w="60" w:type="dxa"/>
              <w:right w:w="70" w:type="dxa"/>
            </w:tcMar>
            <w:vAlign w:val="center"/>
          </w:tcPr>
          <w:p w14:paraId="656A9F3F">
            <w:pPr>
              <w:spacing w:before="0" w:after="0" w:line="240" w:lineRule="auto"/>
              <w:jc w:val="left"/>
            </w:pPr>
            <w:r>
              <w:rPr>
                <w:rFonts w:ascii="Times New Roman" w:hAnsi="Times New Roman" w:eastAsia="Times New Roman"/>
                <w:b w:val="0"/>
                <w:color w:val="000000"/>
                <w:sz w:val="14"/>
              </w:rPr>
              <w:t>主题=(青少年 OR 青年 OR 未成年人) AND 主题=(非自杀性自伤 OR NSSI OR 自伤 OR 自残 OR 自杀意念 OR 自杀企图 OR 自杀行为) AND 主题=(心理社会干预 OR 心理治疗 OR 心理干预 OR 认知行为疗法 OR CBT OR 辩证行为疗法 OR DBT OR 家庭干预 OR 家庭治疗 OR 团体干预 OR 团体治疗 OR 正念 OR 心理护理) AND 主题=(随机 OR 随机对照 OR 对照试验 OR 临床试验)</w:t>
            </w:r>
          </w:p>
        </w:tc>
      </w:tr>
      <w:tr w14:paraId="0160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0" w:type="dxa"/>
            <w:tcBorders>
              <w:top w:val="nil"/>
              <w:left w:val="nil"/>
              <w:bottom w:val="nil"/>
              <w:right w:val="nil"/>
            </w:tcBorders>
            <w:tcMar>
              <w:top w:w="60" w:type="dxa"/>
              <w:left w:w="70" w:type="dxa"/>
              <w:bottom w:w="60" w:type="dxa"/>
              <w:right w:w="70" w:type="dxa"/>
            </w:tcMar>
            <w:vAlign w:val="center"/>
          </w:tcPr>
          <w:p w14:paraId="2805CEC6">
            <w:pPr>
              <w:spacing w:before="0" w:after="0" w:line="240" w:lineRule="auto"/>
              <w:jc w:val="left"/>
            </w:pPr>
            <w:r>
              <w:rPr>
                <w:rFonts w:ascii="Times New Roman" w:hAnsi="Times New Roman" w:eastAsia="Times New Roman"/>
                <w:b w:val="0"/>
                <w:color w:val="000000"/>
                <w:sz w:val="15"/>
              </w:rPr>
              <w:t>Wanfang Data</w:t>
            </w:r>
            <w:r>
              <w:rPr>
                <w:rFonts w:ascii="Times New Roman" w:hAnsi="Times New Roman" w:eastAsia="Times New Roman"/>
                <w:b w:val="0"/>
                <w:color w:val="000000"/>
                <w:sz w:val="15"/>
              </w:rPr>
              <w:br w:type="textWrapping"/>
            </w:r>
            <w:r>
              <w:rPr>
                <w:rFonts w:ascii="Times New Roman" w:hAnsi="Times New Roman" w:eastAsia="Times New Roman"/>
                <w:b w:val="0"/>
                <w:color w:val="000000"/>
                <w:sz w:val="15"/>
              </w:rPr>
              <w:t>Coverage: inception to July 4, 2026</w:t>
            </w:r>
          </w:p>
        </w:tc>
        <w:tc>
          <w:tcPr>
            <w:tcW w:w="7920" w:type="dxa"/>
            <w:tcBorders>
              <w:top w:val="nil"/>
              <w:left w:val="nil"/>
              <w:bottom w:val="nil"/>
              <w:right w:val="nil"/>
            </w:tcBorders>
            <w:tcMar>
              <w:top w:w="60" w:type="dxa"/>
              <w:left w:w="70" w:type="dxa"/>
              <w:bottom w:w="60" w:type="dxa"/>
              <w:right w:w="70" w:type="dxa"/>
            </w:tcMar>
            <w:vAlign w:val="center"/>
          </w:tcPr>
          <w:p w14:paraId="11BCFC62">
            <w:pPr>
              <w:spacing w:before="0" w:after="0" w:line="240" w:lineRule="auto"/>
              <w:jc w:val="left"/>
            </w:pPr>
            <w:r>
              <w:rPr>
                <w:rFonts w:ascii="Times New Roman" w:hAnsi="Times New Roman" w:eastAsia="Times New Roman"/>
                <w:b w:val="0"/>
                <w:color w:val="000000"/>
                <w:sz w:val="14"/>
              </w:rPr>
              <w:t>主题:(青少年 OR 青年 OR 未成年人) AND 主题:(非自杀性自伤 OR NSSI OR 自伤 OR 自残 OR 自杀意念 OR 自杀企图 OR 自杀行为) AND 主题:(心理社会干预 OR 心理治疗 OR 心理干预 OR 认知行为疗法 OR CBT OR 辩证行为疗法 OR DBT OR 家庭干预 OR 团体干预 OR 正念 OR 心理护理) AND 主题:(随机 OR 随机对照 OR 对照试验 OR 临床试验)</w:t>
            </w:r>
          </w:p>
        </w:tc>
      </w:tr>
      <w:tr w14:paraId="6A2E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0" w:type="dxa"/>
            <w:tcBorders>
              <w:top w:val="nil"/>
              <w:left w:val="nil"/>
              <w:bottom w:val="single" w:color="auto" w:sz="8" w:space="0"/>
              <w:right w:val="nil"/>
            </w:tcBorders>
            <w:tcMar>
              <w:top w:w="60" w:type="dxa"/>
              <w:left w:w="70" w:type="dxa"/>
              <w:bottom w:w="60" w:type="dxa"/>
              <w:right w:w="70" w:type="dxa"/>
            </w:tcMar>
            <w:vAlign w:val="center"/>
          </w:tcPr>
          <w:p w14:paraId="45D02327">
            <w:pPr>
              <w:spacing w:before="0" w:after="0" w:line="240" w:lineRule="auto"/>
              <w:jc w:val="left"/>
            </w:pPr>
            <w:r>
              <w:rPr>
                <w:rFonts w:ascii="Times New Roman" w:hAnsi="Times New Roman" w:eastAsia="Times New Roman"/>
                <w:b w:val="0"/>
                <w:color w:val="000000"/>
                <w:sz w:val="15"/>
              </w:rPr>
              <w:t>VIP (CQVIP)</w:t>
            </w:r>
            <w:r>
              <w:rPr>
                <w:rFonts w:ascii="Times New Roman" w:hAnsi="Times New Roman" w:eastAsia="Times New Roman"/>
                <w:b w:val="0"/>
                <w:color w:val="000000"/>
                <w:sz w:val="15"/>
              </w:rPr>
              <w:br w:type="textWrapping"/>
            </w:r>
            <w:r>
              <w:rPr>
                <w:rFonts w:ascii="Times New Roman" w:hAnsi="Times New Roman" w:eastAsia="Times New Roman"/>
                <w:b w:val="0"/>
                <w:color w:val="000000"/>
                <w:sz w:val="15"/>
              </w:rPr>
              <w:t>Coverage: inception to July 4, 2026</w:t>
            </w:r>
          </w:p>
        </w:tc>
        <w:tc>
          <w:tcPr>
            <w:tcW w:w="7920" w:type="dxa"/>
            <w:tcBorders>
              <w:top w:val="nil"/>
              <w:left w:val="nil"/>
              <w:bottom w:val="single" w:color="auto" w:sz="8" w:space="0"/>
              <w:right w:val="nil"/>
            </w:tcBorders>
            <w:tcMar>
              <w:top w:w="60" w:type="dxa"/>
              <w:left w:w="70" w:type="dxa"/>
              <w:bottom w:w="60" w:type="dxa"/>
              <w:right w:w="70" w:type="dxa"/>
            </w:tcMar>
            <w:vAlign w:val="center"/>
          </w:tcPr>
          <w:p w14:paraId="6B6622BD">
            <w:pPr>
              <w:spacing w:before="0" w:after="0" w:line="240" w:lineRule="auto"/>
              <w:jc w:val="left"/>
            </w:pPr>
            <w:r>
              <w:rPr>
                <w:rFonts w:ascii="Times New Roman" w:hAnsi="Times New Roman" w:eastAsia="Times New Roman"/>
                <w:b w:val="0"/>
                <w:color w:val="000000"/>
                <w:sz w:val="14"/>
              </w:rPr>
              <w:t>M=(青少年 OR 青年 OR 未成年人) AND M=(非自杀性自伤 OR NSSI OR 自伤 OR 自残 OR 自杀意念 OR 自杀企图 OR 自杀行为) AND M=(心理社会干预 OR 心理治疗 OR 心理干预 OR 认知行为疗法 OR CBT OR 辩证行为疗法 OR DBT OR 家庭干预 OR 团体干预 OR 正念 OR 心理护理) AND M=(随机 OR 随机对照 OR 对照试验 OR 临床试验)</w:t>
            </w:r>
          </w:p>
        </w:tc>
      </w:tr>
    </w:tbl>
    <w:p w14:paraId="74D9365E">
      <w:pPr>
        <w:spacing w:before="40" w:after="100"/>
      </w:pPr>
      <w:r>
        <w:rPr>
          <w:rFonts w:ascii="Times New Roman" w:hAnsi="Times New Roman" w:eastAsia="Times New Roman"/>
          <w:color w:val="000000"/>
          <w:sz w:val="16"/>
        </w:rPr>
        <w:t>Note: Database syntax was adapted to the indexing fields and operators available in each platform. The review was restricted to Chinese- and English-language reports at the screening stage. Supplementary searching included reference lists of relevant reviews/meta-analyses and trial registries.</w:t>
      </w:r>
    </w:p>
    <w:p w14:paraId="61A5EA7A">
      <w:pPr>
        <w:spacing w:before="160" w:after="80"/>
      </w:pPr>
      <w:r>
        <w:rPr>
          <w:rFonts w:ascii="Times New Roman" w:hAnsi="Times New Roman" w:eastAsia="Times New Roman"/>
          <w:b/>
          <w:color w:val="000000"/>
          <w:sz w:val="20"/>
        </w:rPr>
        <w:t>Supplementary Table S6A. P-score rankings for dichotomous NSSI/self-harm outcomes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4848"/>
        <w:gridCol w:w="4848"/>
      </w:tblGrid>
      <w:tr w14:paraId="6FA3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48" w:type="dxa"/>
            <w:tcBorders>
              <w:top w:val="single" w:color="auto" w:sz="8" w:space="0"/>
              <w:left w:val="nil"/>
              <w:bottom w:val="single" w:color="auto" w:sz="6" w:space="0"/>
              <w:right w:val="nil"/>
            </w:tcBorders>
            <w:tcMar>
              <w:top w:w="60" w:type="dxa"/>
              <w:left w:w="70" w:type="dxa"/>
              <w:bottom w:w="60" w:type="dxa"/>
              <w:right w:w="70" w:type="dxa"/>
            </w:tcMar>
            <w:vAlign w:val="center"/>
          </w:tcPr>
          <w:p w14:paraId="2DAD0172">
            <w:pPr>
              <w:spacing w:before="0" w:after="0" w:line="240" w:lineRule="auto"/>
              <w:jc w:val="center"/>
            </w:pPr>
            <w:r>
              <w:rPr>
                <w:rFonts w:ascii="Times New Roman" w:hAnsi="Times New Roman" w:eastAsia="Times New Roman"/>
                <w:b/>
                <w:color w:val="000000"/>
                <w:sz w:val="16"/>
              </w:rPr>
              <w:t>Rank</w:t>
            </w:r>
          </w:p>
        </w:tc>
        <w:tc>
          <w:tcPr>
            <w:tcW w:w="4848" w:type="dxa"/>
            <w:tcBorders>
              <w:top w:val="single" w:color="auto" w:sz="8" w:space="0"/>
              <w:left w:val="nil"/>
              <w:bottom w:val="single" w:color="auto" w:sz="6" w:space="0"/>
              <w:right w:val="nil"/>
            </w:tcBorders>
            <w:tcMar>
              <w:top w:w="60" w:type="dxa"/>
              <w:left w:w="70" w:type="dxa"/>
              <w:bottom w:w="60" w:type="dxa"/>
              <w:right w:w="70" w:type="dxa"/>
            </w:tcMar>
            <w:vAlign w:val="center"/>
          </w:tcPr>
          <w:p w14:paraId="12ACCAEF">
            <w:pPr>
              <w:spacing w:before="0" w:after="0" w:line="240" w:lineRule="auto"/>
              <w:jc w:val="center"/>
            </w:pPr>
            <w:r>
              <w:rPr>
                <w:rFonts w:ascii="Times New Roman" w:hAnsi="Times New Roman" w:eastAsia="Times New Roman"/>
                <w:b/>
                <w:color w:val="000000"/>
                <w:sz w:val="16"/>
              </w:rPr>
              <w:t>Treatment node</w:t>
            </w:r>
          </w:p>
        </w:tc>
        <w:tc>
          <w:tcPr>
            <w:tcW w:w="4848" w:type="dxa"/>
            <w:tcBorders>
              <w:top w:val="single" w:color="auto" w:sz="8" w:space="0"/>
              <w:left w:val="nil"/>
              <w:bottom w:val="single" w:color="auto" w:sz="6" w:space="0"/>
              <w:right w:val="nil"/>
            </w:tcBorders>
            <w:tcMar>
              <w:top w:w="60" w:type="dxa"/>
              <w:left w:w="70" w:type="dxa"/>
              <w:bottom w:w="60" w:type="dxa"/>
              <w:right w:w="70" w:type="dxa"/>
            </w:tcMar>
            <w:vAlign w:val="center"/>
          </w:tcPr>
          <w:p w14:paraId="6B31D9BF">
            <w:pPr>
              <w:spacing w:before="0" w:after="0" w:line="240" w:lineRule="auto"/>
              <w:jc w:val="center"/>
            </w:pPr>
            <w:r>
              <w:rPr>
                <w:rFonts w:ascii="Times New Roman" w:hAnsi="Times New Roman" w:eastAsia="Times New Roman"/>
                <w:b/>
                <w:color w:val="000000"/>
                <w:sz w:val="16"/>
              </w:rPr>
              <w:t>P-score</w:t>
            </w:r>
          </w:p>
        </w:tc>
      </w:tr>
      <w:tr w14:paraId="555E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single" w:color="auto" w:sz="6" w:space="0"/>
              <w:left w:val="nil"/>
              <w:bottom w:val="nil"/>
              <w:right w:val="nil"/>
            </w:tcBorders>
            <w:tcMar>
              <w:top w:w="60" w:type="dxa"/>
              <w:left w:w="70" w:type="dxa"/>
              <w:bottom w:w="60" w:type="dxa"/>
              <w:right w:w="70" w:type="dxa"/>
            </w:tcMar>
            <w:vAlign w:val="center"/>
          </w:tcPr>
          <w:p w14:paraId="193E9BE5">
            <w:pPr>
              <w:spacing w:before="0" w:after="0" w:line="240" w:lineRule="auto"/>
              <w:jc w:val="center"/>
            </w:pPr>
            <w:r>
              <w:rPr>
                <w:rFonts w:ascii="Times New Roman" w:hAnsi="Times New Roman" w:eastAsia="Times New Roman"/>
                <w:b w:val="0"/>
                <w:color w:val="000000"/>
                <w:sz w:val="16"/>
              </w:rPr>
              <w:t>1</w:t>
            </w:r>
          </w:p>
        </w:tc>
        <w:tc>
          <w:tcPr>
            <w:tcW w:w="4848" w:type="dxa"/>
            <w:tcBorders>
              <w:top w:val="single" w:color="auto" w:sz="6" w:space="0"/>
              <w:left w:val="nil"/>
              <w:bottom w:val="nil"/>
              <w:right w:val="nil"/>
            </w:tcBorders>
            <w:tcMar>
              <w:top w:w="60" w:type="dxa"/>
              <w:left w:w="70" w:type="dxa"/>
              <w:bottom w:w="60" w:type="dxa"/>
              <w:right w:w="70" w:type="dxa"/>
            </w:tcMar>
            <w:vAlign w:val="center"/>
          </w:tcPr>
          <w:p w14:paraId="7007B663">
            <w:pPr>
              <w:spacing w:before="0" w:after="0" w:line="240" w:lineRule="auto"/>
              <w:jc w:val="left"/>
            </w:pPr>
            <w:r>
              <w:rPr>
                <w:rFonts w:ascii="Times New Roman" w:hAnsi="Times New Roman" w:eastAsia="Times New Roman"/>
                <w:b w:val="0"/>
                <w:color w:val="000000"/>
                <w:sz w:val="16"/>
              </w:rPr>
              <w:t>Group therapy/psychosocial intervention</w:t>
            </w:r>
          </w:p>
        </w:tc>
        <w:tc>
          <w:tcPr>
            <w:tcW w:w="4848" w:type="dxa"/>
            <w:tcBorders>
              <w:top w:val="single" w:color="auto" w:sz="6" w:space="0"/>
              <w:left w:val="nil"/>
              <w:bottom w:val="nil"/>
              <w:right w:val="nil"/>
            </w:tcBorders>
            <w:tcMar>
              <w:top w:w="60" w:type="dxa"/>
              <w:left w:w="70" w:type="dxa"/>
              <w:bottom w:w="60" w:type="dxa"/>
              <w:right w:w="70" w:type="dxa"/>
            </w:tcMar>
            <w:vAlign w:val="center"/>
          </w:tcPr>
          <w:p w14:paraId="45555B04">
            <w:pPr>
              <w:spacing w:before="0" w:after="0" w:line="240" w:lineRule="auto"/>
              <w:jc w:val="center"/>
            </w:pPr>
            <w:r>
              <w:rPr>
                <w:rFonts w:ascii="Times New Roman" w:hAnsi="Times New Roman" w:eastAsia="Times New Roman"/>
                <w:b w:val="0"/>
                <w:color w:val="000000"/>
                <w:sz w:val="16"/>
              </w:rPr>
              <w:t>0.789</w:t>
            </w:r>
          </w:p>
        </w:tc>
      </w:tr>
      <w:tr w14:paraId="4D81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00BE2071">
            <w:pPr>
              <w:spacing w:before="0" w:after="0" w:line="240" w:lineRule="auto"/>
              <w:jc w:val="center"/>
            </w:pPr>
            <w:r>
              <w:rPr>
                <w:rFonts w:ascii="Times New Roman" w:hAnsi="Times New Roman" w:eastAsia="Times New Roman"/>
                <w:b w:val="0"/>
                <w:color w:val="000000"/>
                <w:sz w:val="16"/>
              </w:rPr>
              <w:t>2</w:t>
            </w:r>
          </w:p>
        </w:tc>
        <w:tc>
          <w:tcPr>
            <w:tcW w:w="4848" w:type="dxa"/>
            <w:tcBorders>
              <w:top w:val="nil"/>
              <w:left w:val="nil"/>
              <w:bottom w:val="nil"/>
              <w:right w:val="nil"/>
            </w:tcBorders>
            <w:tcMar>
              <w:top w:w="60" w:type="dxa"/>
              <w:left w:w="70" w:type="dxa"/>
              <w:bottom w:w="60" w:type="dxa"/>
              <w:right w:w="70" w:type="dxa"/>
            </w:tcMar>
            <w:vAlign w:val="center"/>
          </w:tcPr>
          <w:p w14:paraId="386646E2">
            <w:pPr>
              <w:spacing w:before="0" w:after="0" w:line="240" w:lineRule="auto"/>
              <w:jc w:val="left"/>
            </w:pPr>
            <w:r>
              <w:rPr>
                <w:rFonts w:ascii="Times New Roman" w:hAnsi="Times New Roman" w:eastAsia="Times New Roman"/>
                <w:b w:val="0"/>
                <w:color w:val="000000"/>
                <w:sz w:val="16"/>
              </w:rPr>
              <w:t>CBT/problem-solving culturally adapted intervention</w:t>
            </w:r>
          </w:p>
        </w:tc>
        <w:tc>
          <w:tcPr>
            <w:tcW w:w="4848" w:type="dxa"/>
            <w:tcBorders>
              <w:top w:val="nil"/>
              <w:left w:val="nil"/>
              <w:bottom w:val="nil"/>
              <w:right w:val="nil"/>
            </w:tcBorders>
            <w:tcMar>
              <w:top w:w="60" w:type="dxa"/>
              <w:left w:w="70" w:type="dxa"/>
              <w:bottom w:w="60" w:type="dxa"/>
              <w:right w:w="70" w:type="dxa"/>
            </w:tcMar>
            <w:vAlign w:val="center"/>
          </w:tcPr>
          <w:p w14:paraId="0B6150C0">
            <w:pPr>
              <w:spacing w:before="0" w:after="0" w:line="240" w:lineRule="auto"/>
              <w:jc w:val="center"/>
            </w:pPr>
            <w:r>
              <w:rPr>
                <w:rFonts w:ascii="Times New Roman" w:hAnsi="Times New Roman" w:eastAsia="Times New Roman"/>
                <w:b w:val="0"/>
                <w:color w:val="000000"/>
                <w:sz w:val="16"/>
              </w:rPr>
              <w:t>0.721</w:t>
            </w:r>
          </w:p>
        </w:tc>
      </w:tr>
      <w:tr w14:paraId="2B9C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2E909677">
            <w:pPr>
              <w:spacing w:before="0" w:after="0" w:line="240" w:lineRule="auto"/>
              <w:jc w:val="center"/>
            </w:pPr>
            <w:r>
              <w:rPr>
                <w:rFonts w:ascii="Times New Roman" w:hAnsi="Times New Roman" w:eastAsia="Times New Roman"/>
                <w:b w:val="0"/>
                <w:color w:val="000000"/>
                <w:sz w:val="16"/>
              </w:rPr>
              <w:t>3</w:t>
            </w:r>
          </w:p>
        </w:tc>
        <w:tc>
          <w:tcPr>
            <w:tcW w:w="4848" w:type="dxa"/>
            <w:tcBorders>
              <w:top w:val="nil"/>
              <w:left w:val="nil"/>
              <w:bottom w:val="nil"/>
              <w:right w:val="nil"/>
            </w:tcBorders>
            <w:tcMar>
              <w:top w:w="60" w:type="dxa"/>
              <w:left w:w="70" w:type="dxa"/>
              <w:bottom w:w="60" w:type="dxa"/>
              <w:right w:w="70" w:type="dxa"/>
            </w:tcMar>
            <w:vAlign w:val="center"/>
          </w:tcPr>
          <w:p w14:paraId="0079556B">
            <w:pPr>
              <w:spacing w:before="0" w:after="0" w:line="240" w:lineRule="auto"/>
              <w:jc w:val="left"/>
            </w:pPr>
            <w:r>
              <w:rPr>
                <w:rFonts w:ascii="Times New Roman" w:hAnsi="Times New Roman" w:eastAsia="Times New Roman"/>
                <w:b w:val="0"/>
                <w:color w:val="000000"/>
                <w:sz w:val="16"/>
              </w:rPr>
              <w:t>Narrative nursing</w:t>
            </w:r>
          </w:p>
        </w:tc>
        <w:tc>
          <w:tcPr>
            <w:tcW w:w="4848" w:type="dxa"/>
            <w:tcBorders>
              <w:top w:val="nil"/>
              <w:left w:val="nil"/>
              <w:bottom w:val="nil"/>
              <w:right w:val="nil"/>
            </w:tcBorders>
            <w:tcMar>
              <w:top w:w="60" w:type="dxa"/>
              <w:left w:w="70" w:type="dxa"/>
              <w:bottom w:w="60" w:type="dxa"/>
              <w:right w:w="70" w:type="dxa"/>
            </w:tcMar>
            <w:vAlign w:val="center"/>
          </w:tcPr>
          <w:p w14:paraId="473C5C8E">
            <w:pPr>
              <w:spacing w:before="0" w:after="0" w:line="240" w:lineRule="auto"/>
              <w:jc w:val="center"/>
            </w:pPr>
            <w:r>
              <w:rPr>
                <w:rFonts w:ascii="Times New Roman" w:hAnsi="Times New Roman" w:eastAsia="Times New Roman"/>
                <w:b w:val="0"/>
                <w:color w:val="000000"/>
                <w:sz w:val="16"/>
              </w:rPr>
              <w:t>0.665</w:t>
            </w:r>
          </w:p>
        </w:tc>
      </w:tr>
      <w:tr w14:paraId="4934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758C7F3B">
            <w:pPr>
              <w:spacing w:before="0" w:after="0" w:line="240" w:lineRule="auto"/>
              <w:jc w:val="center"/>
            </w:pPr>
            <w:r>
              <w:rPr>
                <w:rFonts w:ascii="Times New Roman" w:hAnsi="Times New Roman" w:eastAsia="Times New Roman"/>
                <w:b w:val="0"/>
                <w:color w:val="000000"/>
                <w:sz w:val="16"/>
              </w:rPr>
              <w:t>4</w:t>
            </w:r>
          </w:p>
        </w:tc>
        <w:tc>
          <w:tcPr>
            <w:tcW w:w="4848" w:type="dxa"/>
            <w:tcBorders>
              <w:top w:val="nil"/>
              <w:left w:val="nil"/>
              <w:bottom w:val="nil"/>
              <w:right w:val="nil"/>
            </w:tcBorders>
            <w:tcMar>
              <w:top w:w="60" w:type="dxa"/>
              <w:left w:w="70" w:type="dxa"/>
              <w:bottom w:w="60" w:type="dxa"/>
              <w:right w:w="70" w:type="dxa"/>
            </w:tcMar>
            <w:vAlign w:val="center"/>
          </w:tcPr>
          <w:p w14:paraId="04DA1FDA">
            <w:pPr>
              <w:spacing w:before="0" w:after="0" w:line="240" w:lineRule="auto"/>
              <w:jc w:val="left"/>
            </w:pPr>
            <w:r>
              <w:rPr>
                <w:rFonts w:ascii="Times New Roman" w:hAnsi="Times New Roman" w:eastAsia="Times New Roman"/>
                <w:b w:val="0"/>
                <w:color w:val="000000"/>
                <w:sz w:val="16"/>
              </w:rPr>
              <w:t>DBT + self-management</w:t>
            </w:r>
          </w:p>
        </w:tc>
        <w:tc>
          <w:tcPr>
            <w:tcW w:w="4848" w:type="dxa"/>
            <w:tcBorders>
              <w:top w:val="nil"/>
              <w:left w:val="nil"/>
              <w:bottom w:val="nil"/>
              <w:right w:val="nil"/>
            </w:tcBorders>
            <w:tcMar>
              <w:top w:w="60" w:type="dxa"/>
              <w:left w:w="70" w:type="dxa"/>
              <w:bottom w:w="60" w:type="dxa"/>
              <w:right w:w="70" w:type="dxa"/>
            </w:tcMar>
            <w:vAlign w:val="center"/>
          </w:tcPr>
          <w:p w14:paraId="25018590">
            <w:pPr>
              <w:spacing w:before="0" w:after="0" w:line="240" w:lineRule="auto"/>
              <w:jc w:val="center"/>
            </w:pPr>
            <w:r>
              <w:rPr>
                <w:rFonts w:ascii="Times New Roman" w:hAnsi="Times New Roman" w:eastAsia="Times New Roman"/>
                <w:b w:val="0"/>
                <w:color w:val="000000"/>
                <w:sz w:val="16"/>
              </w:rPr>
              <w:t>0.659</w:t>
            </w:r>
          </w:p>
        </w:tc>
      </w:tr>
      <w:tr w14:paraId="4634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067ED381">
            <w:pPr>
              <w:spacing w:before="0" w:after="0" w:line="240" w:lineRule="auto"/>
              <w:jc w:val="center"/>
            </w:pPr>
            <w:r>
              <w:rPr>
                <w:rFonts w:ascii="Times New Roman" w:hAnsi="Times New Roman" w:eastAsia="Times New Roman"/>
                <w:b w:val="0"/>
                <w:color w:val="000000"/>
                <w:sz w:val="16"/>
              </w:rPr>
              <w:t>5</w:t>
            </w:r>
          </w:p>
        </w:tc>
        <w:tc>
          <w:tcPr>
            <w:tcW w:w="4848" w:type="dxa"/>
            <w:tcBorders>
              <w:top w:val="nil"/>
              <w:left w:val="nil"/>
              <w:bottom w:val="nil"/>
              <w:right w:val="nil"/>
            </w:tcBorders>
            <w:tcMar>
              <w:top w:w="60" w:type="dxa"/>
              <w:left w:w="70" w:type="dxa"/>
              <w:bottom w:w="60" w:type="dxa"/>
              <w:right w:w="70" w:type="dxa"/>
            </w:tcMar>
            <w:vAlign w:val="center"/>
          </w:tcPr>
          <w:p w14:paraId="2DF89F38">
            <w:pPr>
              <w:spacing w:before="0" w:after="0" w:line="240" w:lineRule="auto"/>
              <w:jc w:val="left"/>
            </w:pPr>
            <w:r>
              <w:rPr>
                <w:rFonts w:ascii="Times New Roman" w:hAnsi="Times New Roman" w:eastAsia="Times New Roman"/>
                <w:b w:val="0"/>
                <w:color w:val="000000"/>
                <w:sz w:val="16"/>
              </w:rPr>
              <w:t>DBT/DBT-A</w:t>
            </w:r>
          </w:p>
        </w:tc>
        <w:tc>
          <w:tcPr>
            <w:tcW w:w="4848" w:type="dxa"/>
            <w:tcBorders>
              <w:top w:val="nil"/>
              <w:left w:val="nil"/>
              <w:bottom w:val="nil"/>
              <w:right w:val="nil"/>
            </w:tcBorders>
            <w:tcMar>
              <w:top w:w="60" w:type="dxa"/>
              <w:left w:w="70" w:type="dxa"/>
              <w:bottom w:w="60" w:type="dxa"/>
              <w:right w:w="70" w:type="dxa"/>
            </w:tcMar>
            <w:vAlign w:val="center"/>
          </w:tcPr>
          <w:p w14:paraId="356B29F8">
            <w:pPr>
              <w:spacing w:before="0" w:after="0" w:line="240" w:lineRule="auto"/>
              <w:jc w:val="center"/>
            </w:pPr>
            <w:r>
              <w:rPr>
                <w:rFonts w:ascii="Times New Roman" w:hAnsi="Times New Roman" w:eastAsia="Times New Roman"/>
                <w:b w:val="0"/>
                <w:color w:val="000000"/>
                <w:sz w:val="16"/>
              </w:rPr>
              <w:t>0.587</w:t>
            </w:r>
          </w:p>
        </w:tc>
      </w:tr>
      <w:tr w14:paraId="3F2F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5BEA29A1">
            <w:pPr>
              <w:spacing w:before="0" w:after="0" w:line="240" w:lineRule="auto"/>
              <w:jc w:val="center"/>
            </w:pPr>
            <w:r>
              <w:rPr>
                <w:rFonts w:ascii="Times New Roman" w:hAnsi="Times New Roman" w:eastAsia="Times New Roman"/>
                <w:b w:val="0"/>
                <w:color w:val="000000"/>
                <w:sz w:val="16"/>
              </w:rPr>
              <w:t>6</w:t>
            </w:r>
          </w:p>
        </w:tc>
        <w:tc>
          <w:tcPr>
            <w:tcW w:w="4848" w:type="dxa"/>
            <w:tcBorders>
              <w:top w:val="nil"/>
              <w:left w:val="nil"/>
              <w:bottom w:val="nil"/>
              <w:right w:val="nil"/>
            </w:tcBorders>
            <w:tcMar>
              <w:top w:w="60" w:type="dxa"/>
              <w:left w:w="70" w:type="dxa"/>
              <w:bottom w:w="60" w:type="dxa"/>
              <w:right w:w="70" w:type="dxa"/>
            </w:tcMar>
            <w:vAlign w:val="center"/>
          </w:tcPr>
          <w:p w14:paraId="71F58579">
            <w:pPr>
              <w:spacing w:before="0" w:after="0" w:line="240" w:lineRule="auto"/>
              <w:jc w:val="left"/>
            </w:pPr>
            <w:r>
              <w:rPr>
                <w:rFonts w:ascii="Times New Roman" w:hAnsi="Times New Roman" w:eastAsia="Times New Roman"/>
                <w:b w:val="0"/>
                <w:color w:val="000000"/>
                <w:sz w:val="16"/>
              </w:rPr>
              <w:t>Narrative nursing + broken-window intervention</w:t>
            </w:r>
          </w:p>
        </w:tc>
        <w:tc>
          <w:tcPr>
            <w:tcW w:w="4848" w:type="dxa"/>
            <w:tcBorders>
              <w:top w:val="nil"/>
              <w:left w:val="nil"/>
              <w:bottom w:val="nil"/>
              <w:right w:val="nil"/>
            </w:tcBorders>
            <w:tcMar>
              <w:top w:w="60" w:type="dxa"/>
              <w:left w:w="70" w:type="dxa"/>
              <w:bottom w:w="60" w:type="dxa"/>
              <w:right w:w="70" w:type="dxa"/>
            </w:tcMar>
            <w:vAlign w:val="center"/>
          </w:tcPr>
          <w:p w14:paraId="44FD70A1">
            <w:pPr>
              <w:spacing w:before="0" w:after="0" w:line="240" w:lineRule="auto"/>
              <w:jc w:val="center"/>
            </w:pPr>
            <w:r>
              <w:rPr>
                <w:rFonts w:ascii="Times New Roman" w:hAnsi="Times New Roman" w:eastAsia="Times New Roman"/>
                <w:b w:val="0"/>
                <w:color w:val="000000"/>
                <w:sz w:val="16"/>
              </w:rPr>
              <w:t>0.529</w:t>
            </w:r>
          </w:p>
        </w:tc>
      </w:tr>
      <w:tr w14:paraId="6838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3866BC0E">
            <w:pPr>
              <w:spacing w:before="0" w:after="0" w:line="240" w:lineRule="auto"/>
              <w:jc w:val="center"/>
            </w:pPr>
            <w:r>
              <w:rPr>
                <w:rFonts w:ascii="Times New Roman" w:hAnsi="Times New Roman" w:eastAsia="Times New Roman"/>
                <w:b w:val="0"/>
                <w:color w:val="000000"/>
                <w:sz w:val="16"/>
              </w:rPr>
              <w:t>7</w:t>
            </w:r>
          </w:p>
        </w:tc>
        <w:tc>
          <w:tcPr>
            <w:tcW w:w="4848" w:type="dxa"/>
            <w:tcBorders>
              <w:top w:val="nil"/>
              <w:left w:val="nil"/>
              <w:bottom w:val="nil"/>
              <w:right w:val="nil"/>
            </w:tcBorders>
            <w:tcMar>
              <w:top w:w="60" w:type="dxa"/>
              <w:left w:w="70" w:type="dxa"/>
              <w:bottom w:w="60" w:type="dxa"/>
              <w:right w:w="70" w:type="dxa"/>
            </w:tcMar>
            <w:vAlign w:val="center"/>
          </w:tcPr>
          <w:p w14:paraId="66D14651">
            <w:pPr>
              <w:spacing w:before="0" w:after="0" w:line="240" w:lineRule="auto"/>
              <w:jc w:val="left"/>
            </w:pPr>
            <w:r>
              <w:rPr>
                <w:rFonts w:ascii="Times New Roman" w:hAnsi="Times New Roman" w:eastAsia="Times New Roman"/>
                <w:b w:val="0"/>
                <w:color w:val="000000"/>
                <w:sz w:val="16"/>
              </w:rPr>
              <w:t>Transference-focused + emotion-regulation group intervention</w:t>
            </w:r>
          </w:p>
        </w:tc>
        <w:tc>
          <w:tcPr>
            <w:tcW w:w="4848" w:type="dxa"/>
            <w:tcBorders>
              <w:top w:val="nil"/>
              <w:left w:val="nil"/>
              <w:bottom w:val="nil"/>
              <w:right w:val="nil"/>
            </w:tcBorders>
            <w:tcMar>
              <w:top w:w="60" w:type="dxa"/>
              <w:left w:w="70" w:type="dxa"/>
              <w:bottom w:w="60" w:type="dxa"/>
              <w:right w:w="70" w:type="dxa"/>
            </w:tcMar>
            <w:vAlign w:val="center"/>
          </w:tcPr>
          <w:p w14:paraId="3473ADE9">
            <w:pPr>
              <w:spacing w:before="0" w:after="0" w:line="240" w:lineRule="auto"/>
              <w:jc w:val="center"/>
            </w:pPr>
            <w:r>
              <w:rPr>
                <w:rFonts w:ascii="Times New Roman" w:hAnsi="Times New Roman" w:eastAsia="Times New Roman"/>
                <w:b w:val="0"/>
                <w:color w:val="000000"/>
                <w:sz w:val="16"/>
              </w:rPr>
              <w:t>0.459</w:t>
            </w:r>
          </w:p>
        </w:tc>
      </w:tr>
      <w:tr w14:paraId="336F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4B56C21C">
            <w:pPr>
              <w:spacing w:before="0" w:after="0" w:line="240" w:lineRule="auto"/>
              <w:jc w:val="center"/>
            </w:pPr>
            <w:r>
              <w:rPr>
                <w:rFonts w:ascii="Times New Roman" w:hAnsi="Times New Roman" w:eastAsia="Times New Roman"/>
                <w:b w:val="0"/>
                <w:color w:val="000000"/>
                <w:sz w:val="16"/>
              </w:rPr>
              <w:t>8</w:t>
            </w:r>
          </w:p>
        </w:tc>
        <w:tc>
          <w:tcPr>
            <w:tcW w:w="4848" w:type="dxa"/>
            <w:tcBorders>
              <w:top w:val="nil"/>
              <w:left w:val="nil"/>
              <w:bottom w:val="nil"/>
              <w:right w:val="nil"/>
            </w:tcBorders>
            <w:tcMar>
              <w:top w:w="60" w:type="dxa"/>
              <w:left w:w="70" w:type="dxa"/>
              <w:bottom w:w="60" w:type="dxa"/>
              <w:right w:w="70" w:type="dxa"/>
            </w:tcMar>
            <w:vAlign w:val="center"/>
          </w:tcPr>
          <w:p w14:paraId="2DA3EFE2">
            <w:pPr>
              <w:spacing w:before="0" w:after="0" w:line="240" w:lineRule="auto"/>
              <w:jc w:val="left"/>
            </w:pPr>
            <w:r>
              <w:rPr>
                <w:rFonts w:ascii="Times New Roman" w:hAnsi="Times New Roman" w:eastAsia="Times New Roman"/>
                <w:b w:val="0"/>
                <w:color w:val="000000"/>
                <w:sz w:val="16"/>
              </w:rPr>
              <w:t>General psychosocial/supportive therapy</w:t>
            </w:r>
          </w:p>
        </w:tc>
        <w:tc>
          <w:tcPr>
            <w:tcW w:w="4848" w:type="dxa"/>
            <w:tcBorders>
              <w:top w:val="nil"/>
              <w:left w:val="nil"/>
              <w:bottom w:val="nil"/>
              <w:right w:val="nil"/>
            </w:tcBorders>
            <w:tcMar>
              <w:top w:w="60" w:type="dxa"/>
              <w:left w:w="70" w:type="dxa"/>
              <w:bottom w:w="60" w:type="dxa"/>
              <w:right w:w="70" w:type="dxa"/>
            </w:tcMar>
            <w:vAlign w:val="center"/>
          </w:tcPr>
          <w:p w14:paraId="18CE93A3">
            <w:pPr>
              <w:spacing w:before="0" w:after="0" w:line="240" w:lineRule="auto"/>
              <w:jc w:val="center"/>
            </w:pPr>
            <w:r>
              <w:rPr>
                <w:rFonts w:ascii="Times New Roman" w:hAnsi="Times New Roman" w:eastAsia="Times New Roman"/>
                <w:b w:val="0"/>
                <w:color w:val="000000"/>
                <w:sz w:val="16"/>
              </w:rPr>
              <w:t>0.328</w:t>
            </w:r>
          </w:p>
        </w:tc>
      </w:tr>
      <w:tr w14:paraId="3EFC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55A04A63">
            <w:pPr>
              <w:spacing w:before="0" w:after="0" w:line="240" w:lineRule="auto"/>
              <w:jc w:val="center"/>
            </w:pPr>
            <w:r>
              <w:rPr>
                <w:rFonts w:ascii="Times New Roman" w:hAnsi="Times New Roman" w:eastAsia="Times New Roman"/>
                <w:b w:val="0"/>
                <w:color w:val="000000"/>
                <w:sz w:val="16"/>
              </w:rPr>
              <w:t>9</w:t>
            </w:r>
          </w:p>
        </w:tc>
        <w:tc>
          <w:tcPr>
            <w:tcW w:w="4848" w:type="dxa"/>
            <w:tcBorders>
              <w:top w:val="nil"/>
              <w:left w:val="nil"/>
              <w:bottom w:val="nil"/>
              <w:right w:val="nil"/>
            </w:tcBorders>
            <w:tcMar>
              <w:top w:w="60" w:type="dxa"/>
              <w:left w:w="70" w:type="dxa"/>
              <w:bottom w:w="60" w:type="dxa"/>
              <w:right w:w="70" w:type="dxa"/>
            </w:tcMar>
            <w:vAlign w:val="center"/>
          </w:tcPr>
          <w:p w14:paraId="5FBCFF07">
            <w:pPr>
              <w:spacing w:before="0" w:after="0" w:line="240" w:lineRule="auto"/>
              <w:jc w:val="left"/>
            </w:pPr>
            <w:r>
              <w:rPr>
                <w:rFonts w:ascii="Times New Roman" w:hAnsi="Times New Roman" w:eastAsia="Times New Roman"/>
                <w:b w:val="0"/>
                <w:color w:val="000000"/>
                <w:sz w:val="16"/>
              </w:rPr>
              <w:t>TAU/usual care</w:t>
            </w:r>
          </w:p>
        </w:tc>
        <w:tc>
          <w:tcPr>
            <w:tcW w:w="4848" w:type="dxa"/>
            <w:tcBorders>
              <w:top w:val="nil"/>
              <w:left w:val="nil"/>
              <w:bottom w:val="nil"/>
              <w:right w:val="nil"/>
            </w:tcBorders>
            <w:tcMar>
              <w:top w:w="60" w:type="dxa"/>
              <w:left w:w="70" w:type="dxa"/>
              <w:bottom w:w="60" w:type="dxa"/>
              <w:right w:w="70" w:type="dxa"/>
            </w:tcMar>
            <w:vAlign w:val="center"/>
          </w:tcPr>
          <w:p w14:paraId="7C115F7F">
            <w:pPr>
              <w:spacing w:before="0" w:after="0" w:line="240" w:lineRule="auto"/>
              <w:jc w:val="center"/>
            </w:pPr>
            <w:r>
              <w:rPr>
                <w:rFonts w:ascii="Times New Roman" w:hAnsi="Times New Roman" w:eastAsia="Times New Roman"/>
                <w:b w:val="0"/>
                <w:color w:val="000000"/>
                <w:sz w:val="16"/>
              </w:rPr>
              <w:t>0.144</w:t>
            </w:r>
          </w:p>
        </w:tc>
      </w:tr>
      <w:tr w14:paraId="3E79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single" w:color="auto" w:sz="8" w:space="0"/>
              <w:right w:val="nil"/>
            </w:tcBorders>
            <w:tcMar>
              <w:top w:w="60" w:type="dxa"/>
              <w:left w:w="70" w:type="dxa"/>
              <w:bottom w:w="60" w:type="dxa"/>
              <w:right w:w="70" w:type="dxa"/>
            </w:tcMar>
            <w:vAlign w:val="center"/>
          </w:tcPr>
          <w:p w14:paraId="6F948218">
            <w:pPr>
              <w:spacing w:before="0" w:after="0" w:line="240" w:lineRule="auto"/>
              <w:jc w:val="center"/>
            </w:pPr>
            <w:r>
              <w:rPr>
                <w:rFonts w:ascii="Times New Roman" w:hAnsi="Times New Roman" w:eastAsia="Times New Roman"/>
                <w:b w:val="0"/>
                <w:color w:val="000000"/>
                <w:sz w:val="16"/>
              </w:rPr>
              <w:t>10</w:t>
            </w:r>
          </w:p>
        </w:tc>
        <w:tc>
          <w:tcPr>
            <w:tcW w:w="4848" w:type="dxa"/>
            <w:tcBorders>
              <w:top w:val="nil"/>
              <w:left w:val="nil"/>
              <w:bottom w:val="single" w:color="auto" w:sz="8" w:space="0"/>
              <w:right w:val="nil"/>
            </w:tcBorders>
            <w:tcMar>
              <w:top w:w="60" w:type="dxa"/>
              <w:left w:w="70" w:type="dxa"/>
              <w:bottom w:w="60" w:type="dxa"/>
              <w:right w:w="70" w:type="dxa"/>
            </w:tcMar>
            <w:vAlign w:val="center"/>
          </w:tcPr>
          <w:p w14:paraId="401FAC1F">
            <w:pPr>
              <w:spacing w:before="0" w:after="0" w:line="240" w:lineRule="auto"/>
              <w:jc w:val="left"/>
            </w:pPr>
            <w:r>
              <w:rPr>
                <w:rFonts w:ascii="Times New Roman" w:hAnsi="Times New Roman" w:eastAsia="Times New Roman"/>
                <w:b w:val="0"/>
                <w:color w:val="000000"/>
                <w:sz w:val="16"/>
              </w:rPr>
              <w:t>Family/parent intervention</w:t>
            </w:r>
          </w:p>
        </w:tc>
        <w:tc>
          <w:tcPr>
            <w:tcW w:w="4848" w:type="dxa"/>
            <w:tcBorders>
              <w:top w:val="nil"/>
              <w:left w:val="nil"/>
              <w:bottom w:val="single" w:color="auto" w:sz="8" w:space="0"/>
              <w:right w:val="nil"/>
            </w:tcBorders>
            <w:tcMar>
              <w:top w:w="60" w:type="dxa"/>
              <w:left w:w="70" w:type="dxa"/>
              <w:bottom w:w="60" w:type="dxa"/>
              <w:right w:w="70" w:type="dxa"/>
            </w:tcMar>
            <w:vAlign w:val="center"/>
          </w:tcPr>
          <w:p w14:paraId="381C5B5F">
            <w:pPr>
              <w:spacing w:before="0" w:after="0" w:line="240" w:lineRule="auto"/>
              <w:jc w:val="center"/>
            </w:pPr>
            <w:r>
              <w:rPr>
                <w:rFonts w:ascii="Times New Roman" w:hAnsi="Times New Roman" w:eastAsia="Times New Roman"/>
                <w:b w:val="0"/>
                <w:color w:val="000000"/>
                <w:sz w:val="16"/>
              </w:rPr>
              <w:t>0.119</w:t>
            </w:r>
          </w:p>
        </w:tc>
      </w:tr>
    </w:tbl>
    <w:p w14:paraId="0F7C6611">
      <w:pPr>
        <w:spacing w:before="40" w:after="100"/>
      </w:pPr>
      <w:r>
        <w:rPr>
          <w:rFonts w:ascii="Times New Roman" w:hAnsi="Times New Roman" w:eastAsia="Times New Roman"/>
          <w:color w:val="000000"/>
          <w:sz w:val="16"/>
        </w:rPr>
        <w:t>Note: P-scores range from 0 to 1; larger values indicate a higher relative ranking within the fitted network. Rankings are exploratory and should not be interpreted independently of effect estimates, confidence intervals, network sparsity, and risk of bias.</w:t>
      </w:r>
    </w:p>
    <w:p w14:paraId="1E2EEAC3">
      <w:pPr>
        <w:spacing w:before="160" w:after="80"/>
      </w:pPr>
      <w:r>
        <w:rPr>
          <w:rFonts w:ascii="Times New Roman" w:hAnsi="Times New Roman" w:eastAsia="Times New Roman"/>
          <w:b/>
          <w:color w:val="000000"/>
          <w:sz w:val="20"/>
        </w:rPr>
        <w:t>Supplementary Table S6B. P-score rankings for continuous NSSI/self-harm outcomes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4848"/>
        <w:gridCol w:w="4848"/>
      </w:tblGrid>
      <w:tr w14:paraId="5136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48" w:type="dxa"/>
            <w:tcBorders>
              <w:top w:val="single" w:color="auto" w:sz="8" w:space="0"/>
              <w:left w:val="nil"/>
              <w:bottom w:val="single" w:color="auto" w:sz="6" w:space="0"/>
              <w:right w:val="nil"/>
            </w:tcBorders>
            <w:tcMar>
              <w:top w:w="60" w:type="dxa"/>
              <w:left w:w="70" w:type="dxa"/>
              <w:bottom w:w="60" w:type="dxa"/>
              <w:right w:w="70" w:type="dxa"/>
            </w:tcMar>
            <w:vAlign w:val="center"/>
          </w:tcPr>
          <w:p w14:paraId="25D6A6C3">
            <w:pPr>
              <w:spacing w:before="0" w:after="0" w:line="240" w:lineRule="auto"/>
              <w:jc w:val="center"/>
            </w:pPr>
            <w:r>
              <w:rPr>
                <w:rFonts w:ascii="Times New Roman" w:hAnsi="Times New Roman" w:eastAsia="Times New Roman"/>
                <w:b/>
                <w:color w:val="000000"/>
                <w:sz w:val="16"/>
              </w:rPr>
              <w:t>Rank</w:t>
            </w:r>
          </w:p>
        </w:tc>
        <w:tc>
          <w:tcPr>
            <w:tcW w:w="4848" w:type="dxa"/>
            <w:tcBorders>
              <w:top w:val="single" w:color="auto" w:sz="8" w:space="0"/>
              <w:left w:val="nil"/>
              <w:bottom w:val="single" w:color="auto" w:sz="6" w:space="0"/>
              <w:right w:val="nil"/>
            </w:tcBorders>
            <w:tcMar>
              <w:top w:w="60" w:type="dxa"/>
              <w:left w:w="70" w:type="dxa"/>
              <w:bottom w:w="60" w:type="dxa"/>
              <w:right w:w="70" w:type="dxa"/>
            </w:tcMar>
            <w:vAlign w:val="center"/>
          </w:tcPr>
          <w:p w14:paraId="12AF2570">
            <w:pPr>
              <w:spacing w:before="0" w:after="0" w:line="240" w:lineRule="auto"/>
              <w:jc w:val="center"/>
            </w:pPr>
            <w:r>
              <w:rPr>
                <w:rFonts w:ascii="Times New Roman" w:hAnsi="Times New Roman" w:eastAsia="Times New Roman"/>
                <w:b/>
                <w:color w:val="000000"/>
                <w:sz w:val="16"/>
              </w:rPr>
              <w:t>Treatment node</w:t>
            </w:r>
          </w:p>
        </w:tc>
        <w:tc>
          <w:tcPr>
            <w:tcW w:w="4848" w:type="dxa"/>
            <w:tcBorders>
              <w:top w:val="single" w:color="auto" w:sz="8" w:space="0"/>
              <w:left w:val="nil"/>
              <w:bottom w:val="single" w:color="auto" w:sz="6" w:space="0"/>
              <w:right w:val="nil"/>
            </w:tcBorders>
            <w:tcMar>
              <w:top w:w="60" w:type="dxa"/>
              <w:left w:w="70" w:type="dxa"/>
              <w:bottom w:w="60" w:type="dxa"/>
              <w:right w:w="70" w:type="dxa"/>
            </w:tcMar>
            <w:vAlign w:val="center"/>
          </w:tcPr>
          <w:p w14:paraId="626C9E19">
            <w:pPr>
              <w:spacing w:before="0" w:after="0" w:line="240" w:lineRule="auto"/>
              <w:jc w:val="center"/>
            </w:pPr>
            <w:r>
              <w:rPr>
                <w:rFonts w:ascii="Times New Roman" w:hAnsi="Times New Roman" w:eastAsia="Times New Roman"/>
                <w:b/>
                <w:color w:val="000000"/>
                <w:sz w:val="16"/>
              </w:rPr>
              <w:t>P-score</w:t>
            </w:r>
          </w:p>
        </w:tc>
      </w:tr>
      <w:tr w14:paraId="2207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single" w:color="auto" w:sz="6" w:space="0"/>
              <w:left w:val="nil"/>
              <w:bottom w:val="nil"/>
              <w:right w:val="nil"/>
            </w:tcBorders>
            <w:tcMar>
              <w:top w:w="60" w:type="dxa"/>
              <w:left w:w="70" w:type="dxa"/>
              <w:bottom w:w="60" w:type="dxa"/>
              <w:right w:w="70" w:type="dxa"/>
            </w:tcMar>
            <w:vAlign w:val="center"/>
          </w:tcPr>
          <w:p w14:paraId="5A0D300A">
            <w:pPr>
              <w:spacing w:before="0" w:after="0" w:line="240" w:lineRule="auto"/>
              <w:jc w:val="center"/>
            </w:pPr>
            <w:r>
              <w:rPr>
                <w:rFonts w:ascii="Times New Roman" w:hAnsi="Times New Roman" w:eastAsia="Times New Roman"/>
                <w:b w:val="0"/>
                <w:color w:val="000000"/>
                <w:sz w:val="16"/>
              </w:rPr>
              <w:t>1</w:t>
            </w:r>
          </w:p>
        </w:tc>
        <w:tc>
          <w:tcPr>
            <w:tcW w:w="4848" w:type="dxa"/>
            <w:tcBorders>
              <w:top w:val="single" w:color="auto" w:sz="6" w:space="0"/>
              <w:left w:val="nil"/>
              <w:bottom w:val="nil"/>
              <w:right w:val="nil"/>
            </w:tcBorders>
            <w:tcMar>
              <w:top w:w="60" w:type="dxa"/>
              <w:left w:w="70" w:type="dxa"/>
              <w:bottom w:w="60" w:type="dxa"/>
              <w:right w:w="70" w:type="dxa"/>
            </w:tcMar>
            <w:vAlign w:val="center"/>
          </w:tcPr>
          <w:p w14:paraId="3D7B98B8">
            <w:pPr>
              <w:spacing w:before="0" w:after="0" w:line="240" w:lineRule="auto"/>
              <w:jc w:val="left"/>
            </w:pPr>
            <w:r>
              <w:rPr>
                <w:rFonts w:ascii="Times New Roman" w:hAnsi="Times New Roman" w:eastAsia="Times New Roman"/>
                <w:b w:val="0"/>
                <w:color w:val="000000"/>
                <w:sz w:val="16"/>
              </w:rPr>
              <w:t>General psychosocial/nursing intervention</w:t>
            </w:r>
          </w:p>
        </w:tc>
        <w:tc>
          <w:tcPr>
            <w:tcW w:w="4848" w:type="dxa"/>
            <w:tcBorders>
              <w:top w:val="single" w:color="auto" w:sz="6" w:space="0"/>
              <w:left w:val="nil"/>
              <w:bottom w:val="nil"/>
              <w:right w:val="nil"/>
            </w:tcBorders>
            <w:tcMar>
              <w:top w:w="60" w:type="dxa"/>
              <w:left w:w="70" w:type="dxa"/>
              <w:bottom w:w="60" w:type="dxa"/>
              <w:right w:w="70" w:type="dxa"/>
            </w:tcMar>
            <w:vAlign w:val="center"/>
          </w:tcPr>
          <w:p w14:paraId="70EA8537">
            <w:pPr>
              <w:spacing w:before="0" w:after="0" w:line="240" w:lineRule="auto"/>
              <w:jc w:val="center"/>
            </w:pPr>
            <w:r>
              <w:rPr>
                <w:rFonts w:ascii="Times New Roman" w:hAnsi="Times New Roman" w:eastAsia="Times New Roman"/>
                <w:b w:val="0"/>
                <w:color w:val="000000"/>
                <w:sz w:val="16"/>
              </w:rPr>
              <w:t>0.710</w:t>
            </w:r>
          </w:p>
        </w:tc>
      </w:tr>
      <w:tr w14:paraId="3C2D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2C877770">
            <w:pPr>
              <w:spacing w:before="0" w:after="0" w:line="240" w:lineRule="auto"/>
              <w:jc w:val="center"/>
            </w:pPr>
            <w:r>
              <w:rPr>
                <w:rFonts w:ascii="Times New Roman" w:hAnsi="Times New Roman" w:eastAsia="Times New Roman"/>
                <w:b w:val="0"/>
                <w:color w:val="000000"/>
                <w:sz w:val="16"/>
              </w:rPr>
              <w:t>2</w:t>
            </w:r>
          </w:p>
        </w:tc>
        <w:tc>
          <w:tcPr>
            <w:tcW w:w="4848" w:type="dxa"/>
            <w:tcBorders>
              <w:top w:val="nil"/>
              <w:left w:val="nil"/>
              <w:bottom w:val="nil"/>
              <w:right w:val="nil"/>
            </w:tcBorders>
            <w:tcMar>
              <w:top w:w="60" w:type="dxa"/>
              <w:left w:w="70" w:type="dxa"/>
              <w:bottom w:w="60" w:type="dxa"/>
              <w:right w:w="70" w:type="dxa"/>
            </w:tcMar>
            <w:vAlign w:val="center"/>
          </w:tcPr>
          <w:p w14:paraId="36F29D8F">
            <w:pPr>
              <w:spacing w:before="0" w:after="0" w:line="240" w:lineRule="auto"/>
              <w:jc w:val="left"/>
            </w:pPr>
            <w:r>
              <w:rPr>
                <w:rFonts w:ascii="Times New Roman" w:hAnsi="Times New Roman" w:eastAsia="Times New Roman"/>
                <w:b w:val="0"/>
                <w:color w:val="000000"/>
                <w:sz w:val="16"/>
              </w:rPr>
              <w:t>Family-based interpersonal psychotherapy</w:t>
            </w:r>
          </w:p>
        </w:tc>
        <w:tc>
          <w:tcPr>
            <w:tcW w:w="4848" w:type="dxa"/>
            <w:tcBorders>
              <w:top w:val="nil"/>
              <w:left w:val="nil"/>
              <w:bottom w:val="nil"/>
              <w:right w:val="nil"/>
            </w:tcBorders>
            <w:tcMar>
              <w:top w:w="60" w:type="dxa"/>
              <w:left w:w="70" w:type="dxa"/>
              <w:bottom w:w="60" w:type="dxa"/>
              <w:right w:w="70" w:type="dxa"/>
            </w:tcMar>
            <w:vAlign w:val="center"/>
          </w:tcPr>
          <w:p w14:paraId="729A87E4">
            <w:pPr>
              <w:spacing w:before="0" w:after="0" w:line="240" w:lineRule="auto"/>
              <w:jc w:val="center"/>
            </w:pPr>
            <w:r>
              <w:rPr>
                <w:rFonts w:ascii="Times New Roman" w:hAnsi="Times New Roman" w:eastAsia="Times New Roman"/>
                <w:b w:val="0"/>
                <w:color w:val="000000"/>
                <w:sz w:val="16"/>
              </w:rPr>
              <w:t>0.692</w:t>
            </w:r>
          </w:p>
        </w:tc>
      </w:tr>
      <w:tr w14:paraId="5B38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3E511AEE">
            <w:pPr>
              <w:spacing w:before="0" w:after="0" w:line="240" w:lineRule="auto"/>
              <w:jc w:val="center"/>
            </w:pPr>
            <w:r>
              <w:rPr>
                <w:rFonts w:ascii="Times New Roman" w:hAnsi="Times New Roman" w:eastAsia="Times New Roman"/>
                <w:b w:val="0"/>
                <w:color w:val="000000"/>
                <w:sz w:val="16"/>
              </w:rPr>
              <w:t>3</w:t>
            </w:r>
          </w:p>
        </w:tc>
        <w:tc>
          <w:tcPr>
            <w:tcW w:w="4848" w:type="dxa"/>
            <w:tcBorders>
              <w:top w:val="nil"/>
              <w:left w:val="nil"/>
              <w:bottom w:val="nil"/>
              <w:right w:val="nil"/>
            </w:tcBorders>
            <w:tcMar>
              <w:top w:w="60" w:type="dxa"/>
              <w:left w:w="70" w:type="dxa"/>
              <w:bottom w:w="60" w:type="dxa"/>
              <w:right w:w="70" w:type="dxa"/>
            </w:tcMar>
            <w:vAlign w:val="center"/>
          </w:tcPr>
          <w:p w14:paraId="0EF32DA5">
            <w:pPr>
              <w:spacing w:before="0" w:after="0" w:line="240" w:lineRule="auto"/>
              <w:jc w:val="left"/>
            </w:pPr>
            <w:r>
              <w:rPr>
                <w:rFonts w:ascii="Times New Roman" w:hAnsi="Times New Roman" w:eastAsia="Times New Roman"/>
                <w:b w:val="0"/>
                <w:color w:val="000000"/>
                <w:sz w:val="16"/>
              </w:rPr>
              <w:t>DBT-based intervention</w:t>
            </w:r>
          </w:p>
        </w:tc>
        <w:tc>
          <w:tcPr>
            <w:tcW w:w="4848" w:type="dxa"/>
            <w:tcBorders>
              <w:top w:val="nil"/>
              <w:left w:val="nil"/>
              <w:bottom w:val="nil"/>
              <w:right w:val="nil"/>
            </w:tcBorders>
            <w:tcMar>
              <w:top w:w="60" w:type="dxa"/>
              <w:left w:w="70" w:type="dxa"/>
              <w:bottom w:w="60" w:type="dxa"/>
              <w:right w:w="70" w:type="dxa"/>
            </w:tcMar>
            <w:vAlign w:val="center"/>
          </w:tcPr>
          <w:p w14:paraId="72ABDDC6">
            <w:pPr>
              <w:spacing w:before="0" w:after="0" w:line="240" w:lineRule="auto"/>
              <w:jc w:val="center"/>
            </w:pPr>
            <w:r>
              <w:rPr>
                <w:rFonts w:ascii="Times New Roman" w:hAnsi="Times New Roman" w:eastAsia="Times New Roman"/>
                <w:b w:val="0"/>
                <w:color w:val="000000"/>
                <w:sz w:val="16"/>
              </w:rPr>
              <w:t>0.626</w:t>
            </w:r>
          </w:p>
        </w:tc>
      </w:tr>
      <w:tr w14:paraId="0AB0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76D4BE54">
            <w:pPr>
              <w:spacing w:before="0" w:after="0" w:line="240" w:lineRule="auto"/>
              <w:jc w:val="center"/>
            </w:pPr>
            <w:r>
              <w:rPr>
                <w:rFonts w:ascii="Times New Roman" w:hAnsi="Times New Roman" w:eastAsia="Times New Roman"/>
                <w:b w:val="0"/>
                <w:color w:val="000000"/>
                <w:sz w:val="16"/>
              </w:rPr>
              <w:t>4</w:t>
            </w:r>
          </w:p>
        </w:tc>
        <w:tc>
          <w:tcPr>
            <w:tcW w:w="4848" w:type="dxa"/>
            <w:tcBorders>
              <w:top w:val="nil"/>
              <w:left w:val="nil"/>
              <w:bottom w:val="nil"/>
              <w:right w:val="nil"/>
            </w:tcBorders>
            <w:tcMar>
              <w:top w:w="60" w:type="dxa"/>
              <w:left w:w="70" w:type="dxa"/>
              <w:bottom w:w="60" w:type="dxa"/>
              <w:right w:w="70" w:type="dxa"/>
            </w:tcMar>
            <w:vAlign w:val="center"/>
          </w:tcPr>
          <w:p w14:paraId="2D4BA910">
            <w:pPr>
              <w:spacing w:before="0" w:after="0" w:line="240" w:lineRule="auto"/>
              <w:jc w:val="left"/>
            </w:pPr>
            <w:r>
              <w:rPr>
                <w:rFonts w:ascii="Times New Roman" w:hAnsi="Times New Roman" w:eastAsia="Times New Roman"/>
                <w:b w:val="0"/>
                <w:color w:val="000000"/>
                <w:sz w:val="16"/>
              </w:rPr>
              <w:t>CBT-based/third-wave CBT</w:t>
            </w:r>
          </w:p>
        </w:tc>
        <w:tc>
          <w:tcPr>
            <w:tcW w:w="4848" w:type="dxa"/>
            <w:tcBorders>
              <w:top w:val="nil"/>
              <w:left w:val="nil"/>
              <w:bottom w:val="nil"/>
              <w:right w:val="nil"/>
            </w:tcBorders>
            <w:tcMar>
              <w:top w:w="60" w:type="dxa"/>
              <w:left w:w="70" w:type="dxa"/>
              <w:bottom w:w="60" w:type="dxa"/>
              <w:right w:w="70" w:type="dxa"/>
            </w:tcMar>
            <w:vAlign w:val="center"/>
          </w:tcPr>
          <w:p w14:paraId="07E3F21D">
            <w:pPr>
              <w:spacing w:before="0" w:after="0" w:line="240" w:lineRule="auto"/>
              <w:jc w:val="center"/>
            </w:pPr>
            <w:r>
              <w:rPr>
                <w:rFonts w:ascii="Times New Roman" w:hAnsi="Times New Roman" w:eastAsia="Times New Roman"/>
                <w:b w:val="0"/>
                <w:color w:val="000000"/>
                <w:sz w:val="16"/>
              </w:rPr>
              <w:t>0.535</w:t>
            </w:r>
          </w:p>
        </w:tc>
      </w:tr>
      <w:tr w14:paraId="4A12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43B2414F">
            <w:pPr>
              <w:spacing w:before="0" w:after="0" w:line="240" w:lineRule="auto"/>
              <w:jc w:val="center"/>
            </w:pPr>
            <w:r>
              <w:rPr>
                <w:rFonts w:ascii="Times New Roman" w:hAnsi="Times New Roman" w:eastAsia="Times New Roman"/>
                <w:b w:val="0"/>
                <w:color w:val="000000"/>
                <w:sz w:val="16"/>
              </w:rPr>
              <w:t>5</w:t>
            </w:r>
          </w:p>
        </w:tc>
        <w:tc>
          <w:tcPr>
            <w:tcW w:w="4848" w:type="dxa"/>
            <w:tcBorders>
              <w:top w:val="nil"/>
              <w:left w:val="nil"/>
              <w:bottom w:val="nil"/>
              <w:right w:val="nil"/>
            </w:tcBorders>
            <w:tcMar>
              <w:top w:w="60" w:type="dxa"/>
              <w:left w:w="70" w:type="dxa"/>
              <w:bottom w:w="60" w:type="dxa"/>
              <w:right w:w="70" w:type="dxa"/>
            </w:tcMar>
            <w:vAlign w:val="center"/>
          </w:tcPr>
          <w:p w14:paraId="700CA219">
            <w:pPr>
              <w:spacing w:before="0" w:after="0" w:line="240" w:lineRule="auto"/>
              <w:jc w:val="left"/>
            </w:pPr>
            <w:r>
              <w:rPr>
                <w:rFonts w:ascii="Times New Roman" w:hAnsi="Times New Roman" w:eastAsia="Times New Roman"/>
                <w:b w:val="0"/>
                <w:color w:val="000000"/>
                <w:sz w:val="16"/>
              </w:rPr>
              <w:t>Group interpersonal psychotherapy</w:t>
            </w:r>
          </w:p>
        </w:tc>
        <w:tc>
          <w:tcPr>
            <w:tcW w:w="4848" w:type="dxa"/>
            <w:tcBorders>
              <w:top w:val="nil"/>
              <w:left w:val="nil"/>
              <w:bottom w:val="nil"/>
              <w:right w:val="nil"/>
            </w:tcBorders>
            <w:tcMar>
              <w:top w:w="60" w:type="dxa"/>
              <w:left w:w="70" w:type="dxa"/>
              <w:bottom w:w="60" w:type="dxa"/>
              <w:right w:w="70" w:type="dxa"/>
            </w:tcMar>
            <w:vAlign w:val="center"/>
          </w:tcPr>
          <w:p w14:paraId="2EE65068">
            <w:pPr>
              <w:spacing w:before="0" w:after="0" w:line="240" w:lineRule="auto"/>
              <w:jc w:val="center"/>
            </w:pPr>
            <w:r>
              <w:rPr>
                <w:rFonts w:ascii="Times New Roman" w:hAnsi="Times New Roman" w:eastAsia="Times New Roman"/>
                <w:b w:val="0"/>
                <w:color w:val="000000"/>
                <w:sz w:val="16"/>
              </w:rPr>
              <w:t>0.481</w:t>
            </w:r>
          </w:p>
        </w:tc>
      </w:tr>
      <w:tr w14:paraId="466F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Mar>
              <w:top w:w="60" w:type="dxa"/>
              <w:left w:w="70" w:type="dxa"/>
              <w:bottom w:w="60" w:type="dxa"/>
              <w:right w:w="70" w:type="dxa"/>
            </w:tcMar>
            <w:vAlign w:val="center"/>
          </w:tcPr>
          <w:p w14:paraId="1497B081">
            <w:pPr>
              <w:spacing w:before="0" w:after="0" w:line="240" w:lineRule="auto"/>
              <w:jc w:val="center"/>
            </w:pPr>
            <w:r>
              <w:rPr>
                <w:rFonts w:ascii="Times New Roman" w:hAnsi="Times New Roman" w:eastAsia="Times New Roman"/>
                <w:b w:val="0"/>
                <w:color w:val="000000"/>
                <w:sz w:val="16"/>
              </w:rPr>
              <w:t>6</w:t>
            </w:r>
          </w:p>
        </w:tc>
        <w:tc>
          <w:tcPr>
            <w:tcW w:w="4848" w:type="dxa"/>
            <w:tcBorders>
              <w:top w:val="nil"/>
              <w:left w:val="nil"/>
              <w:bottom w:val="nil"/>
              <w:right w:val="nil"/>
            </w:tcBorders>
            <w:tcMar>
              <w:top w:w="60" w:type="dxa"/>
              <w:left w:w="70" w:type="dxa"/>
              <w:bottom w:w="60" w:type="dxa"/>
              <w:right w:w="70" w:type="dxa"/>
            </w:tcMar>
            <w:vAlign w:val="center"/>
          </w:tcPr>
          <w:p w14:paraId="7C7D5EF2">
            <w:pPr>
              <w:spacing w:before="0" w:after="0" w:line="240" w:lineRule="auto"/>
              <w:jc w:val="left"/>
            </w:pPr>
            <w:r>
              <w:rPr>
                <w:rFonts w:ascii="Times New Roman" w:hAnsi="Times New Roman" w:eastAsia="Times New Roman"/>
                <w:b w:val="0"/>
                <w:color w:val="000000"/>
                <w:sz w:val="16"/>
              </w:rPr>
              <w:t>Narrative/expressive therapy</w:t>
            </w:r>
          </w:p>
        </w:tc>
        <w:tc>
          <w:tcPr>
            <w:tcW w:w="4848" w:type="dxa"/>
            <w:tcBorders>
              <w:top w:val="nil"/>
              <w:left w:val="nil"/>
              <w:bottom w:val="nil"/>
              <w:right w:val="nil"/>
            </w:tcBorders>
            <w:tcMar>
              <w:top w:w="60" w:type="dxa"/>
              <w:left w:w="70" w:type="dxa"/>
              <w:bottom w:w="60" w:type="dxa"/>
              <w:right w:w="70" w:type="dxa"/>
            </w:tcMar>
            <w:vAlign w:val="center"/>
          </w:tcPr>
          <w:p w14:paraId="1694F5ED">
            <w:pPr>
              <w:spacing w:before="0" w:after="0" w:line="240" w:lineRule="auto"/>
              <w:jc w:val="center"/>
            </w:pPr>
            <w:r>
              <w:rPr>
                <w:rFonts w:ascii="Times New Roman" w:hAnsi="Times New Roman" w:eastAsia="Times New Roman"/>
                <w:b w:val="0"/>
                <w:color w:val="000000"/>
                <w:sz w:val="16"/>
              </w:rPr>
              <w:t>0.380</w:t>
            </w:r>
          </w:p>
        </w:tc>
      </w:tr>
      <w:tr w14:paraId="0C48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single" w:color="auto" w:sz="8" w:space="0"/>
              <w:right w:val="nil"/>
            </w:tcBorders>
            <w:tcMar>
              <w:top w:w="60" w:type="dxa"/>
              <w:left w:w="70" w:type="dxa"/>
              <w:bottom w:w="60" w:type="dxa"/>
              <w:right w:w="70" w:type="dxa"/>
            </w:tcMar>
            <w:vAlign w:val="center"/>
          </w:tcPr>
          <w:p w14:paraId="5B4D0C6A">
            <w:pPr>
              <w:spacing w:before="0" w:after="0" w:line="240" w:lineRule="auto"/>
              <w:jc w:val="center"/>
            </w:pPr>
            <w:r>
              <w:rPr>
                <w:rFonts w:ascii="Times New Roman" w:hAnsi="Times New Roman" w:eastAsia="Times New Roman"/>
                <w:b w:val="0"/>
                <w:color w:val="000000"/>
                <w:sz w:val="16"/>
              </w:rPr>
              <w:t>7</w:t>
            </w:r>
          </w:p>
        </w:tc>
        <w:tc>
          <w:tcPr>
            <w:tcW w:w="4848" w:type="dxa"/>
            <w:tcBorders>
              <w:top w:val="nil"/>
              <w:left w:val="nil"/>
              <w:bottom w:val="single" w:color="auto" w:sz="8" w:space="0"/>
              <w:right w:val="nil"/>
            </w:tcBorders>
            <w:tcMar>
              <w:top w:w="60" w:type="dxa"/>
              <w:left w:w="70" w:type="dxa"/>
              <w:bottom w:w="60" w:type="dxa"/>
              <w:right w:w="70" w:type="dxa"/>
            </w:tcMar>
            <w:vAlign w:val="center"/>
          </w:tcPr>
          <w:p w14:paraId="71926F0B">
            <w:pPr>
              <w:spacing w:before="0" w:after="0" w:line="240" w:lineRule="auto"/>
              <w:jc w:val="left"/>
            </w:pPr>
            <w:r>
              <w:rPr>
                <w:rFonts w:ascii="Times New Roman" w:hAnsi="Times New Roman" w:eastAsia="Times New Roman"/>
                <w:b w:val="0"/>
                <w:color w:val="000000"/>
                <w:sz w:val="16"/>
              </w:rPr>
              <w:t>TAU/usual care</w:t>
            </w:r>
          </w:p>
        </w:tc>
        <w:tc>
          <w:tcPr>
            <w:tcW w:w="4848" w:type="dxa"/>
            <w:tcBorders>
              <w:top w:val="nil"/>
              <w:left w:val="nil"/>
              <w:bottom w:val="single" w:color="auto" w:sz="8" w:space="0"/>
              <w:right w:val="nil"/>
            </w:tcBorders>
            <w:tcMar>
              <w:top w:w="60" w:type="dxa"/>
              <w:left w:w="70" w:type="dxa"/>
              <w:bottom w:w="60" w:type="dxa"/>
              <w:right w:w="70" w:type="dxa"/>
            </w:tcMar>
            <w:vAlign w:val="center"/>
          </w:tcPr>
          <w:p w14:paraId="5426E0A5">
            <w:pPr>
              <w:spacing w:before="0" w:after="0" w:line="240" w:lineRule="auto"/>
              <w:jc w:val="center"/>
            </w:pPr>
            <w:r>
              <w:rPr>
                <w:rFonts w:ascii="Times New Roman" w:hAnsi="Times New Roman" w:eastAsia="Times New Roman"/>
                <w:b w:val="0"/>
                <w:color w:val="000000"/>
                <w:sz w:val="16"/>
              </w:rPr>
              <w:t>0.077</w:t>
            </w:r>
          </w:p>
        </w:tc>
      </w:tr>
    </w:tbl>
    <w:p w14:paraId="00B5DCF8">
      <w:pPr>
        <w:spacing w:before="40" w:after="100"/>
      </w:pPr>
      <w:r>
        <w:rPr>
          <w:rFonts w:ascii="Times New Roman" w:hAnsi="Times New Roman" w:eastAsia="Times New Roman"/>
          <w:color w:val="000000"/>
          <w:sz w:val="16"/>
        </w:rPr>
        <w:t>Note: Values are reported to three decimals from the final continuous-outcome network. Because the network was highly heterogeneous and several nodes were supported by limited direct evidence, the P-scores are descriptive only and do not establish a definitive treatment hierarchy.</w:t>
      </w:r>
    </w:p>
    <w:p w14:paraId="3422B448">
      <w:pPr>
        <w:spacing w:before="160" w:after="80"/>
      </w:pPr>
      <w:r>
        <w:rPr>
          <w:rFonts w:ascii="Times New Roman" w:hAnsi="Times New Roman" w:eastAsia="Times New Roman"/>
          <w:b/>
          <w:color w:val="000000"/>
          <w:sz w:val="20"/>
        </w:rPr>
        <w:t>Supplementary Table S7. Statistical software and reproducibility information</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7"/>
        <w:gridCol w:w="3350"/>
        <w:gridCol w:w="2092"/>
        <w:gridCol w:w="6605"/>
      </w:tblGrid>
      <w:tr w14:paraId="48D9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97" w:type="dxa"/>
            <w:tcBorders>
              <w:top w:val="single" w:color="auto" w:sz="8" w:space="0"/>
              <w:left w:val="nil"/>
              <w:bottom w:val="single" w:color="auto" w:sz="6" w:space="0"/>
              <w:right w:val="nil"/>
            </w:tcBorders>
            <w:tcMar>
              <w:top w:w="60" w:type="dxa"/>
              <w:left w:w="70" w:type="dxa"/>
              <w:bottom w:w="60" w:type="dxa"/>
              <w:right w:w="70" w:type="dxa"/>
            </w:tcMar>
            <w:vAlign w:val="center"/>
          </w:tcPr>
          <w:p w14:paraId="459C46B2">
            <w:pPr>
              <w:spacing w:before="0" w:after="0" w:line="240" w:lineRule="auto"/>
              <w:jc w:val="center"/>
            </w:pPr>
            <w:r>
              <w:rPr>
                <w:rFonts w:ascii="Times New Roman" w:hAnsi="Times New Roman" w:eastAsia="Times New Roman"/>
                <w:b/>
                <w:color w:val="000000"/>
                <w:sz w:val="16"/>
              </w:rPr>
              <w:t>Component</w:t>
            </w:r>
          </w:p>
        </w:tc>
        <w:tc>
          <w:tcPr>
            <w:tcW w:w="3350" w:type="dxa"/>
            <w:tcBorders>
              <w:top w:val="single" w:color="auto" w:sz="8" w:space="0"/>
              <w:left w:val="nil"/>
              <w:bottom w:val="single" w:color="auto" w:sz="6" w:space="0"/>
              <w:right w:val="nil"/>
            </w:tcBorders>
            <w:tcMar>
              <w:top w:w="60" w:type="dxa"/>
              <w:left w:w="70" w:type="dxa"/>
              <w:bottom w:w="60" w:type="dxa"/>
              <w:right w:w="70" w:type="dxa"/>
            </w:tcMar>
            <w:vAlign w:val="center"/>
          </w:tcPr>
          <w:p w14:paraId="15FAF1AA">
            <w:pPr>
              <w:spacing w:before="0" w:after="0" w:line="240" w:lineRule="auto"/>
              <w:jc w:val="center"/>
            </w:pPr>
            <w:r>
              <w:rPr>
                <w:rFonts w:ascii="Times New Roman" w:hAnsi="Times New Roman" w:eastAsia="Times New Roman"/>
                <w:b/>
                <w:color w:val="000000"/>
                <w:sz w:val="16"/>
              </w:rPr>
              <w:t>Software/package</w:t>
            </w:r>
          </w:p>
        </w:tc>
        <w:tc>
          <w:tcPr>
            <w:tcW w:w="2092" w:type="dxa"/>
            <w:tcBorders>
              <w:top w:val="single" w:color="auto" w:sz="8" w:space="0"/>
              <w:left w:val="nil"/>
              <w:bottom w:val="single" w:color="auto" w:sz="6" w:space="0"/>
              <w:right w:val="nil"/>
            </w:tcBorders>
            <w:tcMar>
              <w:top w:w="60" w:type="dxa"/>
              <w:left w:w="70" w:type="dxa"/>
              <w:bottom w:w="60" w:type="dxa"/>
              <w:right w:w="70" w:type="dxa"/>
            </w:tcMar>
            <w:vAlign w:val="center"/>
          </w:tcPr>
          <w:p w14:paraId="7BB2D2F8">
            <w:pPr>
              <w:spacing w:before="0" w:after="0" w:line="240" w:lineRule="auto"/>
              <w:jc w:val="center"/>
            </w:pPr>
            <w:r>
              <w:rPr>
                <w:rFonts w:ascii="Times New Roman" w:hAnsi="Times New Roman" w:eastAsia="Times New Roman"/>
                <w:b/>
                <w:color w:val="000000"/>
                <w:sz w:val="16"/>
              </w:rPr>
              <w:t>Version</w:t>
            </w:r>
          </w:p>
        </w:tc>
        <w:tc>
          <w:tcPr>
            <w:tcW w:w="6605" w:type="dxa"/>
            <w:tcBorders>
              <w:top w:val="single" w:color="auto" w:sz="8" w:space="0"/>
              <w:left w:val="nil"/>
              <w:bottom w:val="single" w:color="auto" w:sz="6" w:space="0"/>
              <w:right w:val="nil"/>
            </w:tcBorders>
            <w:tcMar>
              <w:top w:w="60" w:type="dxa"/>
              <w:left w:w="70" w:type="dxa"/>
              <w:bottom w:w="60" w:type="dxa"/>
              <w:right w:w="70" w:type="dxa"/>
            </w:tcMar>
            <w:vAlign w:val="center"/>
          </w:tcPr>
          <w:p w14:paraId="30530D98">
            <w:pPr>
              <w:spacing w:before="0" w:after="0" w:line="240" w:lineRule="auto"/>
              <w:jc w:val="center"/>
            </w:pPr>
            <w:r>
              <w:rPr>
                <w:rFonts w:ascii="Times New Roman" w:hAnsi="Times New Roman" w:eastAsia="Times New Roman"/>
                <w:b/>
                <w:color w:val="000000"/>
                <w:sz w:val="16"/>
              </w:rPr>
              <w:t>Role</w:t>
            </w:r>
          </w:p>
        </w:tc>
      </w:tr>
      <w:tr w14:paraId="7E58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7" w:type="dxa"/>
            <w:tcBorders>
              <w:top w:val="single" w:color="auto" w:sz="6" w:space="0"/>
              <w:left w:val="nil"/>
              <w:bottom w:val="nil"/>
              <w:right w:val="nil"/>
            </w:tcBorders>
            <w:tcMar>
              <w:top w:w="60" w:type="dxa"/>
              <w:left w:w="70" w:type="dxa"/>
              <w:bottom w:w="60" w:type="dxa"/>
              <w:right w:w="70" w:type="dxa"/>
            </w:tcMar>
            <w:vAlign w:val="center"/>
          </w:tcPr>
          <w:p w14:paraId="7CC23619">
            <w:pPr>
              <w:spacing w:before="0" w:after="0" w:line="240" w:lineRule="auto"/>
              <w:jc w:val="center"/>
            </w:pPr>
            <w:r>
              <w:rPr>
                <w:rFonts w:ascii="Times New Roman" w:hAnsi="Times New Roman" w:eastAsia="Times New Roman"/>
                <w:b w:val="0"/>
                <w:color w:val="000000"/>
                <w:sz w:val="16"/>
              </w:rPr>
              <w:t>Statistical environment</w:t>
            </w:r>
          </w:p>
        </w:tc>
        <w:tc>
          <w:tcPr>
            <w:tcW w:w="3350" w:type="dxa"/>
            <w:tcBorders>
              <w:top w:val="single" w:color="auto" w:sz="6" w:space="0"/>
              <w:left w:val="nil"/>
              <w:bottom w:val="nil"/>
              <w:right w:val="nil"/>
            </w:tcBorders>
            <w:tcMar>
              <w:top w:w="60" w:type="dxa"/>
              <w:left w:w="70" w:type="dxa"/>
              <w:bottom w:w="60" w:type="dxa"/>
              <w:right w:w="70" w:type="dxa"/>
            </w:tcMar>
            <w:vAlign w:val="center"/>
          </w:tcPr>
          <w:p w14:paraId="447E4096">
            <w:pPr>
              <w:spacing w:before="0" w:after="0" w:line="240" w:lineRule="auto"/>
              <w:jc w:val="center"/>
            </w:pPr>
            <w:r>
              <w:rPr>
                <w:rFonts w:ascii="Times New Roman" w:hAnsi="Times New Roman" w:eastAsia="Times New Roman"/>
                <w:b w:val="0"/>
                <w:color w:val="000000"/>
                <w:sz w:val="16"/>
              </w:rPr>
              <w:t>R</w:t>
            </w:r>
          </w:p>
        </w:tc>
        <w:tc>
          <w:tcPr>
            <w:tcW w:w="2092" w:type="dxa"/>
            <w:tcBorders>
              <w:top w:val="single" w:color="auto" w:sz="6" w:space="0"/>
              <w:left w:val="nil"/>
              <w:bottom w:val="nil"/>
              <w:right w:val="nil"/>
            </w:tcBorders>
            <w:tcMar>
              <w:top w:w="60" w:type="dxa"/>
              <w:left w:w="70" w:type="dxa"/>
              <w:bottom w:w="60" w:type="dxa"/>
              <w:right w:w="70" w:type="dxa"/>
            </w:tcMar>
            <w:vAlign w:val="center"/>
          </w:tcPr>
          <w:p w14:paraId="14B641B2">
            <w:pPr>
              <w:spacing w:before="0" w:after="0" w:line="240" w:lineRule="auto"/>
              <w:jc w:val="center"/>
            </w:pPr>
            <w:r>
              <w:rPr>
                <w:rFonts w:ascii="Times New Roman" w:hAnsi="Times New Roman" w:eastAsia="Times New Roman"/>
                <w:b w:val="0"/>
                <w:color w:val="000000"/>
                <w:sz w:val="16"/>
              </w:rPr>
              <w:t>4.6.0</w:t>
            </w:r>
          </w:p>
        </w:tc>
        <w:tc>
          <w:tcPr>
            <w:tcW w:w="6605" w:type="dxa"/>
            <w:tcBorders>
              <w:top w:val="single" w:color="auto" w:sz="6" w:space="0"/>
              <w:left w:val="nil"/>
              <w:bottom w:val="nil"/>
              <w:right w:val="nil"/>
            </w:tcBorders>
            <w:tcMar>
              <w:top w:w="60" w:type="dxa"/>
              <w:left w:w="70" w:type="dxa"/>
              <w:bottom w:w="60" w:type="dxa"/>
              <w:right w:w="70" w:type="dxa"/>
            </w:tcMar>
            <w:vAlign w:val="center"/>
          </w:tcPr>
          <w:p w14:paraId="75C40E98">
            <w:pPr>
              <w:spacing w:before="0" w:after="0" w:line="240" w:lineRule="auto"/>
              <w:jc w:val="center"/>
            </w:pPr>
            <w:r>
              <w:rPr>
                <w:rFonts w:ascii="Times New Roman" w:hAnsi="Times New Roman" w:eastAsia="Times New Roman"/>
                <w:b w:val="0"/>
                <w:color w:val="000000"/>
                <w:sz w:val="16"/>
              </w:rPr>
              <w:t>Primary statistical environment</w:t>
            </w:r>
          </w:p>
        </w:tc>
      </w:tr>
      <w:tr w14:paraId="4BB9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7" w:type="dxa"/>
            <w:tcBorders>
              <w:top w:val="nil"/>
              <w:left w:val="nil"/>
              <w:bottom w:val="nil"/>
              <w:right w:val="nil"/>
            </w:tcBorders>
            <w:tcMar>
              <w:top w:w="60" w:type="dxa"/>
              <w:left w:w="70" w:type="dxa"/>
              <w:bottom w:w="60" w:type="dxa"/>
              <w:right w:w="70" w:type="dxa"/>
            </w:tcMar>
            <w:vAlign w:val="center"/>
          </w:tcPr>
          <w:p w14:paraId="4C58BD66">
            <w:pPr>
              <w:spacing w:before="0" w:after="0" w:line="240" w:lineRule="auto"/>
              <w:jc w:val="center"/>
            </w:pPr>
            <w:r>
              <w:rPr>
                <w:rFonts w:ascii="Times New Roman" w:hAnsi="Times New Roman" w:eastAsia="Times New Roman"/>
                <w:b w:val="0"/>
                <w:color w:val="000000"/>
                <w:sz w:val="16"/>
              </w:rPr>
              <w:t>Network meta-analysis</w:t>
            </w:r>
          </w:p>
        </w:tc>
        <w:tc>
          <w:tcPr>
            <w:tcW w:w="3350" w:type="dxa"/>
            <w:tcBorders>
              <w:top w:val="nil"/>
              <w:left w:val="nil"/>
              <w:bottom w:val="nil"/>
              <w:right w:val="nil"/>
            </w:tcBorders>
            <w:tcMar>
              <w:top w:w="60" w:type="dxa"/>
              <w:left w:w="70" w:type="dxa"/>
              <w:bottom w:w="60" w:type="dxa"/>
              <w:right w:w="70" w:type="dxa"/>
            </w:tcMar>
            <w:vAlign w:val="center"/>
          </w:tcPr>
          <w:p w14:paraId="3F03E788">
            <w:pPr>
              <w:spacing w:before="0" w:after="0" w:line="240" w:lineRule="auto"/>
              <w:jc w:val="center"/>
            </w:pPr>
            <w:r>
              <w:rPr>
                <w:rFonts w:ascii="Times New Roman" w:hAnsi="Times New Roman" w:eastAsia="Times New Roman"/>
                <w:b w:val="0"/>
                <w:color w:val="000000"/>
                <w:sz w:val="16"/>
              </w:rPr>
              <w:t>netmeta</w:t>
            </w:r>
          </w:p>
        </w:tc>
        <w:tc>
          <w:tcPr>
            <w:tcW w:w="2092" w:type="dxa"/>
            <w:tcBorders>
              <w:top w:val="nil"/>
              <w:left w:val="nil"/>
              <w:bottom w:val="nil"/>
              <w:right w:val="nil"/>
            </w:tcBorders>
            <w:tcMar>
              <w:top w:w="60" w:type="dxa"/>
              <w:left w:w="70" w:type="dxa"/>
              <w:bottom w:w="60" w:type="dxa"/>
              <w:right w:w="70" w:type="dxa"/>
            </w:tcMar>
            <w:vAlign w:val="center"/>
          </w:tcPr>
          <w:p w14:paraId="11C23E41">
            <w:pPr>
              <w:spacing w:before="0" w:after="0" w:line="240" w:lineRule="auto"/>
              <w:jc w:val="center"/>
            </w:pPr>
            <w:r>
              <w:rPr>
                <w:rFonts w:ascii="Times New Roman" w:hAnsi="Times New Roman" w:eastAsia="Times New Roman"/>
                <w:b w:val="0"/>
                <w:color w:val="000000"/>
                <w:sz w:val="16"/>
              </w:rPr>
              <w:t>3.6-1</w:t>
            </w:r>
          </w:p>
        </w:tc>
        <w:tc>
          <w:tcPr>
            <w:tcW w:w="6605" w:type="dxa"/>
            <w:tcBorders>
              <w:top w:val="nil"/>
              <w:left w:val="nil"/>
              <w:bottom w:val="nil"/>
              <w:right w:val="nil"/>
            </w:tcBorders>
            <w:tcMar>
              <w:top w:w="60" w:type="dxa"/>
              <w:left w:w="70" w:type="dxa"/>
              <w:bottom w:w="60" w:type="dxa"/>
              <w:right w:w="70" w:type="dxa"/>
            </w:tcMar>
            <w:vAlign w:val="center"/>
          </w:tcPr>
          <w:p w14:paraId="31402121">
            <w:pPr>
              <w:spacing w:before="0" w:after="0" w:line="240" w:lineRule="auto"/>
              <w:jc w:val="center"/>
            </w:pPr>
            <w:r>
              <w:rPr>
                <w:rFonts w:ascii="Times New Roman" w:hAnsi="Times New Roman" w:eastAsia="Times New Roman"/>
                <w:b w:val="0"/>
                <w:color w:val="000000"/>
                <w:sz w:val="16"/>
              </w:rPr>
              <w:t>Frequentist random-effects NMA, network estimates, heterogeneity, and P-scores</w:t>
            </w:r>
          </w:p>
        </w:tc>
      </w:tr>
      <w:tr w14:paraId="4126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7" w:type="dxa"/>
            <w:tcBorders>
              <w:top w:val="nil"/>
              <w:left w:val="nil"/>
              <w:bottom w:val="nil"/>
              <w:right w:val="nil"/>
            </w:tcBorders>
            <w:tcMar>
              <w:top w:w="60" w:type="dxa"/>
              <w:left w:w="70" w:type="dxa"/>
              <w:bottom w:w="60" w:type="dxa"/>
              <w:right w:w="70" w:type="dxa"/>
            </w:tcMar>
            <w:vAlign w:val="center"/>
          </w:tcPr>
          <w:p w14:paraId="6CB83DF0">
            <w:pPr>
              <w:spacing w:before="0" w:after="0" w:line="240" w:lineRule="auto"/>
              <w:jc w:val="center"/>
            </w:pPr>
            <w:r>
              <w:rPr>
                <w:rFonts w:ascii="Times New Roman" w:hAnsi="Times New Roman" w:eastAsia="Times New Roman"/>
                <w:b w:val="0"/>
                <w:color w:val="000000"/>
                <w:sz w:val="16"/>
              </w:rPr>
              <w:t>Data import</w:t>
            </w:r>
          </w:p>
        </w:tc>
        <w:tc>
          <w:tcPr>
            <w:tcW w:w="3350" w:type="dxa"/>
            <w:tcBorders>
              <w:top w:val="nil"/>
              <w:left w:val="nil"/>
              <w:bottom w:val="nil"/>
              <w:right w:val="nil"/>
            </w:tcBorders>
            <w:tcMar>
              <w:top w:w="60" w:type="dxa"/>
              <w:left w:w="70" w:type="dxa"/>
              <w:bottom w:w="60" w:type="dxa"/>
              <w:right w:w="70" w:type="dxa"/>
            </w:tcMar>
            <w:vAlign w:val="center"/>
          </w:tcPr>
          <w:p w14:paraId="27B38A4D">
            <w:pPr>
              <w:spacing w:before="0" w:after="0" w:line="240" w:lineRule="auto"/>
              <w:jc w:val="center"/>
            </w:pPr>
            <w:r>
              <w:rPr>
                <w:rFonts w:ascii="Times New Roman" w:hAnsi="Times New Roman" w:eastAsia="Times New Roman"/>
                <w:b w:val="0"/>
                <w:color w:val="000000"/>
                <w:sz w:val="16"/>
              </w:rPr>
              <w:t>readxl</w:t>
            </w:r>
          </w:p>
        </w:tc>
        <w:tc>
          <w:tcPr>
            <w:tcW w:w="2092" w:type="dxa"/>
            <w:tcBorders>
              <w:top w:val="nil"/>
              <w:left w:val="nil"/>
              <w:bottom w:val="nil"/>
              <w:right w:val="nil"/>
            </w:tcBorders>
            <w:tcMar>
              <w:top w:w="60" w:type="dxa"/>
              <w:left w:w="70" w:type="dxa"/>
              <w:bottom w:w="60" w:type="dxa"/>
              <w:right w:w="70" w:type="dxa"/>
            </w:tcMar>
            <w:vAlign w:val="center"/>
          </w:tcPr>
          <w:p w14:paraId="6A4EA5CF">
            <w:pPr>
              <w:spacing w:before="0" w:after="0" w:line="240" w:lineRule="auto"/>
              <w:jc w:val="center"/>
            </w:pPr>
            <w:r>
              <w:rPr>
                <w:rFonts w:ascii="Times New Roman" w:hAnsi="Times New Roman" w:eastAsia="Times New Roman"/>
                <w:b w:val="0"/>
                <w:color w:val="000000"/>
                <w:sz w:val="16"/>
              </w:rPr>
              <w:t>1.5.0</w:t>
            </w:r>
          </w:p>
        </w:tc>
        <w:tc>
          <w:tcPr>
            <w:tcW w:w="6605" w:type="dxa"/>
            <w:tcBorders>
              <w:top w:val="nil"/>
              <w:left w:val="nil"/>
              <w:bottom w:val="nil"/>
              <w:right w:val="nil"/>
            </w:tcBorders>
            <w:tcMar>
              <w:top w:w="60" w:type="dxa"/>
              <w:left w:w="70" w:type="dxa"/>
              <w:bottom w:w="60" w:type="dxa"/>
              <w:right w:w="70" w:type="dxa"/>
            </w:tcMar>
            <w:vAlign w:val="center"/>
          </w:tcPr>
          <w:p w14:paraId="7B5A620E">
            <w:pPr>
              <w:spacing w:before="0" w:after="0" w:line="240" w:lineRule="auto"/>
              <w:jc w:val="center"/>
            </w:pPr>
            <w:r>
              <w:rPr>
                <w:rFonts w:ascii="Times New Roman" w:hAnsi="Times New Roman" w:eastAsia="Times New Roman"/>
                <w:b w:val="0"/>
                <w:color w:val="000000"/>
                <w:sz w:val="16"/>
              </w:rPr>
              <w:t>Import of structured extraction workbooks</w:t>
            </w:r>
          </w:p>
        </w:tc>
      </w:tr>
      <w:tr w14:paraId="2B05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7" w:type="dxa"/>
            <w:tcBorders>
              <w:top w:val="nil"/>
              <w:left w:val="nil"/>
              <w:bottom w:val="nil"/>
              <w:right w:val="nil"/>
            </w:tcBorders>
            <w:tcMar>
              <w:top w:w="60" w:type="dxa"/>
              <w:left w:w="70" w:type="dxa"/>
              <w:bottom w:w="60" w:type="dxa"/>
              <w:right w:w="70" w:type="dxa"/>
            </w:tcMar>
            <w:vAlign w:val="center"/>
          </w:tcPr>
          <w:p w14:paraId="431CA9DC">
            <w:pPr>
              <w:spacing w:before="0" w:after="0" w:line="240" w:lineRule="auto"/>
              <w:jc w:val="center"/>
            </w:pPr>
            <w:r>
              <w:rPr>
                <w:rFonts w:ascii="Times New Roman" w:hAnsi="Times New Roman" w:eastAsia="Times New Roman"/>
                <w:b w:val="0"/>
                <w:color w:val="000000"/>
                <w:sz w:val="16"/>
              </w:rPr>
              <w:t>Data management</w:t>
            </w:r>
          </w:p>
        </w:tc>
        <w:tc>
          <w:tcPr>
            <w:tcW w:w="3350" w:type="dxa"/>
            <w:tcBorders>
              <w:top w:val="nil"/>
              <w:left w:val="nil"/>
              <w:bottom w:val="nil"/>
              <w:right w:val="nil"/>
            </w:tcBorders>
            <w:tcMar>
              <w:top w:w="60" w:type="dxa"/>
              <w:left w:w="70" w:type="dxa"/>
              <w:bottom w:w="60" w:type="dxa"/>
              <w:right w:w="70" w:type="dxa"/>
            </w:tcMar>
            <w:vAlign w:val="center"/>
          </w:tcPr>
          <w:p w14:paraId="426CF73D">
            <w:pPr>
              <w:spacing w:before="0" w:after="0" w:line="240" w:lineRule="auto"/>
              <w:jc w:val="center"/>
            </w:pPr>
            <w:r>
              <w:rPr>
                <w:rFonts w:ascii="Times New Roman" w:hAnsi="Times New Roman" w:eastAsia="Times New Roman"/>
                <w:b w:val="0"/>
                <w:color w:val="000000"/>
                <w:sz w:val="16"/>
              </w:rPr>
              <w:t>dplyr</w:t>
            </w:r>
          </w:p>
        </w:tc>
        <w:tc>
          <w:tcPr>
            <w:tcW w:w="2092" w:type="dxa"/>
            <w:tcBorders>
              <w:top w:val="nil"/>
              <w:left w:val="nil"/>
              <w:bottom w:val="nil"/>
              <w:right w:val="nil"/>
            </w:tcBorders>
            <w:tcMar>
              <w:top w:w="60" w:type="dxa"/>
              <w:left w:w="70" w:type="dxa"/>
              <w:bottom w:w="60" w:type="dxa"/>
              <w:right w:w="70" w:type="dxa"/>
            </w:tcMar>
            <w:vAlign w:val="center"/>
          </w:tcPr>
          <w:p w14:paraId="6699F42C">
            <w:pPr>
              <w:spacing w:before="0" w:after="0" w:line="240" w:lineRule="auto"/>
              <w:jc w:val="center"/>
            </w:pPr>
            <w:r>
              <w:rPr>
                <w:rFonts w:ascii="Times New Roman" w:hAnsi="Times New Roman" w:eastAsia="Times New Roman"/>
                <w:b w:val="0"/>
                <w:color w:val="000000"/>
                <w:sz w:val="16"/>
              </w:rPr>
              <w:t>1.2.1</w:t>
            </w:r>
          </w:p>
        </w:tc>
        <w:tc>
          <w:tcPr>
            <w:tcW w:w="6605" w:type="dxa"/>
            <w:tcBorders>
              <w:top w:val="nil"/>
              <w:left w:val="nil"/>
              <w:bottom w:val="nil"/>
              <w:right w:val="nil"/>
            </w:tcBorders>
            <w:tcMar>
              <w:top w:w="60" w:type="dxa"/>
              <w:left w:w="70" w:type="dxa"/>
              <w:bottom w:w="60" w:type="dxa"/>
              <w:right w:w="70" w:type="dxa"/>
            </w:tcMar>
            <w:vAlign w:val="center"/>
          </w:tcPr>
          <w:p w14:paraId="344CCF9F">
            <w:pPr>
              <w:spacing w:before="0" w:after="0" w:line="240" w:lineRule="auto"/>
              <w:jc w:val="center"/>
            </w:pPr>
            <w:r>
              <w:rPr>
                <w:rFonts w:ascii="Times New Roman" w:hAnsi="Times New Roman" w:eastAsia="Times New Roman"/>
                <w:b w:val="0"/>
                <w:color w:val="000000"/>
                <w:sz w:val="16"/>
              </w:rPr>
              <w:t>Data manipulation and verification</w:t>
            </w:r>
          </w:p>
        </w:tc>
      </w:tr>
      <w:tr w14:paraId="6249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7" w:type="dxa"/>
            <w:tcBorders>
              <w:top w:val="nil"/>
              <w:left w:val="nil"/>
              <w:bottom w:val="nil"/>
              <w:right w:val="nil"/>
            </w:tcBorders>
            <w:tcMar>
              <w:top w:w="60" w:type="dxa"/>
              <w:left w:w="70" w:type="dxa"/>
              <w:bottom w:w="60" w:type="dxa"/>
              <w:right w:w="70" w:type="dxa"/>
            </w:tcMar>
            <w:vAlign w:val="center"/>
          </w:tcPr>
          <w:p w14:paraId="2C20300F">
            <w:pPr>
              <w:spacing w:before="0" w:after="0" w:line="240" w:lineRule="auto"/>
              <w:jc w:val="center"/>
            </w:pPr>
            <w:r>
              <w:rPr>
                <w:rFonts w:ascii="Times New Roman" w:hAnsi="Times New Roman" w:eastAsia="Times New Roman"/>
                <w:b w:val="0"/>
                <w:color w:val="000000"/>
                <w:sz w:val="16"/>
              </w:rPr>
              <w:t>Data reshaping</w:t>
            </w:r>
          </w:p>
        </w:tc>
        <w:tc>
          <w:tcPr>
            <w:tcW w:w="3350" w:type="dxa"/>
            <w:tcBorders>
              <w:top w:val="nil"/>
              <w:left w:val="nil"/>
              <w:bottom w:val="nil"/>
              <w:right w:val="nil"/>
            </w:tcBorders>
            <w:tcMar>
              <w:top w:w="60" w:type="dxa"/>
              <w:left w:w="70" w:type="dxa"/>
              <w:bottom w:w="60" w:type="dxa"/>
              <w:right w:w="70" w:type="dxa"/>
            </w:tcMar>
            <w:vAlign w:val="center"/>
          </w:tcPr>
          <w:p w14:paraId="1D067E23">
            <w:pPr>
              <w:spacing w:before="0" w:after="0" w:line="240" w:lineRule="auto"/>
              <w:jc w:val="center"/>
            </w:pPr>
            <w:r>
              <w:rPr>
                <w:rFonts w:ascii="Times New Roman" w:hAnsi="Times New Roman" w:eastAsia="Times New Roman"/>
                <w:b w:val="0"/>
                <w:color w:val="000000"/>
                <w:sz w:val="16"/>
              </w:rPr>
              <w:t>tidyr</w:t>
            </w:r>
          </w:p>
        </w:tc>
        <w:tc>
          <w:tcPr>
            <w:tcW w:w="2092" w:type="dxa"/>
            <w:tcBorders>
              <w:top w:val="nil"/>
              <w:left w:val="nil"/>
              <w:bottom w:val="nil"/>
              <w:right w:val="nil"/>
            </w:tcBorders>
            <w:tcMar>
              <w:top w:w="60" w:type="dxa"/>
              <w:left w:w="70" w:type="dxa"/>
              <w:bottom w:w="60" w:type="dxa"/>
              <w:right w:w="70" w:type="dxa"/>
            </w:tcMar>
            <w:vAlign w:val="center"/>
          </w:tcPr>
          <w:p w14:paraId="24A3DD3F">
            <w:pPr>
              <w:spacing w:before="0" w:after="0" w:line="240" w:lineRule="auto"/>
              <w:jc w:val="center"/>
            </w:pPr>
            <w:r>
              <w:rPr>
                <w:rFonts w:ascii="Times New Roman" w:hAnsi="Times New Roman" w:eastAsia="Times New Roman"/>
                <w:b w:val="0"/>
                <w:color w:val="000000"/>
                <w:sz w:val="16"/>
              </w:rPr>
              <w:t>1.3.2</w:t>
            </w:r>
          </w:p>
        </w:tc>
        <w:tc>
          <w:tcPr>
            <w:tcW w:w="6605" w:type="dxa"/>
            <w:tcBorders>
              <w:top w:val="nil"/>
              <w:left w:val="nil"/>
              <w:bottom w:val="nil"/>
              <w:right w:val="nil"/>
            </w:tcBorders>
            <w:tcMar>
              <w:top w:w="60" w:type="dxa"/>
              <w:left w:w="70" w:type="dxa"/>
              <w:bottom w:w="60" w:type="dxa"/>
              <w:right w:w="70" w:type="dxa"/>
            </w:tcMar>
            <w:vAlign w:val="center"/>
          </w:tcPr>
          <w:p w14:paraId="08CEA52C">
            <w:pPr>
              <w:spacing w:before="0" w:after="0" w:line="240" w:lineRule="auto"/>
              <w:jc w:val="center"/>
            </w:pPr>
            <w:r>
              <w:rPr>
                <w:rFonts w:ascii="Times New Roman" w:hAnsi="Times New Roman" w:eastAsia="Times New Roman"/>
                <w:b w:val="0"/>
                <w:color w:val="000000"/>
                <w:sz w:val="16"/>
              </w:rPr>
              <w:t>Reshaping analysis-ready tables</w:t>
            </w:r>
          </w:p>
        </w:tc>
      </w:tr>
      <w:tr w14:paraId="4321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7" w:type="dxa"/>
            <w:tcBorders>
              <w:top w:val="nil"/>
              <w:left w:val="nil"/>
              <w:bottom w:val="nil"/>
              <w:right w:val="nil"/>
            </w:tcBorders>
            <w:tcMar>
              <w:top w:w="60" w:type="dxa"/>
              <w:left w:w="70" w:type="dxa"/>
              <w:bottom w:w="60" w:type="dxa"/>
              <w:right w:w="70" w:type="dxa"/>
            </w:tcMar>
            <w:vAlign w:val="center"/>
          </w:tcPr>
          <w:p w14:paraId="2F28C209">
            <w:pPr>
              <w:spacing w:before="0" w:after="0" w:line="240" w:lineRule="auto"/>
              <w:jc w:val="center"/>
            </w:pPr>
            <w:r>
              <w:rPr>
                <w:rFonts w:ascii="Times New Roman" w:hAnsi="Times New Roman" w:eastAsia="Times New Roman"/>
                <w:b w:val="0"/>
                <w:color w:val="000000"/>
                <w:sz w:val="16"/>
              </w:rPr>
              <w:t>R-based graphics</w:t>
            </w:r>
          </w:p>
        </w:tc>
        <w:tc>
          <w:tcPr>
            <w:tcW w:w="3350" w:type="dxa"/>
            <w:tcBorders>
              <w:top w:val="nil"/>
              <w:left w:val="nil"/>
              <w:bottom w:val="nil"/>
              <w:right w:val="nil"/>
            </w:tcBorders>
            <w:tcMar>
              <w:top w:w="60" w:type="dxa"/>
              <w:left w:w="70" w:type="dxa"/>
              <w:bottom w:w="60" w:type="dxa"/>
              <w:right w:w="70" w:type="dxa"/>
            </w:tcMar>
            <w:vAlign w:val="center"/>
          </w:tcPr>
          <w:p w14:paraId="67693A43">
            <w:pPr>
              <w:spacing w:before="0" w:after="0" w:line="240" w:lineRule="auto"/>
              <w:jc w:val="center"/>
            </w:pPr>
            <w:r>
              <w:rPr>
                <w:rFonts w:ascii="Times New Roman" w:hAnsi="Times New Roman" w:eastAsia="Times New Roman"/>
                <w:b w:val="0"/>
                <w:color w:val="000000"/>
                <w:sz w:val="16"/>
              </w:rPr>
              <w:t>ggplot2</w:t>
            </w:r>
          </w:p>
        </w:tc>
        <w:tc>
          <w:tcPr>
            <w:tcW w:w="2092" w:type="dxa"/>
            <w:tcBorders>
              <w:top w:val="nil"/>
              <w:left w:val="nil"/>
              <w:bottom w:val="nil"/>
              <w:right w:val="nil"/>
            </w:tcBorders>
            <w:tcMar>
              <w:top w:w="60" w:type="dxa"/>
              <w:left w:w="70" w:type="dxa"/>
              <w:bottom w:w="60" w:type="dxa"/>
              <w:right w:w="70" w:type="dxa"/>
            </w:tcMar>
            <w:vAlign w:val="center"/>
          </w:tcPr>
          <w:p w14:paraId="1B3B7AD8">
            <w:pPr>
              <w:spacing w:before="0" w:after="0" w:line="240" w:lineRule="auto"/>
              <w:jc w:val="center"/>
            </w:pPr>
            <w:r>
              <w:rPr>
                <w:rFonts w:ascii="Times New Roman" w:hAnsi="Times New Roman" w:eastAsia="Times New Roman"/>
                <w:b w:val="0"/>
                <w:color w:val="000000"/>
                <w:sz w:val="16"/>
              </w:rPr>
              <w:t>4.0.3</w:t>
            </w:r>
          </w:p>
        </w:tc>
        <w:tc>
          <w:tcPr>
            <w:tcW w:w="6605" w:type="dxa"/>
            <w:tcBorders>
              <w:top w:val="nil"/>
              <w:left w:val="nil"/>
              <w:bottom w:val="nil"/>
              <w:right w:val="nil"/>
            </w:tcBorders>
            <w:tcMar>
              <w:top w:w="60" w:type="dxa"/>
              <w:left w:w="70" w:type="dxa"/>
              <w:bottom w:w="60" w:type="dxa"/>
              <w:right w:w="70" w:type="dxa"/>
            </w:tcMar>
            <w:vAlign w:val="center"/>
          </w:tcPr>
          <w:p w14:paraId="4B344219">
            <w:pPr>
              <w:spacing w:before="0" w:after="0" w:line="240" w:lineRule="auto"/>
              <w:jc w:val="center"/>
            </w:pPr>
            <w:r>
              <w:rPr>
                <w:rFonts w:ascii="Times New Roman" w:hAnsi="Times New Roman" w:eastAsia="Times New Roman"/>
                <w:b w:val="0"/>
                <w:color w:val="000000"/>
                <w:sz w:val="16"/>
              </w:rPr>
              <w:t>Supporting publication-quality graphics</w:t>
            </w:r>
          </w:p>
        </w:tc>
      </w:tr>
      <w:tr w14:paraId="5A930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7" w:type="dxa"/>
            <w:tcBorders>
              <w:top w:val="nil"/>
              <w:left w:val="nil"/>
              <w:bottom w:val="single" w:color="auto" w:sz="8" w:space="0"/>
              <w:right w:val="nil"/>
            </w:tcBorders>
            <w:tcMar>
              <w:top w:w="60" w:type="dxa"/>
              <w:left w:w="70" w:type="dxa"/>
              <w:bottom w:w="60" w:type="dxa"/>
              <w:right w:w="70" w:type="dxa"/>
            </w:tcMar>
            <w:vAlign w:val="center"/>
          </w:tcPr>
          <w:p w14:paraId="5B767B6E">
            <w:pPr>
              <w:spacing w:before="0" w:after="0" w:line="240" w:lineRule="auto"/>
              <w:jc w:val="center"/>
            </w:pPr>
            <w:r>
              <w:rPr>
                <w:rFonts w:ascii="Times New Roman" w:hAnsi="Times New Roman" w:eastAsia="Times New Roman"/>
                <w:b w:val="0"/>
                <w:color w:val="000000"/>
                <w:sz w:val="16"/>
              </w:rPr>
              <w:t>RoB 2 traffic-light figures</w:t>
            </w:r>
          </w:p>
        </w:tc>
        <w:tc>
          <w:tcPr>
            <w:tcW w:w="3350" w:type="dxa"/>
            <w:tcBorders>
              <w:top w:val="nil"/>
              <w:left w:val="nil"/>
              <w:bottom w:val="single" w:color="auto" w:sz="8" w:space="0"/>
              <w:right w:val="nil"/>
            </w:tcBorders>
            <w:tcMar>
              <w:top w:w="60" w:type="dxa"/>
              <w:left w:w="70" w:type="dxa"/>
              <w:bottom w:w="60" w:type="dxa"/>
              <w:right w:w="70" w:type="dxa"/>
            </w:tcMar>
            <w:vAlign w:val="center"/>
          </w:tcPr>
          <w:p w14:paraId="14DB8110">
            <w:pPr>
              <w:spacing w:before="0" w:after="0" w:line="240" w:lineRule="auto"/>
              <w:jc w:val="center"/>
            </w:pPr>
            <w:r>
              <w:rPr>
                <w:rFonts w:ascii="Times New Roman" w:hAnsi="Times New Roman" w:eastAsia="Times New Roman"/>
                <w:b w:val="0"/>
                <w:color w:val="000000"/>
                <w:sz w:val="16"/>
              </w:rPr>
              <w:t>Python / Matplotlib</w:t>
            </w:r>
          </w:p>
        </w:tc>
        <w:tc>
          <w:tcPr>
            <w:tcW w:w="2092" w:type="dxa"/>
            <w:tcBorders>
              <w:top w:val="nil"/>
              <w:left w:val="nil"/>
              <w:bottom w:val="single" w:color="auto" w:sz="8" w:space="0"/>
              <w:right w:val="nil"/>
            </w:tcBorders>
            <w:tcMar>
              <w:top w:w="60" w:type="dxa"/>
              <w:left w:w="70" w:type="dxa"/>
              <w:bottom w:w="60" w:type="dxa"/>
              <w:right w:w="70" w:type="dxa"/>
            </w:tcMar>
            <w:vAlign w:val="center"/>
          </w:tcPr>
          <w:p w14:paraId="0D6CCD7A">
            <w:pPr>
              <w:spacing w:before="0" w:after="0" w:line="240" w:lineRule="auto"/>
              <w:jc w:val="center"/>
            </w:pPr>
            <w:r>
              <w:rPr>
                <w:rFonts w:ascii="Times New Roman" w:hAnsi="Times New Roman" w:eastAsia="Times New Roman"/>
                <w:b w:val="0"/>
                <w:color w:val="000000"/>
                <w:sz w:val="16"/>
              </w:rPr>
              <w:t>3.13.5 / 3.10.8</w:t>
            </w:r>
          </w:p>
        </w:tc>
        <w:tc>
          <w:tcPr>
            <w:tcW w:w="6605" w:type="dxa"/>
            <w:tcBorders>
              <w:top w:val="nil"/>
              <w:left w:val="nil"/>
              <w:bottom w:val="single" w:color="auto" w:sz="8" w:space="0"/>
              <w:right w:val="nil"/>
            </w:tcBorders>
            <w:tcMar>
              <w:top w:w="60" w:type="dxa"/>
              <w:left w:w="70" w:type="dxa"/>
              <w:bottom w:w="60" w:type="dxa"/>
              <w:right w:w="70" w:type="dxa"/>
            </w:tcMar>
            <w:vAlign w:val="center"/>
          </w:tcPr>
          <w:p w14:paraId="4987C1C0">
            <w:pPr>
              <w:spacing w:before="0" w:after="0" w:line="240" w:lineRule="auto"/>
              <w:jc w:val="center"/>
            </w:pPr>
            <w:r>
              <w:rPr>
                <w:rFonts w:ascii="Times New Roman" w:hAnsi="Times New Roman" w:eastAsia="Times New Roman"/>
                <w:b w:val="0"/>
                <w:color w:val="000000"/>
                <w:sz w:val="16"/>
              </w:rPr>
              <w:t>Rendering outcome-specific RoB 2 displays from the adjudicated RoB dataset</w:t>
            </w:r>
          </w:p>
        </w:tc>
      </w:tr>
    </w:tbl>
    <w:p w14:paraId="0BFB8C64">
      <w:pPr>
        <w:spacing w:before="40" w:after="100"/>
      </w:pPr>
      <w:r>
        <w:rPr>
          <w:rFonts w:ascii="Times New Roman" w:hAnsi="Times New Roman" w:eastAsia="Times New Roman"/>
          <w:color w:val="000000"/>
          <w:sz w:val="16"/>
        </w:rPr>
        <w:t>Reproducibility statement: The extracted dataset and analysis code are available from the corresponding author on reasonable request. Studies with a zero event count in one arm were analyzed using a fixed 0.5 continuity correction applied to all four cells of that two-arm comparison; double-zero comparisons were excluded from OR estimation for that outcome.</w:t>
      </w:r>
    </w:p>
    <w:sectPr>
      <w:pgSz w:w="15840" w:h="12240" w:orient="landscape"/>
      <w:pgMar w:top="792" w:right="648" w:bottom="792" w:left="64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246831"/>
    <w:rsid w:val="47A57B2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344</Words>
  <Characters>2247</Characters>
  <Lines>0</Lines>
  <Paragraphs>0</Paragraphs>
  <TotalTime>8</TotalTime>
  <ScaleCrop>false</ScaleCrop>
  <LinksUpToDate>false</LinksUpToDate>
  <CharactersWithSpaces>2583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我的</cp:lastModifiedBy>
  <dcterms:modified xsi:type="dcterms:W3CDTF">2026-08-07T09:58:37Z</dcterms:modified>
  <dc:title>Supplementary Material: Outcome-Specific Risk-of-Bias Assessment and Sensitivity Analysis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eyJoZGlkIjoiOWQyN2UzOWZiMDg3ZTI2OTMxYjU0NWQ4MjVmM2VhMWEiLCJ1c2VySWQiOiIzNjkxMDA3MTYifQ==</vt:lpwstr>
  </property>
  <property fmtid="{D5CDD505-2E9C-101B-9397-08002B2CF9AE}" pid="3" name="KSOProductBuildVer">
    <vt:lpwstr>2052-12.1.0.28043</vt:lpwstr>
  </property>
  <property fmtid="{D5CDD505-2E9C-101B-9397-08002B2CF9AE}" pid="4" name="ICV">
    <vt:lpwstr>0B78AA519E6E46BD8187A2FA6439D231_12</vt:lpwstr>
  </property>
</Properties>
</file>