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F8805">
      <w:pPr>
        <w:jc w:val="center"/>
      </w:pPr>
      <w:r>
        <w:rPr>
          <w:rFonts w:ascii="Times New Roman" w:hAnsi="Times New Roman"/>
          <w:b/>
          <w:sz w:val="26"/>
        </w:rPr>
        <w:t>STROBE Statement—Checklist of items that should be included in reports of cross-sectional studies</w:t>
      </w:r>
    </w:p>
    <w:tbl>
      <w:tblPr>
        <w:tblStyle w:val="3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692"/>
        <w:gridCol w:w="6135"/>
        <w:gridCol w:w="6236"/>
      </w:tblGrid>
      <w:tr w14:paraId="51C0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A576D8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18"/>
              </w:rPr>
              <w:t>Section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7B008C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18"/>
              </w:rPr>
              <w:t>Item No.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E15C6E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18"/>
              </w:rPr>
              <w:t>Recommendation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5A20255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18"/>
              </w:rPr>
              <w:t>Reported on page/section</w:t>
            </w:r>
          </w:p>
        </w:tc>
      </w:tr>
      <w:tr w14:paraId="1BA2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91B6F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b/>
                <w:sz w:val="17"/>
              </w:rPr>
              <w:t>Title and abstract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46C6F8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1(a)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4CF10D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Indicate the study’s design with a commonly used term in the title or the abstract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716515B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2, Abstract—Methods (cross-sectional survey)</w:t>
            </w:r>
          </w:p>
        </w:tc>
      </w:tr>
      <w:tr w14:paraId="2B58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0B64213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Title and abstract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4A02E8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1(b)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42D17DC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Provide in the abstract an informative and balanced summary of what was done and what was found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5B4B901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2–3, Abstract</w:t>
            </w:r>
          </w:p>
        </w:tc>
      </w:tr>
      <w:tr w14:paraId="0B3A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39F4573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b/>
                <w:sz w:val="17"/>
              </w:rPr>
              <w:t>Introduction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2811F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2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03CCC6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Explain the scientific background and rationale for the investigation being reported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447D88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3–6, Introduction</w:t>
            </w:r>
          </w:p>
        </w:tc>
      </w:tr>
      <w:tr w14:paraId="4713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19239A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Introduction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00BA54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3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321709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State specific objectives, including any prespecified hypotheses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5B97DCA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6, final two paragraphs of Introduction</w:t>
            </w:r>
          </w:p>
        </w:tc>
      </w:tr>
      <w:tr w14:paraId="04891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7DFD212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b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E93EB2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4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FCDC47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Present key elements of study design early in the paper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1B4C3B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6, §2.1 Participants and Data Collection</w:t>
            </w:r>
          </w:p>
        </w:tc>
      </w:tr>
      <w:tr w14:paraId="52874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7544ED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66045C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5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4D48E7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56932C7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6–7, §2.1 Participants and Data Collection</w:t>
            </w:r>
          </w:p>
        </w:tc>
      </w:tr>
      <w:tr w14:paraId="6577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65062A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AEBCA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6(a)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33B11F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Give the eligibility criteria, and the sources and methods of selection of participants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6C83886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6–7, §2.1 Participants and Data Collection</w:t>
            </w:r>
          </w:p>
        </w:tc>
      </w:tr>
      <w:tr w14:paraId="1DD34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359DF5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7AEEF1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7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31AB8D4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51C2612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8–10, §2.3 Measures and §2.4 Statistical Analysis</w:t>
            </w:r>
          </w:p>
        </w:tc>
      </w:tr>
      <w:tr w14:paraId="346F8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402829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C89D02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8*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6F1517B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40A9029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7–10, §2.2 Translation and Cultural Adaptation, §2.3 Measures, and §2.4 Statistical Analysis</w:t>
            </w:r>
          </w:p>
        </w:tc>
      </w:tr>
      <w:tr w14:paraId="47C5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54CA3B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D4C202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9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0CDCC4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Describe any efforts to address potential sources of bias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11501E1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6–7 and 19–20: pilot testing, standardized classroom administration, anonymity, attention/authenticity checks, and limitations of convenience sampling</w:t>
            </w:r>
          </w:p>
        </w:tc>
      </w:tr>
      <w:tr w14:paraId="699F9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C748C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167D89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10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03F898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Explain how the study size was arrived at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1680893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7: all valid returned questionnaires were retained (780 collected; 640 included in the final analytic sample)</w:t>
            </w:r>
          </w:p>
        </w:tc>
      </w:tr>
      <w:tr w14:paraId="6E014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6B4AB5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20931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11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EE87C1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2942BF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9–10, §2.4 Statistical Analysis (including upper/lower 27% groups, continuous scale scores, and factor-analytic procedures)</w:t>
            </w:r>
          </w:p>
        </w:tc>
      </w:tr>
      <w:tr w14:paraId="6F855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3FEE46E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8B66C9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12(a)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A9B5D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Describe all statistical methods, including those used to control for confounding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0AB470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9–10, §2.4 Statistical Analysis</w:t>
            </w:r>
          </w:p>
        </w:tc>
      </w:tr>
      <w:tr w14:paraId="7F63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670D6C8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DF445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12(b)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95A792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Describe any methods used to examine subgroups and interactions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75932D9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10, gender measurement invariance using multigroup CFA</w:t>
            </w:r>
          </w:p>
        </w:tc>
      </w:tr>
      <w:tr w14:paraId="3DF06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305C318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90F2C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12(c)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75B8453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Explain how missing data were addressed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3D6F38D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7: no item-level data were missing among the 640 participants</w:t>
            </w:r>
          </w:p>
        </w:tc>
      </w:tr>
      <w:tr w14:paraId="4512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EA786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4C651B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12(d)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A4CF9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If applicable, describe analytical methods taking account of sampling strategy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01F2491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Not applicable: a non-probability convenience sample was used, without survey weights or a complex sampling design</w:t>
            </w:r>
          </w:p>
        </w:tc>
      </w:tr>
      <w:tr w14:paraId="6FB80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757CC1E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Methods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F586DF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12(e)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1BA5506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Describe any sensitivity analyses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7C689F3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Not applicable: no sensitivity analyses were undertaken</w:t>
            </w:r>
          </w:p>
        </w:tc>
      </w:tr>
      <w:tr w14:paraId="4164E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1C46B2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b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F3E9C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13(a)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2E0ECB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Report numbers of individuals at each stage of study—e.g., numbers potentially eligible, examined for eligibility, confirmed eligible, included in the study, and analysed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7D94091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7 and p. 10: 780 questionnaires collected; 640 participants included and analysed</w:t>
            </w:r>
          </w:p>
        </w:tc>
      </w:tr>
      <w:tr w14:paraId="6EE9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73057B2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F0D26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13(b)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76090FF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Give reasons for non-participation at each stage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5EBDCD4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7: 120 questionnaires failed the attention-check item and 20 failed the response-authenticity check</w:t>
            </w:r>
          </w:p>
        </w:tc>
      </w:tr>
      <w:tr w14:paraId="0449A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FF5260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E3547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13(c)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5D36C17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Consider use of a flow diagram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022AB5D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Not used; participant flow and exclusions are reported in text on p. 7</w:t>
            </w:r>
          </w:p>
        </w:tc>
      </w:tr>
      <w:tr w14:paraId="7145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0912BC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0F602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14(a)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304BCC7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Give characteristics of study participants (e.g., demographic, clinical, social) and information on exposures and potential confounders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27A1600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10–11, Participant Characteristics and Table 1</w:t>
            </w:r>
          </w:p>
        </w:tc>
      </w:tr>
      <w:tr w14:paraId="6C65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33A597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5487DB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14(b)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770145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Indicate number of participants with missing data for each variable of interest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22A408A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7: no item-level data were missing</w:t>
            </w:r>
          </w:p>
        </w:tc>
      </w:tr>
      <w:tr w14:paraId="1271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5E87847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79402C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15*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389977F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Report numbers of outcome events or summary measures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4888CF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11–15, Tables 2–6 and criterion-related validity results</w:t>
            </w:r>
          </w:p>
        </w:tc>
      </w:tr>
      <w:tr w14:paraId="4B9C9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2BB1A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55A05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16(a)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2CAB7DC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65A7B61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11–15: item statistics, factor loadings, model-fit indices, reliability estimates, and unadjusted Pearson correlations; confounder adjustment was not applicable to the prespecified psychometric analyses</w:t>
            </w:r>
          </w:p>
        </w:tc>
      </w:tr>
      <w:tr w14:paraId="3A47B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E7526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B9A70E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16(b)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189AF55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Report category boundaries when continuous variables were categorized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70C93E6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9 and 11: upper and lower 27% groups were used for critical-ratio item analysis</w:t>
            </w:r>
          </w:p>
        </w:tc>
      </w:tr>
      <w:tr w14:paraId="6F363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5F26864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88A0FF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16(c)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763F364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If relevant, consider translating estimates of relative risk into absolute risk for a meaningful time period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4E9744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Not applicable: no relative-risk estimates were calculated</w:t>
            </w:r>
          </w:p>
        </w:tc>
      </w:tr>
      <w:tr w14:paraId="1AA2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590B9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Results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F77C9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17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2C17C21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Report other analyses done—e.g., analyses of subgroups and interactions, and sensitivity analyses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2140BA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14–15: comparison of five- and six-factor models and gender measurement invariance analyses</w:t>
            </w:r>
          </w:p>
        </w:tc>
      </w:tr>
      <w:tr w14:paraId="07E71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453A455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b/>
                <w:sz w:val="17"/>
              </w:rPr>
              <w:t>Discussion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367CE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18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06F7860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Summarise key results with reference to study objectives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107537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15–18, Discussion</w:t>
            </w:r>
          </w:p>
        </w:tc>
      </w:tr>
      <w:tr w14:paraId="211E0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47E0754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Discussion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FDB43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19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25D06F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0CC7ACE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19–20, §4.2 Limitation</w:t>
            </w:r>
          </w:p>
        </w:tc>
      </w:tr>
      <w:tr w14:paraId="0EC4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22CF5F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Discussion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55AC7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20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700AB6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1B1AE1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15–20, Discussion and Conclusion</w:t>
            </w:r>
          </w:p>
        </w:tc>
      </w:tr>
      <w:tr w14:paraId="3320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56ECE6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Discussion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D2877F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21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7EF994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Discuss the generalisability (external validity) of the study results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3EF6DAE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pp. 19–20, §4.2 Limitation</w:t>
            </w:r>
          </w:p>
        </w:tc>
      </w:tr>
      <w:tr w14:paraId="61891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" w:type="pct"/>
            <w:shd w:val="clear" w:color="auto" w:fill="auto"/>
            <w:vAlign w:val="center"/>
          </w:tcPr>
          <w:p w14:paraId="3D1632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b/>
                <w:sz w:val="17"/>
              </w:rPr>
              <w:t>Other information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352460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22</w:t>
            </w:r>
          </w:p>
        </w:tc>
        <w:tc>
          <w:tcPr>
            <w:tcW w:w="2136" w:type="pct"/>
            <w:shd w:val="clear" w:color="auto" w:fill="auto"/>
            <w:vAlign w:val="center"/>
          </w:tcPr>
          <w:p w14:paraId="08F472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171" w:type="pct"/>
            <w:shd w:val="clear" w:color="auto" w:fill="auto"/>
            <w:vAlign w:val="center"/>
          </w:tcPr>
          <w:p w14:paraId="1C1B73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7"/>
              </w:rPr>
            </w:pPr>
            <w:r>
              <w:rPr>
                <w:rFonts w:ascii="Times New Roman" w:hAnsi="Times New Roman" w:eastAsia="ＭＳ 明朝"/>
                <w:sz w:val="17"/>
              </w:rPr>
              <w:t>p. 20, Declarations—Funding (funding sources reported)</w:t>
            </w:r>
          </w:p>
        </w:tc>
      </w:tr>
    </w:tbl>
    <w:p w14:paraId="3D659924"/>
    <w:p w14:paraId="44068BA9">
      <w:r>
        <w:rPr>
          <w:i/>
          <w:sz w:val="17"/>
        </w:rPr>
        <w:t>* Give information separately for exposed and unexposed groups, where applicable.</w:t>
      </w:r>
    </w:p>
    <w:p w14:paraId="1B17AF39">
      <w:r>
        <w:rPr>
          <w:sz w:val="17"/>
        </w:rPr>
        <w:t>Abbreviations: CFA, confirmatory factor analysis; DES, Decent Education Scale; EFA, exploratory factor analysis.</w:t>
      </w:r>
    </w:p>
    <w:p w14:paraId="76F0D66F">
      <w:bookmarkStart w:id="0" w:name="_GoBack"/>
      <w:bookmarkEnd w:id="0"/>
    </w:p>
    <w:sectPr>
      <w:footerReference r:id="rId5" w:type="default"/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E09A">
    <w:pPr>
      <w:pStyle w:val="24"/>
      <w:jc w:val="center"/>
    </w:pPr>
    <w:r>
      <w:rPr>
        <w:sz w:val="16"/>
      </w:rPr>
      <w:t>STROBE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6A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888</Words>
  <Characters>5433</Characters>
  <Lines>0</Lines>
  <Paragraphs>0</Paragraphs>
  <TotalTime>3</TotalTime>
  <ScaleCrop>false</ScaleCrop>
  <LinksUpToDate>false</LinksUpToDate>
  <CharactersWithSpaces>6183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南亓</cp:lastModifiedBy>
  <dcterms:modified xsi:type="dcterms:W3CDTF">2026-07-14T06:16:15Z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eyJoZGlkIjoiYmJlNDMzMjY3OGI1ZWIxNWFhN2M1MjkyMGMzNzA1ZDciLCJ1c2VySWQiOiI2NDkxMjQ3ODIifQ==</vt:lpwstr>
  </property>
  <property fmtid="{D5CDD505-2E9C-101B-9397-08002B2CF9AE}" pid="3" name="KSOProductBuildVer">
    <vt:lpwstr>2052-12.1.0.26899</vt:lpwstr>
  </property>
  <property fmtid="{D5CDD505-2E9C-101B-9397-08002B2CF9AE}" pid="4" name="ICV">
    <vt:lpwstr>328634F5A0234D0394947BF085A1345D_13</vt:lpwstr>
  </property>
</Properties>
</file>