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A5585">
      <w:pPr>
        <w:widowControl/>
        <w:spacing w:before="0" w:after="0" w:line="240" w:lineRule="auto"/>
        <w:jc w:val="center"/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6"/>
          <w:szCs w:val="26"/>
          <w:lang w:eastAsia="en-US"/>
        </w:rPr>
        <w:t>Additional file 2: PRISMA 2020 and PRISMA-S repo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6"/>
          <w:szCs w:val="26"/>
          <w:lang w:eastAsia="en-US"/>
        </w:rPr>
        <w:t>rting checklists</w:t>
      </w:r>
    </w:p>
    <w:p w14:paraId="4EA4A03B">
      <w:pPr>
        <w:widowControl/>
        <w:spacing w:before="0" w:after="0" w:line="240" w:lineRule="auto"/>
        <w:jc w:val="center"/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  <w:r>
        <w:rPr>
          <w:rFonts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  <w:t>Effects of structured exercise training on pain and multidimensional symptom burden in women with endometriosis: an updated systematic review and meta-analysis</w:t>
      </w:r>
    </w:p>
    <w:p w14:paraId="3C10259D">
      <w:pPr>
        <w:widowControl/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</w:p>
    <w:p w14:paraId="2F951975">
      <w:pPr>
        <w:widowControl/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2"/>
          <w:szCs w:val="22"/>
          <w:lang w:eastAsia="en-US"/>
        </w:rPr>
        <w:t>PRISMA 2020 checklist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951"/>
        <w:gridCol w:w="364"/>
        <w:gridCol w:w="2441"/>
        <w:gridCol w:w="3981"/>
        <w:gridCol w:w="6803"/>
      </w:tblGrid>
      <w:tr w14:paraId="0DD1D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327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36C8B7B2">
            <w:pPr>
              <w:keepNext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kern w:val="0"/>
                <w:sz w:val="15"/>
                <w:szCs w:val="13"/>
                <w:lang w:eastAsia="en-US"/>
              </w:rPr>
              <w:t>Section / topic</w:t>
            </w:r>
          </w:p>
        </w:tc>
        <w:tc>
          <w:tcPr>
            <w:tcW w:w="125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194B16">
            <w:pPr>
              <w:keepNext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kern w:val="0"/>
                <w:sz w:val="15"/>
                <w:szCs w:val="13"/>
                <w:lang w:eastAsia="en-US"/>
              </w:rPr>
              <w:t>#</w:t>
            </w:r>
          </w:p>
        </w:tc>
        <w:tc>
          <w:tcPr>
            <w:tcW w:w="839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82F3C0A">
            <w:pPr>
              <w:keepNext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kern w:val="0"/>
                <w:sz w:val="15"/>
                <w:szCs w:val="13"/>
                <w:lang w:eastAsia="en-US"/>
              </w:rPr>
              <w:t>Checklist item (abbreviated)</w:t>
            </w:r>
          </w:p>
        </w:tc>
        <w:tc>
          <w:tcPr>
            <w:tcW w:w="1368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72BB6F8">
            <w:pPr>
              <w:keepNext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kern w:val="0"/>
                <w:sz w:val="15"/>
                <w:szCs w:val="13"/>
                <w:lang w:eastAsia="en-US"/>
              </w:rPr>
              <w:t>Reported in</w:t>
            </w:r>
          </w:p>
        </w:tc>
        <w:tc>
          <w:tcPr>
            <w:tcW w:w="2338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13AD2291">
            <w:pPr>
              <w:keepNext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kern w:val="0"/>
                <w:sz w:val="15"/>
                <w:szCs w:val="13"/>
                <w:lang w:eastAsia="en-US"/>
              </w:rPr>
              <w:t>Note</w:t>
            </w:r>
          </w:p>
        </w:tc>
      </w:tr>
      <w:tr w14:paraId="07316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3CF68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Title</w:t>
            </w:r>
          </w:p>
        </w:tc>
        <w:tc>
          <w:tcPr>
            <w:tcW w:w="125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38F4C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</w:t>
            </w:r>
          </w:p>
        </w:tc>
        <w:tc>
          <w:tcPr>
            <w:tcW w:w="839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D1F0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Identify the report as a systematic review</w:t>
            </w:r>
          </w:p>
        </w:tc>
        <w:tc>
          <w:tcPr>
            <w:tcW w:w="1368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CFA4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Title page</w:t>
            </w:r>
          </w:p>
        </w:tc>
        <w:tc>
          <w:tcPr>
            <w:tcW w:w="2338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6125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The title identifies an updated systematic review and meta-analysis.</w:t>
            </w:r>
          </w:p>
        </w:tc>
      </w:tr>
      <w:tr w14:paraId="1405C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E0ADEA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Abstract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25F2E710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46C7BF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Structured summary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12D8AF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Abstract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A86392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Structured background, methods, results and conclusions.</w:t>
            </w:r>
          </w:p>
        </w:tc>
      </w:tr>
      <w:tr w14:paraId="6A9C0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3939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Introduction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E7764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3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B578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Rationale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FA3C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Background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FA8A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Rationale for an update, trial-family linkage and adjusted treatment estimates.</w:t>
            </w:r>
          </w:p>
        </w:tc>
      </w:tr>
      <w:tr w14:paraId="7FF28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A6B7B2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Introduction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44D7D86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4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DADB06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Objectives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A8E46E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Background, final paragraph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E486BE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Pain is primary; other patient-important domains are secondary.</w:t>
            </w:r>
          </w:p>
        </w:tc>
      </w:tr>
      <w:tr w14:paraId="24992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2AB4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9C83D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5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EFFD4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Eligibility criteria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B4E3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Methods, Eligibility criteria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61016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Population, active exercise ≥4 weeks, non-exercise comparators and eligible designs.</w:t>
            </w:r>
          </w:p>
        </w:tc>
      </w:tr>
      <w:tr w14:paraId="2D153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FEB5CC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271D7F8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6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51DC8E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Information sources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2885A7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Methods, Information sources; Additional file 1: Table S2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DD7ADC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Six databases, ClinicalTrials.gov and backward reference checks; omissions are explicit.</w:t>
            </w:r>
          </w:p>
        </w:tc>
      </w:tr>
      <w:tr w14:paraId="7834E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2801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D70D30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7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67EE2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Search strategy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6B2D5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Additional file 1: Table S2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1BBB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Reported strategies, dates and yields; SPORTDiscus shorthand is expanded with a provenance qualification.</w:t>
            </w:r>
          </w:p>
        </w:tc>
      </w:tr>
      <w:tr w14:paraId="619A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075782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639ECCE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8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B1C572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Selection process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94F91F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Study selection, data collection and reviewer procedures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15F4A2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Independent title/abstract and full-text assessment by two reviewers; discussion and third-reviewer adjudication. No separate calibration.</w:t>
            </w:r>
          </w:p>
        </w:tc>
      </w:tr>
      <w:tr w14:paraId="1B63E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01CF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9DEE9A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9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3EB5C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Data collection process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CC44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Study selection, data collection and reviewer procedures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B34F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Independent duplicate extraction and disagreement process; no author contact.</w:t>
            </w:r>
          </w:p>
        </w:tc>
      </w:tr>
      <w:tr w14:paraId="3456A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C5E840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07D4679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10a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D48683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Outcomes: which results were sought and how they were selected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ABA90F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Methods, Selection of outcomes, results and analytical estimates; Additional file 1: Table S4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C8F71C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Outcome, instrument, timepoint and analysis hierarchy; one result per trial per synthesis.</w:t>
            </w:r>
          </w:p>
        </w:tc>
      </w:tr>
      <w:tr w14:paraId="236F6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EA27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30798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10b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BA4A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Other variables sought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17BD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Study selection; Tables 1–2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2C16E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15"/>
              </w:rPr>
              <w:t>Trial design, diagnosis, comparator, intervention dose, delivery and adherence.</w:t>
            </w:r>
          </w:p>
        </w:tc>
      </w:tr>
      <w:tr w14:paraId="0A898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49FDD40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53252B0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11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9C750F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Risk of bias assessment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95C111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Risk of bias and certainty; Additional file 1: Table S14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21FF4D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Original independent assessments distinguished from final question/algorithm documentation corrections; 40 worksheets supplied.</w:t>
            </w:r>
          </w:p>
        </w:tc>
      </w:tr>
      <w:tr w14:paraId="7094C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0C58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87B3EA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12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2A8B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Effect measures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97C9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Methods, Selection of outcomes; Effect measures and data synthesis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96A1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MD/SMD, effect orientation, generic inverse variance and standardisation.</w:t>
            </w:r>
          </w:p>
        </w:tc>
      </w:tr>
      <w:tr w14:paraId="4FB25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0E0EC4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27AFCF0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13a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D9B0D3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Processes for deciding eligibility for synthesis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6D21FD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Methods, Selection of outcomes; Additional file 1: Table S4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049DCA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Eligible trial-result mapping; held results excluded from pooling.</w:t>
            </w:r>
          </w:p>
        </w:tc>
      </w:tr>
      <w:tr w14:paraId="1B4EF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E21E4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6543E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13b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2326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Data preparation and conversions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887D4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Methods, Selection of outcomes; Additional file 1: Table S5; reviewer-only archive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2D83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SE conversions, SD samples, Hedges df and outcome-specific denominators.</w:t>
            </w:r>
          </w:p>
        </w:tc>
      </w:tr>
      <w:tr w14:paraId="62B2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8551280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5214022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13c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DFF1C3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Tabulation and visual display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862070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Tables 1–5; Figures 1–4; Additional file 1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0583CD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15"/>
              </w:rPr>
              <w:t>Tables, forest plots, risk-of-bias displays and an evidence map.</w:t>
            </w:r>
          </w:p>
        </w:tc>
      </w:tr>
      <w:tr w14:paraId="21DF0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190D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48A44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13d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54F6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Synthesis methods and model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9C381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Methods, Effect measures; Additional file 1: Table S6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2ED74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REML–Hartung–Knapp primary model; method dependence across M0–M4, excluding common-effect reference M5.</w:t>
            </w:r>
          </w:p>
        </w:tc>
      </w:tr>
      <w:tr w14:paraId="6F26F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CA33EE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69E6826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13e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72C753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Heterogeneity and subgroup analyses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902664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Effect measures; Results, Sensitivity; Additional file 1: Table S7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4A9538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Heterogeneity statistics and sensitivity analyses; subgroup tests and meta-regression not performed because data were sparse.</w:t>
            </w:r>
          </w:p>
        </w:tc>
      </w:tr>
      <w:tr w14:paraId="27E29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1A39B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43B3F4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13f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AD4C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Sensitivity analyses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3527E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Effect measures; Additional file 1: Table S7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D8434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Ten review-stage sensitivity specifications, including high-risk exclusions and alternative SD samples.</w:t>
            </w:r>
          </w:p>
        </w:tc>
      </w:tr>
      <w:tr w14:paraId="2767E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E6385B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36A55F0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14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835CF0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Reporting bias assessment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0EF03D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Effect measures; Discussion, Strengths and limitations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65EB20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No statistical small-study-effect tests: fewer than ten trials per outcome; reporting bias cannot be excluded.</w:t>
            </w:r>
          </w:p>
        </w:tc>
      </w:tr>
      <w:tr w14:paraId="3903D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1913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A540D7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15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BAFB5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Certainty assessment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97C0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Risk of bias and certainty; Additional file 1: Table S8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3E90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Outcome-specific GRADE decisions; threshold basis, alternatives and information size.</w:t>
            </w:r>
          </w:p>
        </w:tc>
      </w:tr>
      <w:tr w14:paraId="1A95B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C36D31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4880A15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16a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461FFB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Study selection: records screened, retrieved and included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D34FA6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Results, Study selection; Figure 1; Additional file 1: Table S11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D590CE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30 reports assessed: 8 included and 22 excluded; all reports have final eligibility decisions.</w:t>
            </w:r>
          </w:p>
        </w:tc>
      </w:tr>
      <w:tr w14:paraId="53771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B21D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CB3C56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16b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19A15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Reports excluded at full text, with citations and reasons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23FC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Additional file 1: Table S9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5D06F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22 excluded reports with citations and reasons; Patel 2025 is included in the final exclusion list.</w:t>
            </w:r>
          </w:p>
        </w:tc>
      </w:tr>
      <w:tr w14:paraId="4238B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E0F329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669B364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17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BFE493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Characteristics of included studies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10BC3F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Tables 1–2; Additional file 1: Table S10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CDBF94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Six confirmed eligible trials and linked reports; corrected intervention dose and adherence.</w:t>
            </w:r>
          </w:p>
        </w:tc>
      </w:tr>
      <w:tr w14:paraId="50BD8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C27E0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7D1FF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18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98F1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Risk of bias in studies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19CA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Results, Risk of bias; Table 4; Figure 3; Additional file 1: Table S14 and Figure S12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0518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40 result-level assessments: 17 high risk, 23 some concerns; not 40 independent trials.</w:t>
            </w:r>
          </w:p>
        </w:tc>
      </w:tr>
      <w:tr w14:paraId="76267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DB6B9E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2085037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19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B5F8DF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 of individual studies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43A606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Figure 2; Additional file 1: Table S5 and Figures S1–S11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FFC544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Selected effects and precision; outcome N is distinct from SD-sample N and unreported mixed-model N.</w:t>
            </w:r>
          </w:p>
        </w:tc>
      </w:tr>
      <w:tr w14:paraId="73977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0DE74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0A56DE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20a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9C6F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Synthesis: characteristics and risk of bias of contributing studies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3291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Results; Tables 1, 3 and 4; Additional file 1: Tables S10 and S14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9864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15"/>
              </w:rPr>
              <w:t>Trial/result mapping and risk-of-bias profiles for contributing results.</w:t>
            </w:r>
          </w:p>
        </w:tc>
      </w:tr>
      <w:tr w14:paraId="16F7A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428330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5A40619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20b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3E15D0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Synthesis: summary estimates, precision and heterogeneity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833D6D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Results; Table 3; Figure 2; Additional file 1: Figures S1–S11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228115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Estimates, intervals, τ², I², Q and separate overall-effect tests.</w:t>
            </w:r>
          </w:p>
        </w:tc>
      </w:tr>
      <w:tr w14:paraId="04C94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3914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4F693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20c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A7CB9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Investigations of heterogeneity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9ED3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Results, Sensitivity; Additional file 1: Tables S6–S7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74F8F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Model comparisons and exclusion/replacement analyses; no formal subgroup inference.</w:t>
            </w:r>
          </w:p>
        </w:tc>
      </w:tr>
      <w:tr w14:paraId="346C5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1E87DC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52B51F6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20d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EA83CD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Sensitivity analyses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911BA1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Results, Sensitivity; Additional file 1: Table S7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C1E43B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All specified sensitivity outputs, including non-pooled single remaining results.</w:t>
            </w:r>
          </w:p>
        </w:tc>
      </w:tr>
      <w:tr w14:paraId="0638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3406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5B8A7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21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AE78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Reporting biases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41F8A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Results, Certainty; Discussion, Strengths and limitations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1CB02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Reporting bias could not be assessed statistically; the search omissions remain limitations.</w:t>
            </w:r>
          </w:p>
        </w:tc>
      </w:tr>
      <w:tr w14:paraId="5E191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E299F9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0FADA7D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22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52F7E3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Certainty of evidence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801732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Results, Certainty; Table 5; Additional file 1: Table S15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E9FE90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Outcome-specific GRADE profile and reasons for rating down.</w:t>
            </w:r>
          </w:p>
        </w:tc>
      </w:tr>
      <w:tr w14:paraId="46CA9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DC78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Discussion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EA48C3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23a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BC93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General interpretation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77D4F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Discussion, opening paragraphs and Interpretation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F2BD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Effects remain uncertain; no established symptom-specific efficacy or safety.</w:t>
            </w:r>
          </w:p>
        </w:tc>
      </w:tr>
      <w:tr w14:paraId="6FF24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78A0760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Discussion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247C7D7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23b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00689F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Limitations of the evidence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414BC0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Discussion, Strengths and limitations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8C3989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Small evidence base, heterogeneity, source-report problems and incomplete long-term/harms reporting.</w:t>
            </w:r>
          </w:p>
        </w:tc>
      </w:tr>
      <w:tr w14:paraId="6A11D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C4914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Discussion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07B7D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23c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70C0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Limitations of the review processes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7224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Discussion, Strengths and limitations; Additional file 1: Tables S1 and S9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F9D3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Registration amendments, uncompleted forward/proceedings searches and no trial-author contact are disclosed.</w:t>
            </w:r>
          </w:p>
        </w:tc>
      </w:tr>
      <w:tr w14:paraId="0B2E2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A28D27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Discussion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6AC88F0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23d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F77282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Implications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6245BB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Discussion, Implications; Conclusions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5AE595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Individualised decisions and better powered, transparently reported trials.</w:t>
            </w:r>
          </w:p>
        </w:tc>
      </w:tr>
      <w:tr w14:paraId="2166E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C3C9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Other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BD168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24a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26F0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Registration and registration number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64CA2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Methods, Protocol; Abstract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580D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15"/>
              </w:rPr>
              <w:t>PROSPERO CRD420261400459; first registration 20 May 2026.</w:t>
            </w:r>
          </w:p>
        </w:tc>
      </w:tr>
      <w:tr w14:paraId="5C43D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5588D4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Other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1A62C1F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24b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1BA8ED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Where the protocol can be accessed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FF40B8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Protocol; Additional file 1: Table S1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3F43F1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Public registration URL and supplied version 1.0; a separate public full protocol was not available.</w:t>
            </w:r>
          </w:p>
        </w:tc>
      </w:tr>
      <w:tr w14:paraId="426DB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068D5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Other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C947F5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24c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EB60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Amendments to registration or protocol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8E36A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Additional file 1: Table S1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9394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Registered-versus-applied rules, source omissions, review-team differences and dated documentation amendments.</w:t>
            </w:r>
          </w:p>
        </w:tc>
      </w:tr>
      <w:tr w14:paraId="12EC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D684D3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Other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513803D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25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90DA7A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Support and sponsors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3EB99B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Declarations, Funding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49CF71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15"/>
              </w:rPr>
              <w:t>No study funding reported.</w:t>
            </w:r>
          </w:p>
        </w:tc>
      </w:tr>
      <w:tr w14:paraId="6F751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359C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Other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F1B93E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26</w:t>
            </w:r>
          </w:p>
        </w:tc>
        <w:tc>
          <w:tcPr>
            <w:tcW w:w="8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FF49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Competing interests</w:t>
            </w: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1AE3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Declarations, Competing interests</w:t>
            </w:r>
          </w:p>
        </w:tc>
        <w:tc>
          <w:tcPr>
            <w:tcW w:w="23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B25C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15"/>
              </w:rPr>
              <w:t>No competing interests declared.</w:t>
            </w:r>
          </w:p>
        </w:tc>
      </w:tr>
      <w:tr w14:paraId="50411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327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vAlign w:val="center"/>
          </w:tcPr>
          <w:p w14:paraId="20E756B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Other</w:t>
            </w:r>
          </w:p>
        </w:tc>
        <w:tc>
          <w:tcPr>
            <w:tcW w:w="12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3F1844D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27</w:t>
            </w:r>
          </w:p>
        </w:tc>
        <w:tc>
          <w:tcPr>
            <w:tcW w:w="839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vAlign w:val="center"/>
          </w:tcPr>
          <w:p w14:paraId="1A86B87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Availability of data, code and other materials</w:t>
            </w:r>
          </w:p>
        </w:tc>
        <w:tc>
          <w:tcPr>
            <w:tcW w:w="1368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vAlign w:val="center"/>
          </w:tcPr>
          <w:p w14:paraId="3396402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Declarations, Availability of data; separate reviewer-only archive</w:t>
            </w:r>
          </w:p>
        </w:tc>
        <w:tc>
          <w:tcPr>
            <w:tcW w:w="2338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vAlign w:val="center"/>
          </w:tcPr>
          <w:p w14:paraId="44EC60C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Data, code, figures, 40 worksheets, manifest and checksums supplied; corresponding-author access after publication is independent of portal retention.</w:t>
            </w:r>
          </w:p>
        </w:tc>
      </w:tr>
    </w:tbl>
    <w:p w14:paraId="36A1DDD7">
      <w:pPr>
        <w:widowControl/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</w:p>
    <w:p w14:paraId="29652DC0">
      <w:pPr>
        <w:widowControl/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kern w:val="0"/>
          <w:sz w:val="22"/>
          <w:szCs w:val="22"/>
          <w:lang w:eastAsia="en-US"/>
        </w:rPr>
        <w:t>PRISMA-S checklist (literature search reporting)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7"/>
        <w:gridCol w:w="1674"/>
        <w:gridCol w:w="3163"/>
        <w:gridCol w:w="9356"/>
      </w:tblGrid>
      <w:tr w14:paraId="6BC76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99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EE9E989">
            <w:pPr>
              <w:keepNext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kern w:val="0"/>
                <w:sz w:val="15"/>
                <w:szCs w:val="13"/>
                <w:lang w:eastAsia="en-US"/>
              </w:rPr>
              <w:t>#</w:t>
            </w:r>
          </w:p>
        </w:tc>
        <w:tc>
          <w:tcPr>
            <w:tcW w:w="578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3908B145">
            <w:pPr>
              <w:keepNext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kern w:val="0"/>
                <w:sz w:val="15"/>
                <w:szCs w:val="13"/>
                <w:lang w:eastAsia="en-US"/>
              </w:rPr>
              <w:t>Item</w:t>
            </w:r>
          </w:p>
        </w:tc>
        <w:tc>
          <w:tcPr>
            <w:tcW w:w="1092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2ECF880F">
            <w:pPr>
              <w:keepNext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kern w:val="0"/>
                <w:sz w:val="15"/>
                <w:szCs w:val="13"/>
                <w:lang w:eastAsia="en-US"/>
              </w:rPr>
              <w:t>Reported in</w:t>
            </w:r>
          </w:p>
        </w:tc>
        <w:tc>
          <w:tcPr>
            <w:tcW w:w="3230" w:type="pct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39022C40">
            <w:pPr>
              <w:keepNext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color w:val="auto"/>
                <w:kern w:val="0"/>
                <w:sz w:val="15"/>
                <w:szCs w:val="13"/>
                <w:lang w:eastAsia="en-US"/>
              </w:rPr>
              <w:t>Note</w:t>
            </w:r>
          </w:p>
        </w:tc>
      </w:tr>
      <w:tr w14:paraId="518E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0D2A29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</w:t>
            </w:r>
          </w:p>
        </w:tc>
        <w:tc>
          <w:tcPr>
            <w:tcW w:w="578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70D5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Database name and platform</w:t>
            </w:r>
          </w:p>
        </w:tc>
        <w:tc>
          <w:tcPr>
            <w:tcW w:w="1092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A373E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Additional file 1: Table S2</w:t>
            </w:r>
          </w:p>
        </w:tc>
        <w:tc>
          <w:tcPr>
            <w:tcW w:w="3230" w:type="pct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9965D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15"/>
              </w:rPr>
              <w:t>Database and platform names are stated.</w:t>
            </w:r>
          </w:p>
        </w:tc>
      </w:tr>
      <w:tr w14:paraId="49437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79D1CE4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2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A59852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Multi-database searching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223D800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Methods; Additional file 1: Table S2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F3863E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Six bibliographic databases searched separately; no simultaneous multi-database platform search is claimed.</w:t>
            </w:r>
          </w:p>
        </w:tc>
      </w:tr>
      <w:tr w14:paraId="78F68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AA8A22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3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08CE0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Study registries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D0FFE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Methods; Additional file 1: Tables S2 and S11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6D78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ClinicalTrials.gov: 20 August 2026; 68 records, 30 overlaps, 38 unique records, one additional ongoing trial.</w:t>
            </w:r>
          </w:p>
        </w:tc>
      </w:tr>
      <w:tr w14:paraId="5063A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3C9BFFF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4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81D81D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Online resources and browsing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1D8235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Methods, Information sources; Additional file 1: Table S2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CAF202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No separate online-resource search beyond the specified databases, registry and backward reference checks.</w:t>
            </w:r>
          </w:p>
        </w:tc>
      </w:tr>
      <w:tr w14:paraId="704A4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713C93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5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44BAC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Citation searching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60DF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Information sources; Additional file 1: Tables S1–S2 and S11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499E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5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5"/>
                <w:szCs w:val="22"/>
                <w:lang w:eastAsia="zh-CN"/>
              </w:rPr>
              <w:t>Backward reference checks of eight included reports identified two reports. Planned forward citation searching was not completed; therefore, no forward-search yield or execution date is reported.</w:t>
            </w:r>
          </w:p>
        </w:tc>
      </w:tr>
      <w:tr w14:paraId="6582D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26A0369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6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51182F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Contacts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94EF39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Methods, Reviewer procedures; Additional file 1: Tables S1 and S3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BC555C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No author or expert contact; conflicting registration contact fields and actual non-contact are disclosed.</w:t>
            </w:r>
          </w:p>
        </w:tc>
      </w:tr>
      <w:tr w14:paraId="04366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365BB5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7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D3277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Other methods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59278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Additional file 1: Table S1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2A13E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15"/>
              </w:rPr>
              <w:t>A separate conference-proceedings search was planned but not completed.</w:t>
            </w:r>
          </w:p>
        </w:tc>
      </w:tr>
      <w:tr w14:paraId="03C1A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7FB767E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8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F99B2B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Full search strategies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E1BFE7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Additional file 1: Table S2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92B85C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5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5"/>
                <w:szCs w:val="22"/>
                <w:lang w:eastAsia="zh-CN"/>
              </w:rPr>
              <w:t>Strategies are reported as documented. The SPORTDiscus abstract-field terms were expanded from the retained term block and are identified as a transcription expansion rather than as original exported search-history text.</w:t>
            </w:r>
          </w:p>
        </w:tc>
      </w:tr>
      <w:tr w14:paraId="00A36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3BC751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9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2AE90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Limits and restrictions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64F86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Methods; Additional file 1: Table S2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FDD6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From inception through 20 August 2026; no language or study-design restriction in database searching.</w:t>
            </w:r>
          </w:p>
        </w:tc>
      </w:tr>
      <w:tr w14:paraId="461B2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6E3BF48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10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17AA7F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Search filters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10E1614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Additional file 1: Table S2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DBEC48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No published study-design filter was used.</w:t>
            </w:r>
          </w:p>
        </w:tc>
      </w:tr>
      <w:tr w14:paraId="7AB6F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0329DB7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11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10337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Prior work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BD0E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Background; Discussion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588BD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Earlier reviews are cited as context; their strategies were not reused, and a complete list of their search cutoffs is not claimed.</w:t>
            </w:r>
          </w:p>
        </w:tc>
      </w:tr>
      <w:tr w14:paraId="060D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6DD688EA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12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2A0865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Updates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AA8FC2C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Methods; Additional file 1: Tables S1–S2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08DFCD00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5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5"/>
                <w:szCs w:val="22"/>
                <w:lang w:eastAsia="zh-CN"/>
              </w:rPr>
              <w:t>Database and registry searches were last executed on 20 August 2026; no later search was performed.</w:t>
            </w:r>
          </w:p>
        </w:tc>
      </w:tr>
      <w:tr w14:paraId="27517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85E94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13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F8910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Dates of searches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BAD63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Additional file 1: Table S2; archive search-reporting register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A83B8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5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auto"/>
                <w:kern w:val="0"/>
                <w:sz w:val="15"/>
                <w:szCs w:val="22"/>
                <w:lang w:eastAsia="zh-CN"/>
              </w:rPr>
              <w:t>Database and registry search dates are reported separately from export-label and final verification dates. Backward reference checks were completed in August 2026; the exact day was not recorded.</w:t>
            </w:r>
          </w:p>
        </w:tc>
      </w:tr>
      <w:tr w14:paraId="0B65B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5D0618B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14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E9ABBE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Peer review of the search strategy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55FD7CF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Additional file 1: Table S2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2403959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A formal independent peer review of the search strategy was not performed.</w:t>
            </w:r>
          </w:p>
        </w:tc>
      </w:tr>
      <w:tr w14:paraId="369B8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839B22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15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CE5FB5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Total records</w:t>
            </w:r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21152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Figure 1; Additional file 1: Tables S2 and S11</w:t>
            </w:r>
          </w:p>
        </w:tc>
        <w:tc>
          <w:tcPr>
            <w:tcW w:w="32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101B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3,197 database records, 68 registry records and two backward-citation reports; classification status reported separately.</w:t>
            </w:r>
          </w:p>
        </w:tc>
      </w:tr>
      <w:tr w14:paraId="4EE83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0" w:hRule="atLeast"/>
          <w:jc w:val="center"/>
        </w:trPr>
        <w:tc>
          <w:tcPr>
            <w:tcW w:w="99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tcMar>
              <w:left w:w="10" w:type="dxa"/>
              <w:right w:w="10" w:type="dxa"/>
            </w:tcMar>
            <w:vAlign w:val="center"/>
          </w:tcPr>
          <w:p w14:paraId="3282C466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16</w:t>
            </w:r>
          </w:p>
        </w:tc>
        <w:tc>
          <w:tcPr>
            <w:tcW w:w="578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vAlign w:val="center"/>
          </w:tcPr>
          <w:p w14:paraId="5F0726A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Deduplication</w:t>
            </w:r>
          </w:p>
        </w:tc>
        <w:tc>
          <w:tcPr>
            <w:tcW w:w="1092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vAlign w:val="center"/>
          </w:tcPr>
          <w:p w14:paraId="7CF512FB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13"/>
                <w:lang w:eastAsia="en-US"/>
              </w:rPr>
              <w:t>Methods; Additional file 1: Table S11</w:t>
            </w:r>
          </w:p>
        </w:tc>
        <w:tc>
          <w:tcPr>
            <w:tcW w:w="3230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2F2F2"/>
            <w:vAlign w:val="center"/>
          </w:tcPr>
          <w:p w14:paraId="7845070D">
            <w:pPr>
              <w:keepNext w:val="0"/>
              <w:widowControl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auto"/>
                <w:kern w:val="0"/>
                <w:sz w:val="15"/>
                <w:szCs w:val="22"/>
                <w:lang w:eastAsia="en-US"/>
              </w:rPr>
              <w:t>DOI/PMID/normalised-title database deduplication; registry overlap by registry identifier/title.</w:t>
            </w:r>
          </w:p>
        </w:tc>
      </w:tr>
    </w:tbl>
    <w:p w14:paraId="66022A29">
      <w:pPr>
        <w:widowControl/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</w:p>
    <w:p w14:paraId="136F6407">
      <w:pPr>
        <w:widowControl/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color w:val="auto"/>
          <w:kern w:val="0"/>
          <w:sz w:val="22"/>
          <w:szCs w:val="22"/>
          <w:lang w:eastAsia="en-US"/>
        </w:rPr>
      </w:pPr>
      <w:r>
        <w:rPr>
          <w:rFonts w:hint="default" w:ascii="Times New Roman" w:hAnsi="Times New Roman" w:eastAsia="Times New Roman" w:cs="Times New Roman"/>
          <w:i/>
          <w:iCs/>
          <w:color w:val="auto"/>
          <w:kern w:val="0"/>
          <w:sz w:val="16"/>
          <w:szCs w:val="16"/>
          <w:lang w:eastAsia="en-US"/>
        </w:rPr>
        <w:t>PRISMA, Preferred Reporting Items for Systematic Reviews and Meta-Analyses; PRISMA-S, the PRISMA extension for reporting literature searches. Item wording is abbreviated; the full item text is available from the PRISMA 2020 and PRISMA-S statements cited as references 11 and 12 of the main article.</w:t>
      </w:r>
    </w:p>
    <w:p w14:paraId="3FE4782E">
      <w:pPr>
        <w:rPr>
          <w:color w:val="auto"/>
        </w:rPr>
      </w:pPr>
    </w:p>
    <w:sectPr>
      <w:headerReference r:id="rId3" w:type="default"/>
      <w:footerReference r:id="rId4" w:type="default"/>
      <w:pgSz w:w="15840" w:h="12240" w:orient="landscape"/>
      <w:pgMar w:top="720" w:right="720" w:bottom="720" w:left="720" w:header="288" w:footer="28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5E0BF">
    <w:pPr>
      <w:suppressLineNumbers/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pPr>
    <w:r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  <w:t xml:space="preserve">Page </w:t>
    </w:r>
    <w:r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  <w:fldChar w:fldCharType="begin"/>
    </w:r>
    <w:r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  <w:instrText xml:space="preserve">PAGE</w:instrText>
    </w:r>
    <w:r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571DF">
    <w:pPr>
      <w:suppressLineNumbers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A47D58"/>
    <w:rsid w:val="39D94F1C"/>
    <w:rsid w:val="4F783809"/>
    <w:rsid w:val="5AD2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1053</Words>
  <Characters>6965</Characters>
  <Lines>0</Lines>
  <Paragraphs>0</Paragraphs>
  <TotalTime>1</TotalTime>
  <ScaleCrop>false</ScaleCrop>
  <LinksUpToDate>false</LinksUpToDate>
  <CharactersWithSpaces>7791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2026-08-30T07:24:00Z</dcterms:created>
  <dc:creator>一吃就饱</dc:creator>
  <cp:lastModifiedBy>一吃就饱</cp:lastModifiedBy>
  <dcterms:modified xsi:type="dcterms:W3CDTF">2026-09-15T12:39:10Z</dcterms:modified>
  <cp:version>3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eyJoZGlkIjoiOTc3M2Y5NzIzMDFlZjAyY2Q4Njk5ODkyYjFjNzBiNTQiLCJ1c2VySWQiOiIyOTczODkyNTAifQ==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40E96CFA9AA64115B240EFF609ADF134_12</vt:lpwstr>
  </property>
</Properties>
</file>