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65557">
      <w:pPr>
        <w:spacing w:after="120"/>
        <w:jc w:val="left"/>
        <w:rPr>
          <w:rFonts w:hint="default" w:ascii="Times New Roman" w:hAnsi="Times New Roman" w:cs="Times New Roman"/>
        </w:rPr>
      </w:pPr>
      <w:r>
        <w:rPr>
          <w:rFonts w:hint="default" w:ascii="Times New Roman" w:hAnsi="Times New Roman" w:eastAsia="Arial" w:cs="Times New Roman"/>
          <w:b/>
          <w:sz w:val="22"/>
        </w:rPr>
        <w:t>Supplementary Table S2. Measurement and coding of the 36 primary candidate factors</w:t>
      </w:r>
    </w:p>
    <w:tbl>
      <w:tblPr>
        <w:tblStyle w:val="2"/>
        <w:tblW w:w="0" w:type="auto"/>
        <w:tblInd w:w="0" w:type="dxa"/>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Layout w:type="fixed"/>
        <w:tblCellMar>
          <w:top w:w="0" w:type="dxa"/>
          <w:left w:w="108" w:type="dxa"/>
          <w:bottom w:w="0" w:type="dxa"/>
          <w:right w:w="108" w:type="dxa"/>
        </w:tblCellMar>
      </w:tblPr>
      <w:tblGrid>
        <w:gridCol w:w="2432"/>
        <w:gridCol w:w="2850"/>
        <w:gridCol w:w="2127"/>
        <w:gridCol w:w="8127"/>
      </w:tblGrid>
      <w:tr w14:paraId="555A36F1">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blHeader/>
        </w:trPr>
        <w:tc>
          <w:tcPr>
            <w:tcW w:w="2432" w:type="dxa"/>
            <w:tcBorders>
              <w:top w:val="single" w:color="000000" w:sz="8" w:space="0"/>
              <w:bottom w:val="single" w:color="000000" w:sz="8" w:space="0"/>
            </w:tcBorders>
            <w:tcMar>
              <w:top w:w="50" w:type="dxa"/>
              <w:left w:w="70" w:type="dxa"/>
              <w:bottom w:w="50" w:type="dxa"/>
              <w:right w:w="70" w:type="dxa"/>
            </w:tcMar>
            <w:vAlign w:val="center"/>
          </w:tcPr>
          <w:p w14:paraId="5336304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Variable category</w:t>
            </w:r>
          </w:p>
        </w:tc>
        <w:tc>
          <w:tcPr>
            <w:tcW w:w="2850" w:type="dxa"/>
            <w:tcBorders>
              <w:top w:val="single" w:color="000000" w:sz="8" w:space="0"/>
              <w:bottom w:val="single" w:color="000000" w:sz="8" w:space="0"/>
            </w:tcBorders>
            <w:tcMar>
              <w:top w:w="50" w:type="dxa"/>
              <w:left w:w="70" w:type="dxa"/>
              <w:bottom w:w="50" w:type="dxa"/>
              <w:right w:w="70" w:type="dxa"/>
            </w:tcMar>
            <w:vAlign w:val="center"/>
          </w:tcPr>
          <w:p w14:paraId="65039C0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LASSO variable / instrument</w:t>
            </w:r>
          </w:p>
        </w:tc>
        <w:tc>
          <w:tcPr>
            <w:tcW w:w="2127" w:type="dxa"/>
            <w:tcBorders>
              <w:top w:val="single" w:color="000000" w:sz="8" w:space="0"/>
              <w:bottom w:val="single" w:color="000000" w:sz="8" w:space="0"/>
            </w:tcBorders>
            <w:tcMar>
              <w:top w:w="50" w:type="dxa"/>
              <w:left w:w="70" w:type="dxa"/>
              <w:bottom w:w="50" w:type="dxa"/>
              <w:right w:w="70" w:type="dxa"/>
            </w:tcMar>
            <w:vAlign w:val="center"/>
          </w:tcPr>
          <w:p w14:paraId="11207BE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Data source / measurement time point</w:t>
            </w:r>
          </w:p>
        </w:tc>
        <w:tc>
          <w:tcPr>
            <w:tcW w:w="8127" w:type="dxa"/>
            <w:tcBorders>
              <w:top w:val="single" w:color="000000" w:sz="8" w:space="0"/>
              <w:bottom w:val="single" w:color="000000" w:sz="8" w:space="0"/>
            </w:tcBorders>
            <w:tcMar>
              <w:top w:w="50" w:type="dxa"/>
              <w:left w:w="70" w:type="dxa"/>
              <w:bottom w:w="50" w:type="dxa"/>
              <w:right w:w="70" w:type="dxa"/>
            </w:tcMar>
            <w:vAlign w:val="center"/>
          </w:tcPr>
          <w:p w14:paraId="459AC3D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sz w:val="17"/>
              </w:rPr>
              <w:t>Measurement / coding</w:t>
            </w:r>
          </w:p>
        </w:tc>
      </w:tr>
      <w:tr w14:paraId="4B175382">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restart"/>
            <w:tcMar>
              <w:top w:w="50" w:type="dxa"/>
              <w:left w:w="70" w:type="dxa"/>
              <w:bottom w:w="50" w:type="dxa"/>
              <w:right w:w="70" w:type="dxa"/>
            </w:tcMar>
            <w:vAlign w:val="center"/>
          </w:tcPr>
          <w:p w14:paraId="204DB2DA">
            <w:pPr>
              <w:spacing w:before="0" w:after="0" w:line="240" w:lineRule="auto"/>
              <w:jc w:val="left"/>
              <w:rPr>
                <w:rFonts w:hint="default" w:ascii="Times New Roman" w:hAnsi="Times New Roman" w:eastAsia="Arial" w:cs="Times New Roman"/>
                <w:b w:val="0"/>
                <w:sz w:val="17"/>
              </w:rPr>
            </w:pPr>
            <w:r>
              <w:rPr>
                <w:rFonts w:hint="default" w:ascii="Times New Roman" w:hAnsi="Times New Roman" w:eastAsia="Arial" w:cs="Times New Roman"/>
                <w:b w:val="0"/>
                <w:sz w:val="17"/>
              </w:rPr>
              <w:t>Demographic and socioeconomic characteristics</w:t>
            </w:r>
          </w:p>
          <w:p w14:paraId="0562514D">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0F55412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Age</w:t>
            </w:r>
          </w:p>
        </w:tc>
        <w:tc>
          <w:tcPr>
            <w:tcW w:w="2127" w:type="dxa"/>
            <w:tcMar>
              <w:top w:w="50" w:type="dxa"/>
              <w:left w:w="70" w:type="dxa"/>
              <w:bottom w:w="50" w:type="dxa"/>
              <w:right w:w="70" w:type="dxa"/>
            </w:tcMar>
            <w:vAlign w:val="center"/>
          </w:tcPr>
          <w:p w14:paraId="3CCFCD9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796B3A8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Continuous variable, years.</w:t>
            </w:r>
          </w:p>
        </w:tc>
      </w:tr>
      <w:tr w14:paraId="7BCC46E4">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570FEA09">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23821E7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Ethnicity</w:t>
            </w:r>
          </w:p>
        </w:tc>
        <w:tc>
          <w:tcPr>
            <w:tcW w:w="2127" w:type="dxa"/>
            <w:tcMar>
              <w:top w:w="50" w:type="dxa"/>
              <w:left w:w="70" w:type="dxa"/>
              <w:bottom w:w="50" w:type="dxa"/>
              <w:right w:w="70" w:type="dxa"/>
            </w:tcMar>
            <w:vAlign w:val="center"/>
          </w:tcPr>
          <w:p w14:paraId="75C862E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7F5C888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Han or ethnic minority.</w:t>
            </w:r>
          </w:p>
        </w:tc>
      </w:tr>
      <w:tr w14:paraId="6498ECBB">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11480D9A">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7E99E68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Educational level</w:t>
            </w:r>
          </w:p>
        </w:tc>
        <w:tc>
          <w:tcPr>
            <w:tcW w:w="2127" w:type="dxa"/>
            <w:tcMar>
              <w:top w:w="50" w:type="dxa"/>
              <w:left w:w="70" w:type="dxa"/>
              <w:bottom w:w="50" w:type="dxa"/>
              <w:right w:w="70" w:type="dxa"/>
            </w:tcMar>
            <w:vAlign w:val="center"/>
          </w:tcPr>
          <w:p w14:paraId="3CCB287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5CFA27D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high school or below, college, bachelor's degree, or master's degree or above.</w:t>
            </w:r>
          </w:p>
        </w:tc>
      </w:tr>
      <w:tr w14:paraId="79D0BD4D">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022F8900">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3D81C84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Only-child status</w:t>
            </w:r>
          </w:p>
        </w:tc>
        <w:tc>
          <w:tcPr>
            <w:tcW w:w="2127" w:type="dxa"/>
            <w:tcMar>
              <w:top w:w="50" w:type="dxa"/>
              <w:left w:w="70" w:type="dxa"/>
              <w:bottom w:w="50" w:type="dxa"/>
              <w:right w:w="70" w:type="dxa"/>
            </w:tcMar>
            <w:vAlign w:val="center"/>
          </w:tcPr>
          <w:p w14:paraId="3EE6D5E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5B1371A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w:t>
            </w:r>
          </w:p>
        </w:tc>
      </w:tr>
      <w:tr w14:paraId="23DC39A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71BC434A">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26DB53E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Religious belief</w:t>
            </w:r>
          </w:p>
        </w:tc>
        <w:tc>
          <w:tcPr>
            <w:tcW w:w="2127" w:type="dxa"/>
            <w:tcMar>
              <w:top w:w="50" w:type="dxa"/>
              <w:left w:w="70" w:type="dxa"/>
              <w:bottom w:w="50" w:type="dxa"/>
              <w:right w:w="70" w:type="dxa"/>
            </w:tcMar>
            <w:vAlign w:val="center"/>
          </w:tcPr>
          <w:p w14:paraId="18144D4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3649D2F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w:t>
            </w:r>
          </w:p>
        </w:tc>
      </w:tr>
      <w:tr w14:paraId="7CBEC640">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3992295C">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1E761E9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Place of residence</w:t>
            </w:r>
          </w:p>
        </w:tc>
        <w:tc>
          <w:tcPr>
            <w:tcW w:w="2127" w:type="dxa"/>
            <w:tcMar>
              <w:top w:w="50" w:type="dxa"/>
              <w:left w:w="70" w:type="dxa"/>
              <w:bottom w:w="50" w:type="dxa"/>
              <w:right w:w="70" w:type="dxa"/>
            </w:tcMar>
            <w:vAlign w:val="center"/>
          </w:tcPr>
          <w:p w14:paraId="0C8F0CA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684B001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urban, suburban/township, or rural; categories followed the baseline questionnaire.</w:t>
            </w:r>
          </w:p>
        </w:tc>
      </w:tr>
      <w:tr w14:paraId="0A79667C">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2844C5CA">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738D0D8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Monthly household income per capita</w:t>
            </w:r>
          </w:p>
        </w:tc>
        <w:tc>
          <w:tcPr>
            <w:tcW w:w="2127" w:type="dxa"/>
            <w:tcMar>
              <w:top w:w="50" w:type="dxa"/>
              <w:left w:w="70" w:type="dxa"/>
              <w:bottom w:w="50" w:type="dxa"/>
              <w:right w:w="70" w:type="dxa"/>
            </w:tcMar>
            <w:vAlign w:val="center"/>
          </w:tcPr>
          <w:p w14:paraId="4B8C0C3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52C9A58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≤5000 RMB, 5001–8000 RMB, or ≥8001 RMB; the two lowest original categories were combined before modeling because of sparse observations.</w:t>
            </w:r>
          </w:p>
        </w:tc>
      </w:tr>
      <w:tr w14:paraId="46CB12A4">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2F5552F2">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2C2391B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Relationship status</w:t>
            </w:r>
          </w:p>
        </w:tc>
        <w:tc>
          <w:tcPr>
            <w:tcW w:w="2127" w:type="dxa"/>
            <w:tcMar>
              <w:top w:w="50" w:type="dxa"/>
              <w:left w:w="70" w:type="dxa"/>
              <w:bottom w:w="50" w:type="dxa"/>
              <w:right w:w="70" w:type="dxa"/>
            </w:tcMar>
            <w:vAlign w:val="center"/>
          </w:tcPr>
          <w:p w14:paraId="020B0A1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33A7F2E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unmarried, married, divorced, or other; categories were recoded as prespecified for analysis.</w:t>
            </w:r>
          </w:p>
        </w:tc>
      </w:tr>
      <w:tr w14:paraId="067BEA7C">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35F5F030">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7365A08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Living apart from husband after marriage</w:t>
            </w:r>
          </w:p>
        </w:tc>
        <w:tc>
          <w:tcPr>
            <w:tcW w:w="2127" w:type="dxa"/>
            <w:tcMar>
              <w:top w:w="50" w:type="dxa"/>
              <w:left w:w="70" w:type="dxa"/>
              <w:bottom w:w="50" w:type="dxa"/>
              <w:right w:w="70" w:type="dxa"/>
            </w:tcMar>
            <w:vAlign w:val="center"/>
          </w:tcPr>
          <w:p w14:paraId="70E591C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58EA263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w:t>
            </w:r>
          </w:p>
        </w:tc>
      </w:tr>
      <w:tr w14:paraId="552EF0A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restart"/>
            <w:tcMar>
              <w:top w:w="50" w:type="dxa"/>
              <w:left w:w="70" w:type="dxa"/>
              <w:bottom w:w="50" w:type="dxa"/>
              <w:right w:w="70" w:type="dxa"/>
            </w:tcMar>
            <w:vAlign w:val="center"/>
          </w:tcPr>
          <w:p w14:paraId="0102985D">
            <w:pPr>
              <w:spacing w:before="0" w:after="0" w:line="240" w:lineRule="auto"/>
              <w:jc w:val="left"/>
              <w:rPr>
                <w:rFonts w:hint="default" w:ascii="Times New Roman" w:hAnsi="Times New Roman" w:eastAsia="Arial" w:cs="Times New Roman"/>
                <w:b w:val="0"/>
                <w:sz w:val="17"/>
              </w:rPr>
            </w:pPr>
            <w:r>
              <w:rPr>
                <w:rFonts w:hint="default" w:ascii="Times New Roman" w:hAnsi="Times New Roman" w:eastAsia="Arial" w:cs="Times New Roman"/>
                <w:b w:val="0"/>
                <w:sz w:val="17"/>
              </w:rPr>
              <w:t>Obstetric and pregnancy history</w:t>
            </w:r>
          </w:p>
          <w:p w14:paraId="1EDD8D14">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6523F5C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Gestational age at enrolment</w:t>
            </w:r>
          </w:p>
        </w:tc>
        <w:tc>
          <w:tcPr>
            <w:tcW w:w="2127" w:type="dxa"/>
            <w:tcMar>
              <w:top w:w="50" w:type="dxa"/>
              <w:left w:w="70" w:type="dxa"/>
              <w:bottom w:w="50" w:type="dxa"/>
              <w:right w:w="70" w:type="dxa"/>
            </w:tcMar>
            <w:vAlign w:val="center"/>
          </w:tcPr>
          <w:p w14:paraId="4C52ECA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5A9748F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Continuous variable, weeks.</w:t>
            </w:r>
          </w:p>
        </w:tc>
      </w:tr>
      <w:tr w14:paraId="24FF465C">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7E53A26F">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431F14E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Gestational age at delivery</w:t>
            </w:r>
          </w:p>
        </w:tc>
        <w:tc>
          <w:tcPr>
            <w:tcW w:w="2127" w:type="dxa"/>
            <w:tcMar>
              <w:top w:w="50" w:type="dxa"/>
              <w:left w:w="70" w:type="dxa"/>
              <w:bottom w:w="50" w:type="dxa"/>
              <w:right w:w="70" w:type="dxa"/>
            </w:tcMar>
            <w:vAlign w:val="center"/>
          </w:tcPr>
          <w:p w14:paraId="390DCF3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18581AB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Continuous variable, weeks.</w:t>
            </w:r>
          </w:p>
        </w:tc>
      </w:tr>
      <w:tr w14:paraId="70B9718F">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1532D40E">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71521F1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Gravidity</w:t>
            </w:r>
          </w:p>
        </w:tc>
        <w:tc>
          <w:tcPr>
            <w:tcW w:w="2127" w:type="dxa"/>
            <w:tcMar>
              <w:top w:w="50" w:type="dxa"/>
              <w:left w:w="70" w:type="dxa"/>
              <w:bottom w:w="50" w:type="dxa"/>
              <w:right w:w="70" w:type="dxa"/>
            </w:tcMar>
            <w:vAlign w:val="center"/>
          </w:tcPr>
          <w:p w14:paraId="2C7F0FE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28FC889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Continuous variable, number of pregnancies.</w:t>
            </w:r>
          </w:p>
        </w:tc>
      </w:tr>
      <w:tr w14:paraId="55075FE6">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0AC19000">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023BEAA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Parity</w:t>
            </w:r>
          </w:p>
        </w:tc>
        <w:tc>
          <w:tcPr>
            <w:tcW w:w="2127" w:type="dxa"/>
            <w:tcMar>
              <w:top w:w="50" w:type="dxa"/>
              <w:left w:w="70" w:type="dxa"/>
              <w:bottom w:w="50" w:type="dxa"/>
              <w:right w:w="70" w:type="dxa"/>
            </w:tcMar>
            <w:vAlign w:val="center"/>
          </w:tcPr>
          <w:p w14:paraId="1E69A62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405F242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nulliparous before the index delivery or multiparous.</w:t>
            </w:r>
          </w:p>
        </w:tc>
      </w:tr>
      <w:tr w14:paraId="07DC287E">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43CDED1D">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6BFBEA4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Method of conception</w:t>
            </w:r>
          </w:p>
        </w:tc>
        <w:tc>
          <w:tcPr>
            <w:tcW w:w="2127" w:type="dxa"/>
            <w:tcMar>
              <w:top w:w="50" w:type="dxa"/>
              <w:left w:w="70" w:type="dxa"/>
              <w:bottom w:w="50" w:type="dxa"/>
              <w:right w:w="70" w:type="dxa"/>
            </w:tcMar>
            <w:vAlign w:val="center"/>
          </w:tcPr>
          <w:p w14:paraId="26C7CBB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135FF9C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natural conception or assisted reproduction/in vitro fertilization.</w:t>
            </w:r>
          </w:p>
        </w:tc>
      </w:tr>
      <w:tr w14:paraId="113A51DF">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1A1036CC">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7B6DE5C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History of adverse pregnancy outcomes</w:t>
            </w:r>
          </w:p>
        </w:tc>
        <w:tc>
          <w:tcPr>
            <w:tcW w:w="2127" w:type="dxa"/>
            <w:tcMar>
              <w:top w:w="50" w:type="dxa"/>
              <w:left w:w="70" w:type="dxa"/>
              <w:bottom w:w="50" w:type="dxa"/>
              <w:right w:w="70" w:type="dxa"/>
            </w:tcMar>
            <w:vAlign w:val="center"/>
          </w:tcPr>
          <w:p w14:paraId="5937D57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4D37331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w:t>
            </w:r>
          </w:p>
        </w:tc>
      </w:tr>
      <w:tr w14:paraId="7C41A540">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5EDFEE50">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2953306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Pregnancy complications</w:t>
            </w:r>
          </w:p>
        </w:tc>
        <w:tc>
          <w:tcPr>
            <w:tcW w:w="2127" w:type="dxa"/>
            <w:tcMar>
              <w:top w:w="50" w:type="dxa"/>
              <w:left w:w="70" w:type="dxa"/>
              <w:bottom w:w="50" w:type="dxa"/>
              <w:right w:w="70" w:type="dxa"/>
            </w:tcMar>
            <w:vAlign w:val="center"/>
          </w:tcPr>
          <w:p w14:paraId="197E2F0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T2 / obstetric record</w:t>
            </w:r>
          </w:p>
        </w:tc>
        <w:tc>
          <w:tcPr>
            <w:tcW w:w="8127" w:type="dxa"/>
            <w:tcMar>
              <w:top w:w="50" w:type="dxa"/>
              <w:left w:w="70" w:type="dxa"/>
              <w:bottom w:w="50" w:type="dxa"/>
              <w:right w:w="70" w:type="dxa"/>
            </w:tcMar>
            <w:vAlign w:val="center"/>
          </w:tcPr>
          <w:p w14:paraId="64EC25F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 referred to complications occurring during the index pregnancy or delivery.</w:t>
            </w:r>
          </w:p>
        </w:tc>
      </w:tr>
      <w:tr w14:paraId="5BAA9ED2">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7973764C">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208123C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Pregnancy comorbidities</w:t>
            </w:r>
          </w:p>
        </w:tc>
        <w:tc>
          <w:tcPr>
            <w:tcW w:w="2127" w:type="dxa"/>
            <w:tcMar>
              <w:top w:w="50" w:type="dxa"/>
              <w:left w:w="70" w:type="dxa"/>
              <w:bottom w:w="50" w:type="dxa"/>
              <w:right w:w="70" w:type="dxa"/>
            </w:tcMar>
            <w:vAlign w:val="center"/>
          </w:tcPr>
          <w:p w14:paraId="5B21B0F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T2 / obstetric record</w:t>
            </w:r>
          </w:p>
        </w:tc>
        <w:tc>
          <w:tcPr>
            <w:tcW w:w="8127" w:type="dxa"/>
            <w:tcMar>
              <w:top w:w="50" w:type="dxa"/>
              <w:left w:w="70" w:type="dxa"/>
              <w:bottom w:w="50" w:type="dxa"/>
              <w:right w:w="70" w:type="dxa"/>
            </w:tcMar>
            <w:vAlign w:val="center"/>
          </w:tcPr>
          <w:p w14:paraId="43CD314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 referred to maternal medical comorbidities during the index pregnancy or delivery.</w:t>
            </w:r>
          </w:p>
        </w:tc>
      </w:tr>
      <w:tr w14:paraId="2F42C5C7">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4F3FC264">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1D8D8AA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Planned mode of delivery</w:t>
            </w:r>
          </w:p>
        </w:tc>
        <w:tc>
          <w:tcPr>
            <w:tcW w:w="2127" w:type="dxa"/>
            <w:tcMar>
              <w:top w:w="50" w:type="dxa"/>
              <w:left w:w="70" w:type="dxa"/>
              <w:bottom w:w="50" w:type="dxa"/>
              <w:right w:w="70" w:type="dxa"/>
            </w:tcMar>
            <w:vAlign w:val="center"/>
          </w:tcPr>
          <w:p w14:paraId="647BB68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7A637BB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vaginal delivery, cesarean delivery, or undecided.</w:t>
            </w:r>
          </w:p>
        </w:tc>
      </w:tr>
      <w:tr w14:paraId="57A9C805">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restart"/>
            <w:tcMar>
              <w:top w:w="50" w:type="dxa"/>
              <w:left w:w="70" w:type="dxa"/>
              <w:bottom w:w="50" w:type="dxa"/>
              <w:right w:w="70" w:type="dxa"/>
            </w:tcMar>
            <w:vAlign w:val="center"/>
          </w:tcPr>
          <w:p w14:paraId="371A8158">
            <w:pPr>
              <w:spacing w:before="0" w:after="0" w:line="240" w:lineRule="auto"/>
              <w:jc w:val="left"/>
              <w:rPr>
                <w:rFonts w:hint="default" w:ascii="Times New Roman" w:hAnsi="Times New Roman" w:eastAsia="Arial" w:cs="Times New Roman"/>
                <w:b w:val="0"/>
                <w:sz w:val="17"/>
              </w:rPr>
            </w:pPr>
            <w:r>
              <w:rPr>
                <w:rFonts w:hint="default" w:ascii="Times New Roman" w:hAnsi="Times New Roman" w:eastAsia="Arial" w:cs="Times New Roman"/>
                <w:b w:val="0"/>
                <w:sz w:val="17"/>
              </w:rPr>
              <w:t>Delivery and neonatal characteristics</w:t>
            </w:r>
          </w:p>
          <w:p w14:paraId="5C108F9B">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0B3FF97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Planned labor analgesia/anesthesia</w:t>
            </w:r>
          </w:p>
        </w:tc>
        <w:tc>
          <w:tcPr>
            <w:tcW w:w="2127" w:type="dxa"/>
            <w:tcMar>
              <w:top w:w="50" w:type="dxa"/>
              <w:left w:w="70" w:type="dxa"/>
              <w:bottom w:w="50" w:type="dxa"/>
              <w:right w:w="70" w:type="dxa"/>
            </w:tcMar>
            <w:vAlign w:val="center"/>
          </w:tcPr>
          <w:p w14:paraId="32DFE76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33AF37D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item recording the analgesia/anesthesia method planned before delivery; categories followed the baseline questionnaire.</w:t>
            </w:r>
          </w:p>
        </w:tc>
      </w:tr>
      <w:tr w14:paraId="5AA18AE5">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31E23712">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6820BC0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Labor analgesia/anesthesia</w:t>
            </w:r>
          </w:p>
        </w:tc>
        <w:tc>
          <w:tcPr>
            <w:tcW w:w="2127" w:type="dxa"/>
            <w:tcMar>
              <w:top w:w="50" w:type="dxa"/>
              <w:left w:w="70" w:type="dxa"/>
              <w:bottom w:w="50" w:type="dxa"/>
              <w:right w:w="70" w:type="dxa"/>
            </w:tcMar>
            <w:vAlign w:val="center"/>
          </w:tcPr>
          <w:p w14:paraId="578A34C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6F7C085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w:t>
            </w:r>
          </w:p>
        </w:tc>
      </w:tr>
      <w:tr w14:paraId="2766F06D">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19CD5D38">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18440EB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Total duration of labor</w:t>
            </w:r>
          </w:p>
        </w:tc>
        <w:tc>
          <w:tcPr>
            <w:tcW w:w="2127" w:type="dxa"/>
            <w:tcMar>
              <w:top w:w="50" w:type="dxa"/>
              <w:left w:w="70" w:type="dxa"/>
              <w:bottom w:w="50" w:type="dxa"/>
              <w:right w:w="70" w:type="dxa"/>
            </w:tcMar>
            <w:vAlign w:val="center"/>
          </w:tcPr>
          <w:p w14:paraId="762CF7D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59392DD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Continuous variable, minutes.</w:t>
            </w:r>
          </w:p>
        </w:tc>
      </w:tr>
      <w:tr w14:paraId="6575CBC5">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57F731AF">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7F0DC16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Oxytocin use</w:t>
            </w:r>
          </w:p>
        </w:tc>
        <w:tc>
          <w:tcPr>
            <w:tcW w:w="2127" w:type="dxa"/>
            <w:tcMar>
              <w:top w:w="50" w:type="dxa"/>
              <w:left w:w="70" w:type="dxa"/>
              <w:bottom w:w="50" w:type="dxa"/>
              <w:right w:w="70" w:type="dxa"/>
            </w:tcMar>
            <w:vAlign w:val="center"/>
          </w:tcPr>
          <w:p w14:paraId="5567128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015F3B3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w:t>
            </w:r>
          </w:p>
        </w:tc>
      </w:tr>
      <w:tr w14:paraId="2056D62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38550DB7">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07B0ACA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Mode of delivery</w:t>
            </w:r>
          </w:p>
        </w:tc>
        <w:tc>
          <w:tcPr>
            <w:tcW w:w="2127" w:type="dxa"/>
            <w:tcMar>
              <w:top w:w="50" w:type="dxa"/>
              <w:left w:w="70" w:type="dxa"/>
              <w:bottom w:w="50" w:type="dxa"/>
              <w:right w:w="70" w:type="dxa"/>
            </w:tcMar>
            <w:vAlign w:val="center"/>
          </w:tcPr>
          <w:p w14:paraId="1D9CFAA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w:t>
            </w:r>
          </w:p>
        </w:tc>
        <w:tc>
          <w:tcPr>
            <w:tcW w:w="8127" w:type="dxa"/>
            <w:tcMar>
              <w:top w:w="50" w:type="dxa"/>
              <w:left w:w="70" w:type="dxa"/>
              <w:bottom w:w="50" w:type="dxa"/>
              <w:right w:w="70" w:type="dxa"/>
            </w:tcMar>
            <w:vAlign w:val="center"/>
          </w:tcPr>
          <w:p w14:paraId="10F4E1A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spontaneous vaginal delivery, instrumental vaginal delivery, vaginal-to-cesarean delivery, emergency cesarean delivery, or elective/non-emergency cesarean delivery.</w:t>
            </w:r>
          </w:p>
        </w:tc>
      </w:tr>
      <w:tr w14:paraId="7799AF95">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152712E6">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4CAB245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Perineal status</w:t>
            </w:r>
          </w:p>
        </w:tc>
        <w:tc>
          <w:tcPr>
            <w:tcW w:w="2127" w:type="dxa"/>
            <w:tcMar>
              <w:top w:w="50" w:type="dxa"/>
              <w:left w:w="70" w:type="dxa"/>
              <w:bottom w:w="50" w:type="dxa"/>
              <w:right w:w="70" w:type="dxa"/>
            </w:tcMar>
            <w:vAlign w:val="center"/>
          </w:tcPr>
          <w:p w14:paraId="6A12814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337176C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none, perineal tear, or episiotomy; first- and second-degree tears were combined before modeling because the second-degree-tear category was extremely sparse.</w:t>
            </w:r>
          </w:p>
        </w:tc>
      </w:tr>
      <w:tr w14:paraId="2BDF28A5">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13F9914D">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527A019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Early skin-to-skin contact</w:t>
            </w:r>
          </w:p>
        </w:tc>
        <w:tc>
          <w:tcPr>
            <w:tcW w:w="2127" w:type="dxa"/>
            <w:tcMar>
              <w:top w:w="50" w:type="dxa"/>
              <w:left w:w="70" w:type="dxa"/>
              <w:bottom w:w="50" w:type="dxa"/>
              <w:right w:w="70" w:type="dxa"/>
            </w:tcMar>
            <w:vAlign w:val="center"/>
          </w:tcPr>
          <w:p w14:paraId="46A1F12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w:t>
            </w:r>
          </w:p>
        </w:tc>
        <w:tc>
          <w:tcPr>
            <w:tcW w:w="8127" w:type="dxa"/>
            <w:tcMar>
              <w:top w:w="50" w:type="dxa"/>
              <w:left w:w="70" w:type="dxa"/>
              <w:bottom w:w="50" w:type="dxa"/>
              <w:right w:w="70" w:type="dxa"/>
            </w:tcMar>
            <w:vAlign w:val="center"/>
          </w:tcPr>
          <w:p w14:paraId="4F03AB9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w:t>
            </w:r>
          </w:p>
        </w:tc>
      </w:tr>
      <w:tr w14:paraId="70675BA2">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278D84AB">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1E430C3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Doula-assisted delivery</w:t>
            </w:r>
          </w:p>
        </w:tc>
        <w:tc>
          <w:tcPr>
            <w:tcW w:w="2127" w:type="dxa"/>
            <w:tcMar>
              <w:top w:w="50" w:type="dxa"/>
              <w:left w:w="70" w:type="dxa"/>
              <w:bottom w:w="50" w:type="dxa"/>
              <w:right w:w="70" w:type="dxa"/>
            </w:tcMar>
            <w:vAlign w:val="center"/>
          </w:tcPr>
          <w:p w14:paraId="4941CCC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6D909C9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w:t>
            </w:r>
          </w:p>
        </w:tc>
      </w:tr>
      <w:tr w14:paraId="2006B8EE">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6ED67C9D">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656D930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Infant sex</w:t>
            </w:r>
          </w:p>
        </w:tc>
        <w:tc>
          <w:tcPr>
            <w:tcW w:w="2127" w:type="dxa"/>
            <w:tcMar>
              <w:top w:w="50" w:type="dxa"/>
              <w:left w:w="70" w:type="dxa"/>
              <w:bottom w:w="50" w:type="dxa"/>
              <w:right w:w="70" w:type="dxa"/>
            </w:tcMar>
            <w:vAlign w:val="center"/>
          </w:tcPr>
          <w:p w14:paraId="12425A8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0EE0F1B8">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female or male.</w:t>
            </w:r>
          </w:p>
        </w:tc>
      </w:tr>
      <w:tr w14:paraId="2F5024A4">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21A79073">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726B110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Infant birth weight</w:t>
            </w:r>
          </w:p>
        </w:tc>
        <w:tc>
          <w:tcPr>
            <w:tcW w:w="2127" w:type="dxa"/>
            <w:tcMar>
              <w:top w:w="50" w:type="dxa"/>
              <w:left w:w="70" w:type="dxa"/>
              <w:bottom w:w="50" w:type="dxa"/>
              <w:right w:w="70" w:type="dxa"/>
            </w:tcMar>
            <w:vAlign w:val="center"/>
          </w:tcPr>
          <w:p w14:paraId="70F1399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391C15A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Continuous variable, grams.</w:t>
            </w:r>
          </w:p>
        </w:tc>
      </w:tr>
      <w:tr w14:paraId="079CE2F8">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5E08E458">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3A3C35C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Infant Apgar score at 1 minute</w:t>
            </w:r>
          </w:p>
        </w:tc>
        <w:tc>
          <w:tcPr>
            <w:tcW w:w="2127" w:type="dxa"/>
            <w:tcMar>
              <w:top w:w="50" w:type="dxa"/>
              <w:left w:w="70" w:type="dxa"/>
              <w:bottom w:w="50" w:type="dxa"/>
              <w:right w:w="70" w:type="dxa"/>
            </w:tcMar>
            <w:vAlign w:val="center"/>
          </w:tcPr>
          <w:p w14:paraId="3EC3271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01545E55">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Recorded clinical score, 0-10.</w:t>
            </w:r>
          </w:p>
        </w:tc>
      </w:tr>
      <w:tr w14:paraId="0F3F52D6">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210202BA">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7F2D7ADD">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Infant Apgar score at 5 minutes</w:t>
            </w:r>
          </w:p>
        </w:tc>
        <w:tc>
          <w:tcPr>
            <w:tcW w:w="2127" w:type="dxa"/>
            <w:tcMar>
              <w:top w:w="50" w:type="dxa"/>
              <w:left w:w="70" w:type="dxa"/>
              <w:bottom w:w="50" w:type="dxa"/>
              <w:right w:w="70" w:type="dxa"/>
            </w:tcMar>
            <w:vAlign w:val="center"/>
          </w:tcPr>
          <w:p w14:paraId="225C3A2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1EC081D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Recorded clinical score, 0-10.</w:t>
            </w:r>
          </w:p>
        </w:tc>
      </w:tr>
      <w:tr w14:paraId="0AD138D8">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71269110">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36E7807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Infant complications</w:t>
            </w:r>
          </w:p>
        </w:tc>
        <w:tc>
          <w:tcPr>
            <w:tcW w:w="2127" w:type="dxa"/>
            <w:tcMar>
              <w:top w:w="50" w:type="dxa"/>
              <w:left w:w="70" w:type="dxa"/>
              <w:bottom w:w="50" w:type="dxa"/>
              <w:right w:w="70" w:type="dxa"/>
            </w:tcMar>
            <w:vAlign w:val="center"/>
          </w:tcPr>
          <w:p w14:paraId="453741CB">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 / obstetric record</w:t>
            </w:r>
          </w:p>
        </w:tc>
        <w:tc>
          <w:tcPr>
            <w:tcW w:w="8127" w:type="dxa"/>
            <w:tcMar>
              <w:top w:w="50" w:type="dxa"/>
              <w:left w:w="70" w:type="dxa"/>
              <w:bottom w:w="50" w:type="dxa"/>
              <w:right w:w="70" w:type="dxa"/>
            </w:tcMar>
            <w:vAlign w:val="center"/>
          </w:tcPr>
          <w:p w14:paraId="25A873C1">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 referred to neonatal complications related to the index delivery.</w:t>
            </w:r>
          </w:p>
        </w:tc>
      </w:tr>
      <w:tr w14:paraId="2B27D483">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restart"/>
            <w:tcMar>
              <w:top w:w="50" w:type="dxa"/>
              <w:left w:w="70" w:type="dxa"/>
              <w:bottom w:w="50" w:type="dxa"/>
              <w:right w:w="70" w:type="dxa"/>
            </w:tcMar>
            <w:vAlign w:val="center"/>
          </w:tcPr>
          <w:p w14:paraId="2423276E">
            <w:pPr>
              <w:spacing w:before="0" w:after="0" w:line="240" w:lineRule="auto"/>
              <w:jc w:val="left"/>
              <w:rPr>
                <w:rFonts w:hint="default" w:ascii="Times New Roman" w:hAnsi="Times New Roman" w:eastAsia="Arial" w:cs="Times New Roman"/>
                <w:b w:val="0"/>
                <w:sz w:val="17"/>
              </w:rPr>
            </w:pPr>
            <w:r>
              <w:rPr>
                <w:rFonts w:hint="default" w:ascii="Times New Roman" w:hAnsi="Times New Roman" w:eastAsia="Arial" w:cs="Times New Roman"/>
                <w:b w:val="0"/>
                <w:sz w:val="17"/>
              </w:rPr>
              <w:t>Psychological, birth-experience, and mental-health factors</w:t>
            </w:r>
          </w:p>
          <w:p w14:paraId="507636B4">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28F10A37">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History of traumatic experiences</w:t>
            </w:r>
          </w:p>
        </w:tc>
        <w:tc>
          <w:tcPr>
            <w:tcW w:w="2127" w:type="dxa"/>
            <w:tcMar>
              <w:top w:w="50" w:type="dxa"/>
              <w:left w:w="70" w:type="dxa"/>
              <w:bottom w:w="50" w:type="dxa"/>
              <w:right w:w="70" w:type="dxa"/>
            </w:tcMar>
            <w:vAlign w:val="center"/>
          </w:tcPr>
          <w:p w14:paraId="7620F284">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52C97769">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Categorical variable: yes or no; assessed using the trauma checklist of the Posttraumatic Diagnostic Scale [1].</w:t>
            </w:r>
          </w:p>
        </w:tc>
      </w:tr>
      <w:tr w14:paraId="003DF918">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0E93D296">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2564D1FF">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Prenatal EPDS score</w:t>
            </w:r>
          </w:p>
        </w:tc>
        <w:tc>
          <w:tcPr>
            <w:tcW w:w="2127" w:type="dxa"/>
            <w:tcMar>
              <w:top w:w="50" w:type="dxa"/>
              <w:left w:w="70" w:type="dxa"/>
              <w:bottom w:w="50" w:type="dxa"/>
              <w:right w:w="70" w:type="dxa"/>
            </w:tcMar>
            <w:vAlign w:val="center"/>
          </w:tcPr>
          <w:p w14:paraId="33D5A263">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5756B16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 xml:space="preserve">The Edinburgh Postnatal Depression Scale (EPDS), developed by Cox et al. (1987), was used to assess depressive symptoms during late pregnancy [2]. The validated Mainland Chinese version was used [3]. The scale contains 10 items rated from 0 to 3, yielding a total score of 0-30; higher scores indicate greater depressive symptoms. A score </w:t>
            </w:r>
            <w:r>
              <w:rPr>
                <w:rFonts w:hint="default" w:ascii="Arial" w:hAnsi="Arial" w:eastAsia="Arial" w:cs="Arial"/>
                <w:b w:val="0"/>
                <w:sz w:val="17"/>
              </w:rPr>
              <w:t>≥</w:t>
            </w:r>
            <w:r>
              <w:rPr>
                <w:rFonts w:hint="default" w:ascii="Times New Roman" w:hAnsi="Times New Roman" w:eastAsia="Arial" w:cs="Times New Roman"/>
                <w:b w:val="0"/>
                <w:sz w:val="17"/>
              </w:rPr>
              <w:t>11 was used for descriptive screening.</w:t>
            </w:r>
          </w:p>
        </w:tc>
      </w:tr>
      <w:tr w14:paraId="3DCED466">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1B2A28B9">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27ED2C4E">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Prenatal GAD-7 score</w:t>
            </w:r>
          </w:p>
        </w:tc>
        <w:tc>
          <w:tcPr>
            <w:tcW w:w="2127" w:type="dxa"/>
            <w:tcMar>
              <w:top w:w="50" w:type="dxa"/>
              <w:left w:w="70" w:type="dxa"/>
              <w:bottom w:w="50" w:type="dxa"/>
              <w:right w:w="70" w:type="dxa"/>
            </w:tcMar>
            <w:vAlign w:val="center"/>
          </w:tcPr>
          <w:p w14:paraId="142C9E9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 / supplemental antenatal screening</w:t>
            </w:r>
          </w:p>
        </w:tc>
        <w:tc>
          <w:tcPr>
            <w:tcW w:w="8127" w:type="dxa"/>
            <w:tcMar>
              <w:top w:w="50" w:type="dxa"/>
              <w:left w:w="70" w:type="dxa"/>
              <w:bottom w:w="50" w:type="dxa"/>
              <w:right w:w="70" w:type="dxa"/>
            </w:tcMar>
            <w:vAlign w:val="center"/>
          </w:tcPr>
          <w:p w14:paraId="09D1800A">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The 7-item Generalized Anxiety Disorder scale (GAD-7), developed by Spitzer et al. (2006), was used to assess anxiety symptoms [4]. A validated Chinese version was used [5]. Items are rated from 0 to 3, yielding a total score of 0-21; higher scores indicate greater anxiety symptoms. A score &gt;=10 was used for descriptive screening.</w:t>
            </w:r>
          </w:p>
        </w:tc>
      </w:tr>
      <w:tr w14:paraId="377FC94E">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2378A8A7">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08CB413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CAQ score</w:t>
            </w:r>
          </w:p>
        </w:tc>
        <w:tc>
          <w:tcPr>
            <w:tcW w:w="2127" w:type="dxa"/>
            <w:tcMar>
              <w:top w:w="50" w:type="dxa"/>
              <w:left w:w="70" w:type="dxa"/>
              <w:bottom w:w="50" w:type="dxa"/>
              <w:right w:w="70" w:type="dxa"/>
            </w:tcMar>
            <w:vAlign w:val="center"/>
          </w:tcPr>
          <w:p w14:paraId="56F1FB92">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T0</w:t>
            </w:r>
          </w:p>
        </w:tc>
        <w:tc>
          <w:tcPr>
            <w:tcW w:w="8127" w:type="dxa"/>
            <w:tcMar>
              <w:top w:w="50" w:type="dxa"/>
              <w:left w:w="70" w:type="dxa"/>
              <w:bottom w:w="50" w:type="dxa"/>
              <w:right w:w="70" w:type="dxa"/>
            </w:tcMar>
            <w:vAlign w:val="center"/>
          </w:tcPr>
          <w:p w14:paraId="75A0380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The Childbirth Attitudes Questionnaire (CAQ), developed by Lowe [6] and adapted and validated in Chinese by Wei et al. [7], was used to assess fear of childbirth. It contains 16 items rated from 1 to 4, yielding a total score of 16-64. Scores were categorized as no fear (16-27), mild fear (28-39), moderate fear (40-51), or severe fear (52-64).</w:t>
            </w:r>
          </w:p>
        </w:tc>
      </w:tr>
      <w:tr w14:paraId="481F509A">
        <w:tblPrEx>
          <w:tblBorders>
            <w:top w:val="single" w:color="BFBFBF" w:sz="8" w:space="0"/>
            <w:left w:val="none" w:color="auto" w:sz="0" w:space="0"/>
            <w:bottom w:val="single" w:color="BFBFBF" w:sz="8" w:space="0"/>
            <w:right w:val="none" w:color="auto" w:sz="0" w:space="0"/>
            <w:insideH w:val="single" w:color="BFBFBF" w:sz="2" w:space="0"/>
            <w:insideV w:val="none" w:color="auto" w:sz="0" w:space="0"/>
          </w:tblBorders>
          <w:tblCellMar>
            <w:top w:w="0" w:type="dxa"/>
            <w:left w:w="108" w:type="dxa"/>
            <w:bottom w:w="0" w:type="dxa"/>
            <w:right w:w="108" w:type="dxa"/>
          </w:tblCellMar>
        </w:tblPrEx>
        <w:trPr>
          <w:cantSplit/>
        </w:trPr>
        <w:tc>
          <w:tcPr>
            <w:tcW w:w="2432" w:type="dxa"/>
            <w:vMerge w:val="continue"/>
            <w:tcBorders/>
            <w:tcMar>
              <w:top w:w="50" w:type="dxa"/>
              <w:left w:w="70" w:type="dxa"/>
              <w:bottom w:w="50" w:type="dxa"/>
              <w:right w:w="70" w:type="dxa"/>
            </w:tcMar>
            <w:vAlign w:val="center"/>
          </w:tcPr>
          <w:p w14:paraId="1C656609">
            <w:pPr>
              <w:spacing w:before="0" w:after="0" w:line="240" w:lineRule="auto"/>
              <w:jc w:val="left"/>
              <w:rPr>
                <w:rFonts w:hint="default" w:ascii="Times New Roman" w:hAnsi="Times New Roman" w:cs="Times New Roman"/>
              </w:rPr>
            </w:pPr>
          </w:p>
        </w:tc>
        <w:tc>
          <w:tcPr>
            <w:tcW w:w="2850" w:type="dxa"/>
            <w:tcMar>
              <w:top w:w="50" w:type="dxa"/>
              <w:left w:w="70" w:type="dxa"/>
              <w:bottom w:w="50" w:type="dxa"/>
              <w:right w:w="70" w:type="dxa"/>
            </w:tcMar>
            <w:vAlign w:val="center"/>
          </w:tcPr>
          <w:p w14:paraId="57BD40E0">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BSS-R score</w:t>
            </w:r>
          </w:p>
        </w:tc>
        <w:tc>
          <w:tcPr>
            <w:tcW w:w="2127" w:type="dxa"/>
            <w:tcMar>
              <w:top w:w="50" w:type="dxa"/>
              <w:left w:w="70" w:type="dxa"/>
              <w:bottom w:w="50" w:type="dxa"/>
              <w:right w:w="70" w:type="dxa"/>
            </w:tcMar>
            <w:vAlign w:val="center"/>
          </w:tcPr>
          <w:p w14:paraId="10A97326">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T1</w:t>
            </w:r>
          </w:p>
        </w:tc>
        <w:tc>
          <w:tcPr>
            <w:tcW w:w="8127" w:type="dxa"/>
            <w:tcMar>
              <w:top w:w="50" w:type="dxa"/>
              <w:left w:w="70" w:type="dxa"/>
              <w:bottom w:w="50" w:type="dxa"/>
              <w:right w:w="70" w:type="dxa"/>
            </w:tcMar>
            <w:vAlign w:val="center"/>
          </w:tcPr>
          <w:p w14:paraId="49AD80EC">
            <w:pPr>
              <w:spacing w:before="0" w:after="0" w:line="240" w:lineRule="auto"/>
              <w:jc w:val="center"/>
              <w:rPr>
                <w:rFonts w:hint="default" w:ascii="Times New Roman" w:hAnsi="Times New Roman" w:cs="Times New Roman"/>
              </w:rPr>
            </w:pPr>
            <w:r>
              <w:rPr>
                <w:rFonts w:hint="default" w:ascii="Times New Roman" w:hAnsi="Times New Roman" w:eastAsia="Arial" w:cs="Times New Roman"/>
                <w:b w:val="0"/>
                <w:sz w:val="17"/>
              </w:rPr>
              <w:t>The Birth Satisfaction Scale-Revised (BSS-R), developed by Hollins Martin and Martin [8], was used to assess satisfaction with the actual childbirth experience. The validated Chinese version was used [9]. The scale contains 10 items across three domains (quality of care, stress experienced during labor, and women's personal attributes), rated from 0 to 4. Total scores range from 0 to 4</w:t>
            </w:r>
            <w:bookmarkStart w:id="0" w:name="_GoBack"/>
            <w:bookmarkEnd w:id="0"/>
            <w:r>
              <w:rPr>
                <w:rFonts w:hint="default" w:ascii="Times New Roman" w:hAnsi="Times New Roman" w:eastAsia="Arial" w:cs="Times New Roman"/>
                <w:b w:val="0"/>
                <w:sz w:val="17"/>
              </w:rPr>
              <w:t>0; higher scores indicate greater birth satisfaction.</w:t>
            </w:r>
          </w:p>
        </w:tc>
      </w:tr>
    </w:tbl>
    <w:p w14:paraId="1B2EC041">
      <w:pPr>
        <w:spacing w:before="60" w:after="60" w:line="240" w:lineRule="auto"/>
        <w:rPr>
          <w:rFonts w:hint="default" w:ascii="Times New Roman" w:hAnsi="Times New Roman" w:cs="Times New Roman"/>
        </w:rPr>
      </w:pPr>
      <w:r>
        <w:rPr>
          <w:rFonts w:hint="default" w:ascii="Times New Roman" w:hAnsi="Times New Roman" w:eastAsia="Arial" w:cs="Times New Roman"/>
          <w:b/>
          <w:bCs/>
          <w:sz w:val="16"/>
        </w:rPr>
        <w:t>Notes.</w:t>
      </w:r>
      <w:r>
        <w:rPr>
          <w:rFonts w:hint="default" w:ascii="Times New Roman" w:hAnsi="Times New Roman" w:eastAsia="Arial" w:cs="Times New Roman"/>
          <w:b w:val="0"/>
          <w:sz w:val="16"/>
        </w:rPr>
        <w:t xml:space="preserve"> T0 = antenatal assessment; T1 = assessment within 72 hours postpartum; T2 = assessment at 6–12 weeks postpartum. Obstetric record refers to data extracted from medical or delivery records. Supplemental antenatal screening refers to psychological screening data collected during routine antenatal care. The primary analysis included 36 candidate factors assessed at T0 or T1, together with selected medical-record-derived variables referring to pregnancy, delivery, or neonatal events that occurred before the T2 childbirth-memory assessment. Nine self-reported factors assessed concurrently at T2 were excluded from the primary candidate set: ongoing impact of maternal comorbidities/complications, level of support from companion, ongoing impact of infant comorbidities/complications, birth trauma rating, childbirth-related traumatic experience, history of diagnosed mental-health disorders, current mental-health issues, professional help or treatment for mental-health issues, and type of mental-health treatment. Postpartum City Birth Trauma Scale, postpartum EPDS, Pittsburgh Sleep Quality Index, and coping-style scale scores were also not included in the primary analysis. References apply to scale-based instruments. EPDS = Edinburgh Postnatal Depression Scale; GAD-7 = 7-item Generalized Anxiety Disorder scale; CAQ = Childbirth Attitudes Questionnaire; BSS-R = Birth Satisfaction Scale-Revised.</w:t>
      </w:r>
    </w:p>
    <w:p w14:paraId="70E49F78">
      <w:pPr>
        <w:spacing w:before="60" w:after="60" w:line="240" w:lineRule="auto"/>
        <w:rPr>
          <w:rFonts w:hint="default" w:ascii="Times New Roman" w:hAnsi="Times New Roman" w:cs="Times New Roman"/>
          <w:b/>
          <w:bCs/>
        </w:rPr>
      </w:pPr>
      <w:r>
        <w:rPr>
          <w:rFonts w:hint="default" w:ascii="Times New Roman" w:hAnsi="Times New Roman" w:eastAsia="Arial" w:cs="Times New Roman"/>
          <w:b/>
          <w:bCs/>
          <w:sz w:val="16"/>
        </w:rPr>
        <w:t>References</w:t>
      </w:r>
    </w:p>
    <w:p w14:paraId="6726ACC1">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1. Foa EB, Cashman L, Jaycox L, Perry K. The validation of a self-report measure of posttraumatic stress disorder: The Posttraumatic Diagnostic Scale. Psychological Assessment. 1997;9:445–451. https://doi.org/10.1037/1040-3590.9.4.445.</w:t>
      </w:r>
    </w:p>
    <w:p w14:paraId="3869982B">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2. Cox JL, Holden JM, Sagovsky R. Detection of postnatal depression: development of the 10-item Edinburgh Postnatal Depression Scale. Br J Psychiatry. 1987;150:782–786. https://doi.org/10.1192/bjp.150.6.782.</w:t>
      </w:r>
    </w:p>
    <w:p w14:paraId="255B26C9">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3. Lau Y, Wang Y, Yin L, Chan KS, Guo X. Validation of the Mainland Chinese version of the Edinburgh Postnatal Depression Scale in Chengdu mothers. Int J Nurs Stud. 2010;47:1139–1151. https://doi.org/10.1016/j.ijnurstu.2010.02.005.</w:t>
      </w:r>
    </w:p>
    <w:p w14:paraId="4716007C">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4. Spitzer RL, Kroenke K, Williams JBW, Lowe B. A brief measure for assessing generalized anxiety disorder: the GAD-7. Arch Intern Med. 2006;166:1092–1097. https://doi.org/10.1001/archinte.166.10.1092.</w:t>
      </w:r>
    </w:p>
    <w:p w14:paraId="05F67458">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5. Gong Y, Zhou H, Zhang Y, Zhu X, Wang X, Shen B, Xian J, Ding Y. Validation of the 7-item Generalized Anxiety Disorder scale (GAD-7) as a screening tool for anxiety among pregnant Chinese women. J Affect Disord. 2021;282:98–103. https://doi.org/10.1016/j.jad.2020.12.129.</w:t>
      </w:r>
    </w:p>
    <w:p w14:paraId="23F1CD8C">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6. Lowe NK. Self-efficacy for labor and childbirth fears in nulliparous pregnant women. J Psychosom Obstet Gynaecol. 2000;21:219–224. https://doi.org/10.3109/01674820009085591.</w:t>
      </w:r>
    </w:p>
    <w:p w14:paraId="4F54760B">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7. Wei J, Liu JY, Zhang LF, Wu YP, Fu CF. Reliability and validity of the Chinese version of Childbirth Attitudes Questionnaire. Journal of Nursing Science. 2016;31:81–83. https://doi.org/10.3870/j.issn.1001-4152.2016.02.081.</w:t>
      </w:r>
    </w:p>
    <w:p w14:paraId="0D7FDC9E">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8. Hollins Martin CJ, Martin CR. Development and psychometric properties of the Birth Satisfaction Scale-Revised (BSS-R). Midwifery. 2014;30:610–619. https://doi.org/10.1016/j.midw.2013.10.006.</w:t>
      </w:r>
    </w:p>
    <w:p w14:paraId="33FA1C0C">
      <w:pPr>
        <w:spacing w:before="60" w:after="60" w:line="240" w:lineRule="auto"/>
        <w:rPr>
          <w:rFonts w:hint="default" w:ascii="Times New Roman" w:hAnsi="Times New Roman" w:cs="Times New Roman"/>
        </w:rPr>
      </w:pPr>
      <w:r>
        <w:rPr>
          <w:rFonts w:hint="default" w:ascii="Times New Roman" w:hAnsi="Times New Roman" w:eastAsia="Arial" w:cs="Times New Roman"/>
          <w:b w:val="0"/>
          <w:sz w:val="16"/>
        </w:rPr>
        <w:t>9. Ding YJ, Pu CS, Shan CJ, Wang YT, Xia JA, Yan XN, Zhang ZJ, Liu Y. Translation and validation of the Chinese version of the Birth Satisfaction Scale-Revised. Journal of Nursing Science. 2025;40(9):35–39.</w:t>
      </w:r>
    </w:p>
    <w:sectPr>
      <w:pgSz w:w="16834" w:h="11909" w:orient="landscape"/>
      <w:pgMar w:top="792" w:right="648" w:bottom="792" w:left="64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BF5A06"/>
    <w:rsid w:val="524C76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8"/>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2026-09-17T16:38:07Z</dcterms:created>
  <dc:creator>many1</dc:creator>
  <cp:lastModifiedBy>刘丽琼</cp:lastModifiedBy>
  <dcterms:modified xsi:type="dcterms:W3CDTF">2026-09-17T16:42:00Z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eyJoZGlkIjoiYWI1YjM1ODgxMjA5Mzg4OTY5ZTY3ZWZkYTFjNGEzZGMiLCJ1c2VySWQiOiIyNjUyNjAyMjcifQ==</vt:lpwstr>
  </property>
  <property fmtid="{D5CDD505-2E9C-101B-9397-08002B2CF9AE}" pid="4" name="ICV">
    <vt:lpwstr>D6BFD99AA99142B1ACC7E7CF38C76CAE_12</vt:lpwstr>
  </property>
</Properties>
</file>