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FCB6A" w14:textId="77777777" w:rsidR="006F3F92" w:rsidRPr="00475853" w:rsidRDefault="006F3F92" w:rsidP="006F3F92">
      <w:pPr>
        <w:spacing w:after="0" w:line="240" w:lineRule="auto"/>
        <w:ind w:left="-1134"/>
        <w:rPr>
          <w:rFonts w:ascii="Times New Roman" w:hAnsi="Times New Roman" w:cs="Times New Roman"/>
          <w:sz w:val="20"/>
          <w:szCs w:val="20"/>
        </w:rPr>
      </w:pPr>
      <w:r w:rsidRPr="00475853">
        <w:rPr>
          <w:rFonts w:ascii="Times New Roman" w:hAnsi="Times New Roman" w:cs="Times New Roman"/>
          <w:b/>
          <w:bCs/>
          <w:sz w:val="20"/>
          <w:szCs w:val="20"/>
        </w:rPr>
        <w:t>Appendix A</w:t>
      </w:r>
      <w:r w:rsidRPr="00475853">
        <w:rPr>
          <w:rFonts w:ascii="Times New Roman" w:hAnsi="Times New Roman" w:cs="Times New Roman"/>
          <w:sz w:val="20"/>
          <w:szCs w:val="20"/>
        </w:rPr>
        <w:t>. Written Bibliotherapy Assessment Rubric: Original Turkish Version and English Translation</w:t>
      </w:r>
    </w:p>
    <w:p w14:paraId="215B4DB8" w14:textId="77777777" w:rsidR="006F3F92" w:rsidRPr="00475853" w:rsidRDefault="006F3F92" w:rsidP="00E041A7">
      <w:pPr>
        <w:spacing w:before="240" w:after="0" w:line="240" w:lineRule="auto"/>
        <w:ind w:left="-1134"/>
        <w:rPr>
          <w:rFonts w:ascii="Times New Roman" w:hAnsi="Times New Roman" w:cs="Times New Roman"/>
          <w:sz w:val="20"/>
          <w:szCs w:val="20"/>
        </w:rPr>
      </w:pPr>
      <w:r w:rsidRPr="00475853">
        <w:rPr>
          <w:rFonts w:ascii="Times New Roman" w:hAnsi="Times New Roman" w:cs="Times New Roman"/>
          <w:b/>
          <w:bCs/>
          <w:sz w:val="20"/>
          <w:szCs w:val="20"/>
        </w:rPr>
        <w:t>Appendix A.1</w:t>
      </w:r>
      <w:r w:rsidRPr="00475853">
        <w:rPr>
          <w:rFonts w:ascii="Times New Roman" w:hAnsi="Times New Roman" w:cs="Times New Roman"/>
          <w:sz w:val="20"/>
          <w:szCs w:val="20"/>
        </w:rPr>
        <w:t>. English Translation: Written Bibliotherapy Assessment Rubric</w:t>
      </w:r>
    </w:p>
    <w:tbl>
      <w:tblPr>
        <w:tblStyle w:val="DzTablo2"/>
        <w:tblW w:w="0" w:type="auto"/>
        <w:tblInd w:w="-1026" w:type="dxa"/>
        <w:tblLook w:val="04A0" w:firstRow="1" w:lastRow="0" w:firstColumn="1" w:lastColumn="0" w:noHBand="0" w:noVBand="1"/>
      </w:tblPr>
      <w:tblGrid>
        <w:gridCol w:w="1452"/>
        <w:gridCol w:w="3693"/>
        <w:gridCol w:w="3559"/>
        <w:gridCol w:w="3032"/>
        <w:gridCol w:w="3294"/>
      </w:tblGrid>
      <w:tr w:rsidR="006F3F92" w:rsidRPr="00993908" w14:paraId="65238FA2" w14:textId="77777777" w:rsidTr="008808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C145C3" w14:textId="77777777" w:rsidR="006F3F92" w:rsidRPr="00993908" w:rsidRDefault="006F3F92" w:rsidP="00880893">
            <w:pPr>
              <w:rPr>
                <w:rFonts w:ascii="Times New Roman" w:hAnsi="Times New Roman" w:cs="Times New Roman"/>
                <w:sz w:val="20"/>
                <w:szCs w:val="20"/>
              </w:rPr>
            </w:pPr>
            <w:r w:rsidRPr="00993908">
              <w:rPr>
                <w:rFonts w:ascii="Times New Roman" w:hAnsi="Times New Roman" w:cs="Times New Roman"/>
                <w:sz w:val="20"/>
                <w:szCs w:val="20"/>
              </w:rPr>
              <w:t>Subdimension</w:t>
            </w:r>
          </w:p>
        </w:tc>
        <w:tc>
          <w:tcPr>
            <w:tcW w:w="0" w:type="auto"/>
            <w:hideMark/>
          </w:tcPr>
          <w:p w14:paraId="7F9E3356" w14:textId="77777777" w:rsidR="006F3F92" w:rsidRPr="00993908" w:rsidRDefault="006F3F92" w:rsidP="00880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4 (High)</w:t>
            </w:r>
          </w:p>
        </w:tc>
        <w:tc>
          <w:tcPr>
            <w:tcW w:w="0" w:type="auto"/>
            <w:hideMark/>
          </w:tcPr>
          <w:p w14:paraId="732460DA" w14:textId="77777777" w:rsidR="006F3F92" w:rsidRPr="00993908" w:rsidRDefault="006F3F92" w:rsidP="00880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3 (Adequate)</w:t>
            </w:r>
          </w:p>
        </w:tc>
        <w:tc>
          <w:tcPr>
            <w:tcW w:w="0" w:type="auto"/>
            <w:hideMark/>
          </w:tcPr>
          <w:p w14:paraId="55A479B7" w14:textId="77777777" w:rsidR="006F3F92" w:rsidRPr="00993908" w:rsidRDefault="006F3F92" w:rsidP="00880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2 (Developing)</w:t>
            </w:r>
          </w:p>
        </w:tc>
        <w:tc>
          <w:tcPr>
            <w:tcW w:w="0" w:type="auto"/>
            <w:hideMark/>
          </w:tcPr>
          <w:p w14:paraId="21DE3853" w14:textId="77777777" w:rsidR="006F3F92" w:rsidRPr="00993908" w:rsidRDefault="006F3F92" w:rsidP="00880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1 (Low)</w:t>
            </w:r>
          </w:p>
        </w:tc>
      </w:tr>
      <w:tr w:rsidR="006F3F92" w:rsidRPr="00993908" w14:paraId="46065435" w14:textId="77777777" w:rsidTr="00880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4A1EA2" w14:textId="77777777" w:rsidR="006F3F92" w:rsidRPr="00993908" w:rsidRDefault="006F3F92" w:rsidP="00880893">
            <w:pPr>
              <w:rPr>
                <w:rFonts w:ascii="Times New Roman" w:hAnsi="Times New Roman" w:cs="Times New Roman"/>
                <w:b w:val="0"/>
                <w:bCs w:val="0"/>
                <w:sz w:val="20"/>
                <w:szCs w:val="20"/>
              </w:rPr>
            </w:pPr>
            <w:r w:rsidRPr="00993908">
              <w:rPr>
                <w:rFonts w:ascii="Times New Roman" w:hAnsi="Times New Roman" w:cs="Times New Roman"/>
                <w:b w:val="0"/>
                <w:bCs w:val="0"/>
                <w:sz w:val="20"/>
                <w:szCs w:val="20"/>
              </w:rPr>
              <w:t>1. Identification</w:t>
            </w:r>
          </w:p>
        </w:tc>
        <w:tc>
          <w:tcPr>
            <w:tcW w:w="0" w:type="auto"/>
            <w:hideMark/>
          </w:tcPr>
          <w:p w14:paraId="5685EC17"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In the written response, the student establishes clear and detailed connections between the character’s experiences, emotions, or problems and their own life and explains the similarities and differences using concrete examples.</w:t>
            </w:r>
          </w:p>
        </w:tc>
        <w:tc>
          <w:tcPr>
            <w:tcW w:w="0" w:type="auto"/>
            <w:hideMark/>
          </w:tcPr>
          <w:p w14:paraId="6ABF13E2"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establishes a clear connection between the character and their own life; however, the explanations or examples supporting this connection are limited.</w:t>
            </w:r>
          </w:p>
        </w:tc>
        <w:tc>
          <w:tcPr>
            <w:tcW w:w="0" w:type="auto"/>
            <w:hideMark/>
          </w:tcPr>
          <w:p w14:paraId="3F6AA3A9"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establishes a superficial or implicit connection between the character and their own life but does not adequately explain or illustrate this connection.</w:t>
            </w:r>
          </w:p>
        </w:tc>
        <w:tc>
          <w:tcPr>
            <w:tcW w:w="0" w:type="auto"/>
            <w:hideMark/>
          </w:tcPr>
          <w:p w14:paraId="79156D12"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does not establish any connection between the character and their own life or provides explanations unrelated to the text.</w:t>
            </w:r>
          </w:p>
        </w:tc>
      </w:tr>
      <w:tr w:rsidR="006F3F92" w:rsidRPr="00993908" w14:paraId="3C723FA9" w14:textId="77777777" w:rsidTr="00880893">
        <w:tc>
          <w:tcPr>
            <w:cnfStyle w:val="001000000000" w:firstRow="0" w:lastRow="0" w:firstColumn="1" w:lastColumn="0" w:oddVBand="0" w:evenVBand="0" w:oddHBand="0" w:evenHBand="0" w:firstRowFirstColumn="0" w:firstRowLastColumn="0" w:lastRowFirstColumn="0" w:lastRowLastColumn="0"/>
            <w:tcW w:w="0" w:type="auto"/>
            <w:hideMark/>
          </w:tcPr>
          <w:p w14:paraId="7BD95B14" w14:textId="77777777" w:rsidR="006F3F92" w:rsidRPr="00993908" w:rsidRDefault="006F3F92" w:rsidP="00880893">
            <w:pPr>
              <w:rPr>
                <w:rFonts w:ascii="Times New Roman" w:hAnsi="Times New Roman" w:cs="Times New Roman"/>
                <w:sz w:val="20"/>
                <w:szCs w:val="20"/>
              </w:rPr>
            </w:pPr>
            <w:r w:rsidRPr="00993908">
              <w:rPr>
                <w:rFonts w:ascii="Times New Roman" w:hAnsi="Times New Roman" w:cs="Times New Roman"/>
                <w:b w:val="0"/>
                <w:bCs w:val="0"/>
                <w:sz w:val="20"/>
                <w:szCs w:val="20"/>
              </w:rPr>
              <w:t>2. Reflection</w:t>
            </w:r>
          </w:p>
        </w:tc>
        <w:tc>
          <w:tcPr>
            <w:tcW w:w="0" w:type="auto"/>
            <w:hideMark/>
          </w:tcPr>
          <w:p w14:paraId="5C8808B2" w14:textId="77777777" w:rsidR="006F3F92" w:rsidRPr="00993908" w:rsidRDefault="006F3F92" w:rsidP="0088089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In the written response, the student evaluates the events, characters’ behaviors and decisions, or the problems they encounter from different perspectives and explains their views coherently and with justification.</w:t>
            </w:r>
          </w:p>
        </w:tc>
        <w:tc>
          <w:tcPr>
            <w:tcW w:w="0" w:type="auto"/>
            <w:hideMark/>
          </w:tcPr>
          <w:p w14:paraId="69C28D5F" w14:textId="77777777" w:rsidR="006F3F92" w:rsidRPr="00993908" w:rsidRDefault="006F3F92" w:rsidP="0088089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evaluates the events or characters’ behaviors and explains their views clearly; however, the depth of the evaluation or the supporting justification is limited.</w:t>
            </w:r>
          </w:p>
        </w:tc>
        <w:tc>
          <w:tcPr>
            <w:tcW w:w="0" w:type="auto"/>
            <w:hideMark/>
          </w:tcPr>
          <w:p w14:paraId="67B66740" w14:textId="77777777" w:rsidR="006F3F92" w:rsidRPr="00993908" w:rsidRDefault="006F3F92" w:rsidP="0088089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primarily describes or summarizes the events or characters’ behaviors; the evaluations are superficial and insufficiently justified.</w:t>
            </w:r>
          </w:p>
        </w:tc>
        <w:tc>
          <w:tcPr>
            <w:tcW w:w="0" w:type="auto"/>
            <w:hideMark/>
          </w:tcPr>
          <w:p w14:paraId="5BA3F81C" w14:textId="77777777" w:rsidR="006F3F92" w:rsidRPr="00993908" w:rsidRDefault="006F3F92" w:rsidP="0088089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does not evaluate the events, behaviors, or problems presented in the text and provides only irrelevant or unclear statements.</w:t>
            </w:r>
          </w:p>
        </w:tc>
      </w:tr>
      <w:tr w:rsidR="006F3F92" w:rsidRPr="00993908" w14:paraId="40F95F6D" w14:textId="77777777" w:rsidTr="00880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01090B" w14:textId="77777777" w:rsidR="006F3F92" w:rsidRPr="00993908" w:rsidRDefault="006F3F92" w:rsidP="00880893">
            <w:pPr>
              <w:rPr>
                <w:rFonts w:ascii="Times New Roman" w:hAnsi="Times New Roman" w:cs="Times New Roman"/>
                <w:sz w:val="20"/>
                <w:szCs w:val="20"/>
              </w:rPr>
            </w:pPr>
            <w:r w:rsidRPr="00993908">
              <w:rPr>
                <w:rFonts w:ascii="Times New Roman" w:hAnsi="Times New Roman" w:cs="Times New Roman"/>
                <w:b w:val="0"/>
                <w:bCs w:val="0"/>
                <w:sz w:val="20"/>
                <w:szCs w:val="20"/>
              </w:rPr>
              <w:t>3. Catharsis</w:t>
            </w:r>
          </w:p>
        </w:tc>
        <w:tc>
          <w:tcPr>
            <w:tcW w:w="0" w:type="auto"/>
            <w:hideMark/>
          </w:tcPr>
          <w:p w14:paraId="70C4ABE2"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In the written response, the student expresses clearly and in detail the emotions evoked by the text and explains any changes in emotion that they report experiencing during the reading and writing process.</w:t>
            </w:r>
          </w:p>
        </w:tc>
        <w:tc>
          <w:tcPr>
            <w:tcW w:w="0" w:type="auto"/>
            <w:hideMark/>
          </w:tcPr>
          <w:p w14:paraId="4402E27B"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expresses clearly and comprehensibly the emotions evoked by the text; however, explanations regarding changes in these emotions are limited.</w:t>
            </w:r>
          </w:p>
        </w:tc>
        <w:tc>
          <w:tcPr>
            <w:tcW w:w="0" w:type="auto"/>
            <w:hideMark/>
          </w:tcPr>
          <w:p w14:paraId="3DB75962"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mentions one or more emotions but does not elaborate on them or explain any emotional change.</w:t>
            </w:r>
          </w:p>
        </w:tc>
        <w:tc>
          <w:tcPr>
            <w:tcW w:w="0" w:type="auto"/>
            <w:hideMark/>
          </w:tcPr>
          <w:p w14:paraId="3DECD021"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does not address the emotions evoked by the text or does not express their emotional responses comprehensibly.</w:t>
            </w:r>
          </w:p>
        </w:tc>
      </w:tr>
      <w:tr w:rsidR="006F3F92" w:rsidRPr="00993908" w14:paraId="57D1475D" w14:textId="77777777" w:rsidTr="00880893">
        <w:tc>
          <w:tcPr>
            <w:cnfStyle w:val="001000000000" w:firstRow="0" w:lastRow="0" w:firstColumn="1" w:lastColumn="0" w:oddVBand="0" w:evenVBand="0" w:oddHBand="0" w:evenHBand="0" w:firstRowFirstColumn="0" w:firstRowLastColumn="0" w:lastRowFirstColumn="0" w:lastRowLastColumn="0"/>
            <w:tcW w:w="0" w:type="auto"/>
            <w:hideMark/>
          </w:tcPr>
          <w:p w14:paraId="39CE9F7B" w14:textId="77777777" w:rsidR="006F3F92" w:rsidRPr="00993908" w:rsidRDefault="006F3F92" w:rsidP="00880893">
            <w:pPr>
              <w:rPr>
                <w:rFonts w:ascii="Times New Roman" w:hAnsi="Times New Roman" w:cs="Times New Roman"/>
                <w:sz w:val="20"/>
                <w:szCs w:val="20"/>
              </w:rPr>
            </w:pPr>
            <w:r w:rsidRPr="00993908">
              <w:rPr>
                <w:rFonts w:ascii="Times New Roman" w:hAnsi="Times New Roman" w:cs="Times New Roman"/>
                <w:b w:val="0"/>
                <w:bCs w:val="0"/>
                <w:sz w:val="20"/>
                <w:szCs w:val="20"/>
              </w:rPr>
              <w:t>4. Insight</w:t>
            </w:r>
          </w:p>
        </w:tc>
        <w:tc>
          <w:tcPr>
            <w:tcW w:w="0" w:type="auto"/>
            <w:hideMark/>
          </w:tcPr>
          <w:p w14:paraId="46C90514" w14:textId="77777777" w:rsidR="006F3F92" w:rsidRPr="00993908" w:rsidRDefault="006F3F92" w:rsidP="0088089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In the written response, the student demonstrates a new and meaningful awareness of their own emotions, thoughts, or behaviors based on the text and explains the reasons for and personal significance of this awareness.</w:t>
            </w:r>
          </w:p>
        </w:tc>
        <w:tc>
          <w:tcPr>
            <w:tcW w:w="0" w:type="auto"/>
            <w:hideMark/>
          </w:tcPr>
          <w:p w14:paraId="28D4B07A" w14:textId="77777777" w:rsidR="006F3F92" w:rsidRPr="00993908" w:rsidRDefault="006F3F92" w:rsidP="0088089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expresses meaningful awareness of their own emotions, thoughts, or behaviors; however, the reasons for or personal significance of this awareness are explained only to a limited extent.</w:t>
            </w:r>
          </w:p>
        </w:tc>
        <w:tc>
          <w:tcPr>
            <w:tcW w:w="0" w:type="auto"/>
            <w:hideMark/>
          </w:tcPr>
          <w:p w14:paraId="0282F47E" w14:textId="77777777" w:rsidR="006F3F92" w:rsidRPr="00993908" w:rsidRDefault="006F3F92" w:rsidP="0088089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expresses a general or unclear awareness of themselves but does not demonstrate a new understanding or sufficiently develop the explanation.</w:t>
            </w:r>
          </w:p>
        </w:tc>
        <w:tc>
          <w:tcPr>
            <w:tcW w:w="0" w:type="auto"/>
            <w:hideMark/>
          </w:tcPr>
          <w:p w14:paraId="74EA33C7" w14:textId="77777777" w:rsidR="006F3F92" w:rsidRPr="00993908" w:rsidRDefault="006F3F92" w:rsidP="0088089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does not demonstrate any awareness of their own emotions, thoughts, or behaviors.</w:t>
            </w:r>
          </w:p>
        </w:tc>
      </w:tr>
      <w:tr w:rsidR="006F3F92" w:rsidRPr="00993908" w14:paraId="03FB8C8D" w14:textId="77777777" w:rsidTr="00880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BA51D" w14:textId="77777777" w:rsidR="006F3F92" w:rsidRPr="00993908" w:rsidRDefault="006F3F92" w:rsidP="00880893">
            <w:pPr>
              <w:rPr>
                <w:rFonts w:ascii="Times New Roman" w:hAnsi="Times New Roman" w:cs="Times New Roman"/>
                <w:sz w:val="20"/>
                <w:szCs w:val="20"/>
              </w:rPr>
            </w:pPr>
            <w:r w:rsidRPr="00993908">
              <w:rPr>
                <w:rFonts w:ascii="Times New Roman" w:hAnsi="Times New Roman" w:cs="Times New Roman"/>
                <w:b w:val="0"/>
                <w:bCs w:val="0"/>
                <w:sz w:val="20"/>
                <w:szCs w:val="20"/>
              </w:rPr>
              <w:t>5. Generalization</w:t>
            </w:r>
          </w:p>
        </w:tc>
        <w:tc>
          <w:tcPr>
            <w:tcW w:w="0" w:type="auto"/>
            <w:hideMark/>
          </w:tcPr>
          <w:p w14:paraId="5DE9F358"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In the written response, the student transfers the learning gained from the text to similar situations in daily life and proposes concrete, realistic, and feasible solutions or courses of action that could be used in the future.</w:t>
            </w:r>
          </w:p>
        </w:tc>
        <w:tc>
          <w:tcPr>
            <w:tcW w:w="0" w:type="auto"/>
            <w:hideMark/>
          </w:tcPr>
          <w:p w14:paraId="73295E71"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relates the lesson drawn from the text to daily life and proposes a feasible solution or course of action; however, the explanation contains limited detail.</w:t>
            </w:r>
          </w:p>
        </w:tc>
        <w:tc>
          <w:tcPr>
            <w:tcW w:w="0" w:type="auto"/>
            <w:hideMark/>
          </w:tcPr>
          <w:p w14:paraId="15190F56"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draws a general or superficial conclusion from the text but does not relate it to a specific life situation, or the proposed solution has limited feasibility.</w:t>
            </w:r>
          </w:p>
        </w:tc>
        <w:tc>
          <w:tcPr>
            <w:tcW w:w="0" w:type="auto"/>
            <w:hideMark/>
          </w:tcPr>
          <w:p w14:paraId="7D6E1A80" w14:textId="77777777" w:rsidR="006F3F92" w:rsidRPr="00993908" w:rsidRDefault="006F3F92" w:rsidP="0088089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3908">
              <w:rPr>
                <w:rFonts w:ascii="Times New Roman" w:hAnsi="Times New Roman" w:cs="Times New Roman"/>
                <w:sz w:val="20"/>
                <w:szCs w:val="20"/>
              </w:rPr>
              <w:t>The student does not draw any conclusion that can be transferred from the text to daily life, does not establish a connection with daily life, or offers irrelevant suggestions.</w:t>
            </w:r>
          </w:p>
        </w:tc>
      </w:tr>
    </w:tbl>
    <w:p w14:paraId="644BAE00" w14:textId="77777777" w:rsidR="006F3F92" w:rsidRDefault="006F3F92" w:rsidP="006F3F92">
      <w:pPr>
        <w:spacing w:before="240" w:after="0"/>
        <w:ind w:left="-1134"/>
        <w:jc w:val="both"/>
        <w:rPr>
          <w:rFonts w:ascii="Times New Roman" w:hAnsi="Times New Roman" w:cs="Times New Roman"/>
          <w:sz w:val="20"/>
          <w:szCs w:val="20"/>
        </w:rPr>
      </w:pPr>
      <w:r w:rsidRPr="00993908">
        <w:rPr>
          <w:rFonts w:ascii="Times New Roman" w:hAnsi="Times New Roman" w:cs="Times New Roman"/>
          <w:b/>
          <w:bCs/>
          <w:sz w:val="20"/>
          <w:szCs w:val="20"/>
        </w:rPr>
        <w:t xml:space="preserve">Scoring and interpretation: </w:t>
      </w:r>
      <w:r w:rsidRPr="00993908">
        <w:rPr>
          <w:rFonts w:ascii="Times New Roman" w:hAnsi="Times New Roman" w:cs="Times New Roman"/>
          <w:sz w:val="20"/>
          <w:szCs w:val="20"/>
        </w:rPr>
        <w:t>Each subdimension is rated on a scale from 1 to 4 based on the evidence present in the student’s written response. The total score across the five dimensions ranges from 5 to 20. Using an equal-interval approach, scores of 5-8 indicate a low level, 9-12 a developing level, 13-16 an adequate level, and 17-20 a high level of written bibliotherapeutic engagement. A higher score indicates that the written content produced in response to a text is richer and more developed in terms of bibliotherapeutic features. However, the rubric does not assess formal features of writing, such as grammar, spelling, and punctuation.</w:t>
      </w:r>
    </w:p>
    <w:p w14:paraId="465F195B" w14:textId="77777777" w:rsidR="006F3F92" w:rsidRPr="00993908" w:rsidRDefault="006F3F92" w:rsidP="006F3F92">
      <w:pPr>
        <w:spacing w:before="240" w:after="0"/>
        <w:ind w:left="-1134"/>
        <w:jc w:val="both"/>
        <w:rPr>
          <w:rFonts w:ascii="Times New Roman" w:hAnsi="Times New Roman" w:cs="Times New Roman"/>
          <w:sz w:val="18"/>
          <w:szCs w:val="18"/>
        </w:rPr>
      </w:pPr>
      <w:r w:rsidRPr="00475853">
        <w:rPr>
          <w:rFonts w:ascii="Times New Roman" w:hAnsi="Times New Roman" w:cs="Times New Roman"/>
          <w:b/>
          <w:bCs/>
          <w:sz w:val="20"/>
          <w:szCs w:val="20"/>
        </w:rPr>
        <w:lastRenderedPageBreak/>
        <w:t>Appendix A.2.</w:t>
      </w:r>
      <w:r w:rsidRPr="00475853">
        <w:rPr>
          <w:rFonts w:ascii="Times New Roman" w:hAnsi="Times New Roman" w:cs="Times New Roman"/>
          <w:sz w:val="20"/>
          <w:szCs w:val="20"/>
        </w:rPr>
        <w:t xml:space="preserve"> Original Turkish Version:</w:t>
      </w:r>
      <w:r w:rsidRPr="00475853">
        <w:rPr>
          <w:rFonts w:ascii="Times New Roman" w:hAnsi="Times New Roman" w:cs="Times New Roman"/>
          <w:sz w:val="20"/>
          <w:szCs w:val="20"/>
          <w:lang w:val="tr-TR"/>
        </w:rPr>
        <w:t xml:space="preserve"> Yazılı Bibliyoterapi Değerlendirme Rubriği</w:t>
      </w:r>
    </w:p>
    <w:tbl>
      <w:tblPr>
        <w:tblStyle w:val="DzTablo2"/>
        <w:tblW w:w="15168" w:type="dxa"/>
        <w:tblInd w:w="-1026" w:type="dxa"/>
        <w:tblLook w:val="04A0" w:firstRow="1" w:lastRow="0" w:firstColumn="1" w:lastColumn="0" w:noHBand="0" w:noVBand="1"/>
      </w:tblPr>
      <w:tblGrid>
        <w:gridCol w:w="1689"/>
        <w:gridCol w:w="3614"/>
        <w:gridCol w:w="3402"/>
        <w:gridCol w:w="3469"/>
        <w:gridCol w:w="2994"/>
      </w:tblGrid>
      <w:tr w:rsidR="006F3F92" w:rsidRPr="00475853" w14:paraId="543F01BF" w14:textId="77777777" w:rsidTr="008808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95C8C5A" w14:textId="77777777" w:rsidR="006F3F92" w:rsidRPr="00475853" w:rsidRDefault="006F3F92" w:rsidP="00880893">
            <w:pPr>
              <w:jc w:val="both"/>
              <w:rPr>
                <w:rFonts w:ascii="Times New Roman" w:hAnsi="Times New Roman" w:cs="Times New Roman"/>
                <w:sz w:val="20"/>
                <w:szCs w:val="20"/>
                <w:lang w:val="tr-TR"/>
              </w:rPr>
            </w:pPr>
            <w:r w:rsidRPr="00475853">
              <w:rPr>
                <w:rFonts w:ascii="Times New Roman" w:hAnsi="Times New Roman" w:cs="Times New Roman"/>
                <w:sz w:val="20"/>
                <w:szCs w:val="20"/>
                <w:lang w:val="tr-TR"/>
              </w:rPr>
              <w:t>Alt Boyut</w:t>
            </w:r>
          </w:p>
        </w:tc>
        <w:tc>
          <w:tcPr>
            <w:tcW w:w="3614" w:type="dxa"/>
          </w:tcPr>
          <w:p w14:paraId="7E813FCB" w14:textId="77777777" w:rsidR="006F3F92" w:rsidRPr="00475853" w:rsidRDefault="006F3F92" w:rsidP="0088089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4 (Yüksek)</w:t>
            </w:r>
          </w:p>
        </w:tc>
        <w:tc>
          <w:tcPr>
            <w:tcW w:w="3402" w:type="dxa"/>
          </w:tcPr>
          <w:p w14:paraId="3F794C8D" w14:textId="77777777" w:rsidR="006F3F92" w:rsidRPr="00475853" w:rsidRDefault="006F3F92" w:rsidP="0088089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3 (Yeterli)</w:t>
            </w:r>
          </w:p>
        </w:tc>
        <w:tc>
          <w:tcPr>
            <w:tcW w:w="0" w:type="auto"/>
          </w:tcPr>
          <w:p w14:paraId="2B7A962A" w14:textId="77777777" w:rsidR="006F3F92" w:rsidRPr="00475853" w:rsidRDefault="006F3F92" w:rsidP="0088089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2 (Gelişmekte)</w:t>
            </w:r>
          </w:p>
        </w:tc>
        <w:tc>
          <w:tcPr>
            <w:tcW w:w="2994" w:type="dxa"/>
          </w:tcPr>
          <w:p w14:paraId="18DF940A" w14:textId="77777777" w:rsidR="006F3F92" w:rsidRPr="00475853" w:rsidRDefault="006F3F92" w:rsidP="0088089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1 (Düşük)</w:t>
            </w:r>
          </w:p>
        </w:tc>
      </w:tr>
      <w:tr w:rsidR="006F3F92" w:rsidRPr="00475853" w14:paraId="05D15FDD" w14:textId="77777777" w:rsidTr="00880893">
        <w:trPr>
          <w:cnfStyle w:val="000000100000" w:firstRow="0" w:lastRow="0" w:firstColumn="0" w:lastColumn="0" w:oddVBand="0" w:evenVBand="0" w:oddHBand="1" w:evenHBand="0" w:firstRowFirstColumn="0" w:firstRowLastColumn="0" w:lastRowFirstColumn="0" w:lastRowLastColumn="0"/>
          <w:trHeight w:val="1056"/>
        </w:trPr>
        <w:tc>
          <w:tcPr>
            <w:cnfStyle w:val="001000000000" w:firstRow="0" w:lastRow="0" w:firstColumn="1" w:lastColumn="0" w:oddVBand="0" w:evenVBand="0" w:oddHBand="0" w:evenHBand="0" w:firstRowFirstColumn="0" w:firstRowLastColumn="0" w:lastRowFirstColumn="0" w:lastRowLastColumn="0"/>
            <w:tcW w:w="0" w:type="auto"/>
            <w:hideMark/>
          </w:tcPr>
          <w:p w14:paraId="1032EC7C" w14:textId="77777777" w:rsidR="006F3F92" w:rsidRPr="00475853" w:rsidRDefault="006F3F92" w:rsidP="00880893">
            <w:pPr>
              <w:spacing w:after="200"/>
              <w:jc w:val="both"/>
              <w:rPr>
                <w:rFonts w:ascii="Times New Roman" w:hAnsi="Times New Roman" w:cs="Times New Roman"/>
                <w:b w:val="0"/>
                <w:bCs w:val="0"/>
                <w:sz w:val="20"/>
                <w:szCs w:val="20"/>
                <w:lang w:val="tr-TR"/>
              </w:rPr>
            </w:pPr>
            <w:r w:rsidRPr="00475853">
              <w:rPr>
                <w:rFonts w:ascii="Times New Roman" w:hAnsi="Times New Roman" w:cs="Times New Roman"/>
                <w:b w:val="0"/>
                <w:bCs w:val="0"/>
                <w:sz w:val="20"/>
                <w:szCs w:val="20"/>
                <w:lang w:val="tr-TR"/>
              </w:rPr>
              <w:t>1. Özdeşim (</w:t>
            </w:r>
            <w:proofErr w:type="spellStart"/>
            <w:r w:rsidRPr="00475853">
              <w:rPr>
                <w:rFonts w:ascii="Times New Roman" w:hAnsi="Times New Roman" w:cs="Times New Roman"/>
                <w:b w:val="0"/>
                <w:bCs w:val="0"/>
                <w:sz w:val="20"/>
                <w:szCs w:val="20"/>
                <w:lang w:val="tr-TR"/>
              </w:rPr>
              <w:t>Identification</w:t>
            </w:r>
            <w:proofErr w:type="spellEnd"/>
            <w:r w:rsidRPr="00475853">
              <w:rPr>
                <w:rFonts w:ascii="Times New Roman" w:hAnsi="Times New Roman" w:cs="Times New Roman"/>
                <w:b w:val="0"/>
                <w:bCs w:val="0"/>
                <w:sz w:val="20"/>
                <w:szCs w:val="20"/>
                <w:lang w:val="tr-TR"/>
              </w:rPr>
              <w:t>)</w:t>
            </w:r>
          </w:p>
        </w:tc>
        <w:tc>
          <w:tcPr>
            <w:tcW w:w="3614" w:type="dxa"/>
            <w:hideMark/>
          </w:tcPr>
          <w:p w14:paraId="0CA6FA56"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Yazılı yanıtında karakterin yaşantıları, duyguları veya karşılaştığı sorunlar ile kendi yaşamı arasında açık ve ayrıntılı bağlantılar kurar; benzerlikleri ve farklılıkları somut örneklerle açıklar.</w:t>
            </w:r>
          </w:p>
        </w:tc>
        <w:tc>
          <w:tcPr>
            <w:tcW w:w="3402" w:type="dxa"/>
            <w:hideMark/>
          </w:tcPr>
          <w:p w14:paraId="7CDE6BF0"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Karakter ile kendi yaşamı arasında açık bir bağlantı kurar; ancak bağlantıya ilişkin açıklamaları veya örnekleri sınırlıdır.</w:t>
            </w:r>
          </w:p>
        </w:tc>
        <w:tc>
          <w:tcPr>
            <w:tcW w:w="0" w:type="auto"/>
            <w:hideMark/>
          </w:tcPr>
          <w:p w14:paraId="7BDFC6F4"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Karakter ile kendi yaşamı arasında yüzeysel veya örtük bir bağlantı kurar; bu bağlantıyı yeterince açıklamaz ya da örneklendirmez.</w:t>
            </w:r>
          </w:p>
        </w:tc>
        <w:tc>
          <w:tcPr>
            <w:tcW w:w="2994" w:type="dxa"/>
            <w:hideMark/>
          </w:tcPr>
          <w:p w14:paraId="52E066B7"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Karakter ile kendi yaşamı arasında herhangi bir bağlantı kurmaz veya metinle ilgisi bulunmayan açıklamalar sunar.</w:t>
            </w:r>
          </w:p>
        </w:tc>
      </w:tr>
      <w:tr w:rsidR="006F3F92" w:rsidRPr="00475853" w14:paraId="02DC7C0B" w14:textId="77777777" w:rsidTr="00880893">
        <w:trPr>
          <w:trHeight w:val="949"/>
        </w:trPr>
        <w:tc>
          <w:tcPr>
            <w:cnfStyle w:val="001000000000" w:firstRow="0" w:lastRow="0" w:firstColumn="1" w:lastColumn="0" w:oddVBand="0" w:evenVBand="0" w:oddHBand="0" w:evenHBand="0" w:firstRowFirstColumn="0" w:firstRowLastColumn="0" w:lastRowFirstColumn="0" w:lastRowLastColumn="0"/>
            <w:tcW w:w="0" w:type="auto"/>
            <w:hideMark/>
          </w:tcPr>
          <w:p w14:paraId="4C574B8B" w14:textId="77777777" w:rsidR="006F3F92" w:rsidRPr="00475853" w:rsidRDefault="006F3F92" w:rsidP="00880893">
            <w:pPr>
              <w:spacing w:after="200"/>
              <w:jc w:val="both"/>
              <w:rPr>
                <w:rFonts w:ascii="Times New Roman" w:hAnsi="Times New Roman" w:cs="Times New Roman"/>
                <w:b w:val="0"/>
                <w:bCs w:val="0"/>
                <w:sz w:val="20"/>
                <w:szCs w:val="20"/>
                <w:lang w:val="tr-TR"/>
              </w:rPr>
            </w:pPr>
            <w:r w:rsidRPr="00475853">
              <w:rPr>
                <w:rFonts w:ascii="Times New Roman" w:hAnsi="Times New Roman" w:cs="Times New Roman"/>
                <w:b w:val="0"/>
                <w:bCs w:val="0"/>
                <w:sz w:val="20"/>
                <w:szCs w:val="20"/>
                <w:lang w:val="tr-TR"/>
              </w:rPr>
              <w:t>2. Yansıtma (</w:t>
            </w:r>
            <w:proofErr w:type="spellStart"/>
            <w:r w:rsidRPr="00475853">
              <w:rPr>
                <w:rFonts w:ascii="Times New Roman" w:hAnsi="Times New Roman" w:cs="Times New Roman"/>
                <w:b w:val="0"/>
                <w:bCs w:val="0"/>
                <w:sz w:val="20"/>
                <w:szCs w:val="20"/>
                <w:lang w:val="tr-TR"/>
              </w:rPr>
              <w:t>Reflection</w:t>
            </w:r>
            <w:proofErr w:type="spellEnd"/>
            <w:r w:rsidRPr="00475853">
              <w:rPr>
                <w:rFonts w:ascii="Times New Roman" w:hAnsi="Times New Roman" w:cs="Times New Roman"/>
                <w:b w:val="0"/>
                <w:bCs w:val="0"/>
                <w:sz w:val="20"/>
                <w:szCs w:val="20"/>
                <w:lang w:val="tr-TR"/>
              </w:rPr>
              <w:t>)</w:t>
            </w:r>
          </w:p>
        </w:tc>
        <w:tc>
          <w:tcPr>
            <w:tcW w:w="3614" w:type="dxa"/>
            <w:hideMark/>
          </w:tcPr>
          <w:p w14:paraId="4BF9FE6B" w14:textId="77777777" w:rsidR="006F3F92" w:rsidRPr="00475853" w:rsidRDefault="006F3F92" w:rsidP="00880893">
            <w:pPr>
              <w:spacing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Yazılı yanıtında metindeki olayları, karakterlerin davranışlarını, kararlarını veya karşılaştıkları sorunları farklı açılardan değerlendirir; görüşlerini gerekçeli ve tutarlı biçimde açıklar.</w:t>
            </w:r>
          </w:p>
        </w:tc>
        <w:tc>
          <w:tcPr>
            <w:tcW w:w="3402" w:type="dxa"/>
            <w:hideMark/>
          </w:tcPr>
          <w:p w14:paraId="50A2306D" w14:textId="77777777" w:rsidR="006F3F92" w:rsidRPr="00475853" w:rsidRDefault="006F3F92" w:rsidP="00880893">
            <w:pPr>
              <w:spacing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Metindeki olayları veya karakterlerin davranışlarını değerlendirir ve görüşlerini anlaşılır biçimde açıklar; ancak değerlendirmesinin derinliği veya gerekçeleri sınırlıdır.</w:t>
            </w:r>
          </w:p>
        </w:tc>
        <w:tc>
          <w:tcPr>
            <w:tcW w:w="0" w:type="auto"/>
            <w:hideMark/>
          </w:tcPr>
          <w:p w14:paraId="7928B277" w14:textId="77777777" w:rsidR="006F3F92" w:rsidRPr="00475853" w:rsidRDefault="006F3F92" w:rsidP="00880893">
            <w:pPr>
              <w:spacing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Metindeki olayları veya karakterlerin davranışlarını çoğunlukla betimler ya da özetler; değerlendirmeleri yüzeysel ve yeterince gerekçelendirilmemiştir.</w:t>
            </w:r>
          </w:p>
        </w:tc>
        <w:tc>
          <w:tcPr>
            <w:tcW w:w="2994" w:type="dxa"/>
            <w:hideMark/>
          </w:tcPr>
          <w:p w14:paraId="29537C83" w14:textId="77777777" w:rsidR="006F3F92" w:rsidRPr="00475853" w:rsidRDefault="006F3F92" w:rsidP="00880893">
            <w:pPr>
              <w:spacing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Metindeki olay, davranış veya sorunlara ilişkin herhangi bir değerlendirme yapmaz; yalnızca ilgisiz veya belirsiz ifadeler sunar.</w:t>
            </w:r>
          </w:p>
        </w:tc>
      </w:tr>
      <w:tr w:rsidR="006F3F92" w:rsidRPr="00475853" w14:paraId="05BDC43A" w14:textId="77777777" w:rsidTr="00880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8F6C4A" w14:textId="77777777" w:rsidR="006F3F92" w:rsidRPr="00475853" w:rsidRDefault="006F3F92" w:rsidP="00880893">
            <w:pPr>
              <w:spacing w:after="200"/>
              <w:jc w:val="both"/>
              <w:rPr>
                <w:rFonts w:ascii="Times New Roman" w:hAnsi="Times New Roman" w:cs="Times New Roman"/>
                <w:b w:val="0"/>
                <w:bCs w:val="0"/>
                <w:sz w:val="20"/>
                <w:szCs w:val="20"/>
                <w:lang w:val="tr-TR"/>
              </w:rPr>
            </w:pPr>
            <w:r w:rsidRPr="00475853">
              <w:rPr>
                <w:rFonts w:ascii="Times New Roman" w:hAnsi="Times New Roman" w:cs="Times New Roman"/>
                <w:b w:val="0"/>
                <w:bCs w:val="0"/>
                <w:sz w:val="20"/>
                <w:szCs w:val="20"/>
                <w:lang w:val="tr-TR"/>
              </w:rPr>
              <w:t>3. Duygusal Boşalım (</w:t>
            </w:r>
            <w:proofErr w:type="spellStart"/>
            <w:r w:rsidRPr="00475853">
              <w:rPr>
                <w:rFonts w:ascii="Times New Roman" w:hAnsi="Times New Roman" w:cs="Times New Roman"/>
                <w:b w:val="0"/>
                <w:bCs w:val="0"/>
                <w:sz w:val="20"/>
                <w:szCs w:val="20"/>
                <w:lang w:val="tr-TR"/>
              </w:rPr>
              <w:t>Catharsis</w:t>
            </w:r>
            <w:proofErr w:type="spellEnd"/>
            <w:r w:rsidRPr="00475853">
              <w:rPr>
                <w:rFonts w:ascii="Times New Roman" w:hAnsi="Times New Roman" w:cs="Times New Roman"/>
                <w:b w:val="0"/>
                <w:bCs w:val="0"/>
                <w:sz w:val="20"/>
                <w:szCs w:val="20"/>
                <w:lang w:val="tr-TR"/>
              </w:rPr>
              <w:t>)</w:t>
            </w:r>
          </w:p>
        </w:tc>
        <w:tc>
          <w:tcPr>
            <w:tcW w:w="3614" w:type="dxa"/>
            <w:hideMark/>
          </w:tcPr>
          <w:p w14:paraId="1C3A38DD"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Yazılı yanıtında metnin kendisinde uyandırdığı duyguları açık ve ayrıntılı biçimde ifade eder; okuma ve yazma sürecinde duygularında meydana geldiğini belirttiği değişimi açıklar.</w:t>
            </w:r>
          </w:p>
        </w:tc>
        <w:tc>
          <w:tcPr>
            <w:tcW w:w="3402" w:type="dxa"/>
            <w:hideMark/>
          </w:tcPr>
          <w:p w14:paraId="00A448EF"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Metnin kendisinde uyandırdığı duyguları açık ve anlaşılır biçimde ifade eder; ancak duygularındaki değişime ilişkin açıklamaları sınırlıdır.</w:t>
            </w:r>
          </w:p>
        </w:tc>
        <w:tc>
          <w:tcPr>
            <w:tcW w:w="0" w:type="auto"/>
            <w:hideMark/>
          </w:tcPr>
          <w:p w14:paraId="398EB9B6"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Bir veya birkaç duygudan söz eder; ancak bu duyguları ayrıntılandırmaz ve duygularındaki herhangi bir değişimi açıklamaz.</w:t>
            </w:r>
          </w:p>
        </w:tc>
        <w:tc>
          <w:tcPr>
            <w:tcW w:w="2994" w:type="dxa"/>
            <w:hideMark/>
          </w:tcPr>
          <w:p w14:paraId="3377607F"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Metnin kendisinde uyandırdığı duygulara değinmez veya duygusal tepkilerini anlaşılır biçimde ifade etmez.</w:t>
            </w:r>
          </w:p>
        </w:tc>
      </w:tr>
      <w:tr w:rsidR="006F3F92" w:rsidRPr="00475853" w14:paraId="30D37213" w14:textId="77777777" w:rsidTr="00880893">
        <w:tc>
          <w:tcPr>
            <w:cnfStyle w:val="001000000000" w:firstRow="0" w:lastRow="0" w:firstColumn="1" w:lastColumn="0" w:oddVBand="0" w:evenVBand="0" w:oddHBand="0" w:evenHBand="0" w:firstRowFirstColumn="0" w:firstRowLastColumn="0" w:lastRowFirstColumn="0" w:lastRowLastColumn="0"/>
            <w:tcW w:w="0" w:type="auto"/>
            <w:hideMark/>
          </w:tcPr>
          <w:p w14:paraId="5C1DA19C" w14:textId="77777777" w:rsidR="006F3F92" w:rsidRPr="00475853" w:rsidRDefault="006F3F92" w:rsidP="00880893">
            <w:pPr>
              <w:spacing w:after="200"/>
              <w:jc w:val="both"/>
              <w:rPr>
                <w:rFonts w:ascii="Times New Roman" w:hAnsi="Times New Roman" w:cs="Times New Roman"/>
                <w:b w:val="0"/>
                <w:bCs w:val="0"/>
                <w:sz w:val="20"/>
                <w:szCs w:val="20"/>
                <w:lang w:val="tr-TR"/>
              </w:rPr>
            </w:pPr>
            <w:r w:rsidRPr="00475853">
              <w:rPr>
                <w:rFonts w:ascii="Times New Roman" w:hAnsi="Times New Roman" w:cs="Times New Roman"/>
                <w:b w:val="0"/>
                <w:bCs w:val="0"/>
                <w:sz w:val="20"/>
                <w:szCs w:val="20"/>
                <w:lang w:val="tr-TR"/>
              </w:rPr>
              <w:t>4. İçgörü (</w:t>
            </w:r>
            <w:proofErr w:type="spellStart"/>
            <w:r w:rsidRPr="00475853">
              <w:rPr>
                <w:rFonts w:ascii="Times New Roman" w:hAnsi="Times New Roman" w:cs="Times New Roman"/>
                <w:b w:val="0"/>
                <w:bCs w:val="0"/>
                <w:sz w:val="20"/>
                <w:szCs w:val="20"/>
                <w:lang w:val="tr-TR"/>
              </w:rPr>
              <w:t>Insight</w:t>
            </w:r>
            <w:proofErr w:type="spellEnd"/>
            <w:r w:rsidRPr="00475853">
              <w:rPr>
                <w:rFonts w:ascii="Times New Roman" w:hAnsi="Times New Roman" w:cs="Times New Roman"/>
                <w:b w:val="0"/>
                <w:bCs w:val="0"/>
                <w:sz w:val="20"/>
                <w:szCs w:val="20"/>
                <w:lang w:val="tr-TR"/>
              </w:rPr>
              <w:t>)</w:t>
            </w:r>
          </w:p>
        </w:tc>
        <w:tc>
          <w:tcPr>
            <w:tcW w:w="3614" w:type="dxa"/>
            <w:hideMark/>
          </w:tcPr>
          <w:p w14:paraId="77CDD4E1" w14:textId="77777777" w:rsidR="006F3F92" w:rsidRPr="00475853" w:rsidRDefault="006F3F92" w:rsidP="00880893">
            <w:pPr>
              <w:spacing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Yazılı yanıtında metinden hareketle kendi duygu, düşünce veya davranışlarına ilişkin yeni ve anlamlı bir farkındalık ortaya koyar; bu farkındalığın nedenlerini ve kendisi açısından anlamını açıklar.</w:t>
            </w:r>
          </w:p>
        </w:tc>
        <w:tc>
          <w:tcPr>
            <w:tcW w:w="3402" w:type="dxa"/>
            <w:hideMark/>
          </w:tcPr>
          <w:p w14:paraId="2E6CBB91" w14:textId="77777777" w:rsidR="006F3F92" w:rsidRPr="00475853" w:rsidRDefault="006F3F92" w:rsidP="00880893">
            <w:pPr>
              <w:spacing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Kendi duygu, düşünce veya davranışlarına ilişkin anlamlı bir farkındalık ifade eder; ancak bu farkındalığın nedenini veya kişisel anlamını sınırlı biçimde açıklar.</w:t>
            </w:r>
          </w:p>
        </w:tc>
        <w:tc>
          <w:tcPr>
            <w:tcW w:w="0" w:type="auto"/>
            <w:hideMark/>
          </w:tcPr>
          <w:p w14:paraId="1C647F06" w14:textId="77777777" w:rsidR="006F3F92" w:rsidRPr="00475853" w:rsidRDefault="006F3F92" w:rsidP="00880893">
            <w:pPr>
              <w:spacing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Kendisine ilişkin genel veya belirsiz bir farkındalık ifade eder; ancak yeni bir kavrayış ortaya koymaz ya da açıklamalarını yeterince geliştirmez.</w:t>
            </w:r>
          </w:p>
        </w:tc>
        <w:tc>
          <w:tcPr>
            <w:tcW w:w="2994" w:type="dxa"/>
            <w:hideMark/>
          </w:tcPr>
          <w:p w14:paraId="5669B862" w14:textId="77777777" w:rsidR="006F3F92" w:rsidRPr="00475853" w:rsidRDefault="006F3F92" w:rsidP="00880893">
            <w:pPr>
              <w:spacing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Kendi duygu, düşünce veya davranışlarına ilişkin herhangi bir farkındalık ortaya koymaz.</w:t>
            </w:r>
          </w:p>
        </w:tc>
      </w:tr>
      <w:tr w:rsidR="006F3F92" w:rsidRPr="00475853" w14:paraId="1756FE93" w14:textId="77777777" w:rsidTr="00880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CC2103" w14:textId="77777777" w:rsidR="006F3F92" w:rsidRPr="00475853" w:rsidRDefault="006F3F92" w:rsidP="00880893">
            <w:pPr>
              <w:spacing w:after="200"/>
              <w:jc w:val="both"/>
              <w:rPr>
                <w:rFonts w:ascii="Times New Roman" w:hAnsi="Times New Roman" w:cs="Times New Roman"/>
                <w:b w:val="0"/>
                <w:bCs w:val="0"/>
                <w:sz w:val="20"/>
                <w:szCs w:val="20"/>
                <w:lang w:val="tr-TR"/>
              </w:rPr>
            </w:pPr>
            <w:r w:rsidRPr="00475853">
              <w:rPr>
                <w:rFonts w:ascii="Times New Roman" w:hAnsi="Times New Roman" w:cs="Times New Roman"/>
                <w:b w:val="0"/>
                <w:bCs w:val="0"/>
                <w:sz w:val="20"/>
                <w:szCs w:val="20"/>
                <w:lang w:val="tr-TR"/>
              </w:rPr>
              <w:t>5. Genelleme (</w:t>
            </w:r>
            <w:proofErr w:type="spellStart"/>
            <w:r w:rsidRPr="00475853">
              <w:rPr>
                <w:rFonts w:ascii="Times New Roman" w:hAnsi="Times New Roman" w:cs="Times New Roman"/>
                <w:b w:val="0"/>
                <w:bCs w:val="0"/>
                <w:sz w:val="20"/>
                <w:szCs w:val="20"/>
                <w:lang w:val="tr-TR"/>
              </w:rPr>
              <w:t>Generalization</w:t>
            </w:r>
            <w:proofErr w:type="spellEnd"/>
            <w:r w:rsidRPr="00475853">
              <w:rPr>
                <w:rFonts w:ascii="Times New Roman" w:hAnsi="Times New Roman" w:cs="Times New Roman"/>
                <w:b w:val="0"/>
                <w:bCs w:val="0"/>
                <w:sz w:val="20"/>
                <w:szCs w:val="20"/>
                <w:lang w:val="tr-TR"/>
              </w:rPr>
              <w:t>)</w:t>
            </w:r>
          </w:p>
        </w:tc>
        <w:tc>
          <w:tcPr>
            <w:tcW w:w="3614" w:type="dxa"/>
            <w:hideMark/>
          </w:tcPr>
          <w:p w14:paraId="441B4F53"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Yazılı yanıtında metinden edindiği kazanımları günlük yaşamındaki benzer durumlara aktarır; gelecekte kullanabileceği somut, gerçekçi ve uygulanabilir çözüm veya davranış yolları önerir.</w:t>
            </w:r>
          </w:p>
        </w:tc>
        <w:tc>
          <w:tcPr>
            <w:tcW w:w="3402" w:type="dxa"/>
            <w:hideMark/>
          </w:tcPr>
          <w:p w14:paraId="66BEF7D2"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Metinden çıkardığı dersi günlük yaşamıyla ilişkilendirir ve uygulanabilir bir çözüm veya davranış yolu önerir; ancak açıklamalarının ayrıntısı sınırlıdır.</w:t>
            </w:r>
          </w:p>
        </w:tc>
        <w:tc>
          <w:tcPr>
            <w:tcW w:w="0" w:type="auto"/>
            <w:hideMark/>
          </w:tcPr>
          <w:p w14:paraId="473616DE"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Metinden genel veya yüzeysel bir çıkarım yapar; ancak bu çıkarımı belirli bir yaşam durumuyla ilişkilendirmez ya da önerisinin uygulanabilirliği zayıftır.</w:t>
            </w:r>
          </w:p>
        </w:tc>
        <w:tc>
          <w:tcPr>
            <w:tcW w:w="2994" w:type="dxa"/>
            <w:hideMark/>
          </w:tcPr>
          <w:p w14:paraId="01182BDA" w14:textId="77777777" w:rsidR="006F3F92" w:rsidRPr="00475853" w:rsidRDefault="006F3F92" w:rsidP="00880893">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tr-TR"/>
              </w:rPr>
            </w:pPr>
            <w:r w:rsidRPr="00475853">
              <w:rPr>
                <w:rFonts w:ascii="Times New Roman" w:hAnsi="Times New Roman" w:cs="Times New Roman"/>
                <w:sz w:val="20"/>
                <w:szCs w:val="20"/>
                <w:lang w:val="tr-TR"/>
              </w:rPr>
              <w:t>Metinden günlük yaşama aktarılabilecek herhangi bir çıkarım yapmaz, günlük yaşamla bağlantı kurmaz veya ilgisiz öneriler sunar.</w:t>
            </w:r>
          </w:p>
        </w:tc>
      </w:tr>
    </w:tbl>
    <w:p w14:paraId="515A58CE" w14:textId="10466D34" w:rsidR="002F5063" w:rsidRPr="006F3F92" w:rsidRDefault="006F3F92" w:rsidP="006F3F92">
      <w:pPr>
        <w:spacing w:before="240"/>
        <w:ind w:left="-1134"/>
        <w:rPr>
          <w:rFonts w:ascii="Times New Roman" w:hAnsi="Times New Roman" w:cs="Times New Roman"/>
          <w:sz w:val="20"/>
          <w:szCs w:val="20"/>
          <w:lang w:val="tr-TR"/>
        </w:rPr>
      </w:pPr>
      <w:r w:rsidRPr="00475853">
        <w:rPr>
          <w:rFonts w:ascii="Times New Roman" w:hAnsi="Times New Roman" w:cs="Times New Roman"/>
          <w:b/>
          <w:bCs/>
          <w:sz w:val="20"/>
          <w:szCs w:val="20"/>
          <w:lang w:val="tr-TR"/>
        </w:rPr>
        <w:t>Puanlama ve yorumlama</w:t>
      </w:r>
      <w:r w:rsidRPr="00475853">
        <w:rPr>
          <w:rFonts w:ascii="Times New Roman" w:hAnsi="Times New Roman" w:cs="Times New Roman"/>
          <w:sz w:val="20"/>
          <w:szCs w:val="20"/>
          <w:lang w:val="tr-TR"/>
        </w:rPr>
        <w:t xml:space="preserve">: Her alt boyut, öğrencinin yazılı yanıtında yer alan kanıtlara göre 1 ile 4 arasında puanlanır. Beş boyuttan alınabilecek toplam puan 5 ile 20 arasında değişmektedir. Eşit aralık yaklaşımına göre 5-8 puan düşük, 9-12 puan gelişmekte olan, 13-16 puan yeterli ve 17-20 puan yüksek düzeyde </w:t>
      </w:r>
      <w:proofErr w:type="spellStart"/>
      <w:r w:rsidRPr="00475853">
        <w:rPr>
          <w:rFonts w:ascii="Times New Roman" w:hAnsi="Times New Roman" w:cs="Times New Roman"/>
          <w:sz w:val="20"/>
          <w:szCs w:val="20"/>
          <w:lang w:val="tr-TR"/>
        </w:rPr>
        <w:t>bibliyoterapötik</w:t>
      </w:r>
      <w:proofErr w:type="spellEnd"/>
      <w:r w:rsidRPr="00475853">
        <w:rPr>
          <w:rFonts w:ascii="Times New Roman" w:hAnsi="Times New Roman" w:cs="Times New Roman"/>
          <w:sz w:val="20"/>
          <w:szCs w:val="20"/>
          <w:lang w:val="tr-TR"/>
        </w:rPr>
        <w:t xml:space="preserve"> yazılı katılımı göstermektedir. Yüksek puan, bir metinden hareketle oluşturulan yazılı içeriğin </w:t>
      </w:r>
      <w:proofErr w:type="spellStart"/>
      <w:r w:rsidRPr="00475853">
        <w:rPr>
          <w:rFonts w:ascii="Times New Roman" w:hAnsi="Times New Roman" w:cs="Times New Roman"/>
          <w:sz w:val="20"/>
          <w:szCs w:val="20"/>
          <w:lang w:val="tr-TR"/>
        </w:rPr>
        <w:t>bibliyoterapötik</w:t>
      </w:r>
      <w:proofErr w:type="spellEnd"/>
      <w:r w:rsidRPr="00475853">
        <w:rPr>
          <w:rFonts w:ascii="Times New Roman" w:hAnsi="Times New Roman" w:cs="Times New Roman"/>
          <w:sz w:val="20"/>
          <w:szCs w:val="20"/>
          <w:lang w:val="tr-TR"/>
        </w:rPr>
        <w:t xml:space="preserve"> özellikler bakımından zengin ve gelişmiş olduğunu göstermektedir. Bununla birlikte bu rubrik, yazının dil bilgisi, yazım ve noktalama gibi biçimsel özelliklerini değerlendirmemektedir</w:t>
      </w:r>
      <w:r>
        <w:rPr>
          <w:rFonts w:ascii="Times New Roman" w:hAnsi="Times New Roman" w:cs="Times New Roman"/>
          <w:sz w:val="20"/>
          <w:szCs w:val="20"/>
          <w:lang w:val="tr-TR"/>
        </w:rPr>
        <w:t xml:space="preserve">. </w:t>
      </w:r>
    </w:p>
    <w:sectPr w:rsidR="002F5063" w:rsidRPr="006F3F92" w:rsidSect="006F3F9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E3BA4" w14:textId="77777777" w:rsidR="00BB3053" w:rsidRDefault="00BB3053" w:rsidP="001D3094">
      <w:pPr>
        <w:spacing w:after="0" w:line="240" w:lineRule="auto"/>
      </w:pPr>
      <w:r>
        <w:separator/>
      </w:r>
    </w:p>
  </w:endnote>
  <w:endnote w:type="continuationSeparator" w:id="0">
    <w:p w14:paraId="5E0222CA" w14:textId="77777777" w:rsidR="00BB3053" w:rsidRDefault="00BB3053" w:rsidP="001D3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DFE11" w14:textId="77777777" w:rsidR="00BB3053" w:rsidRDefault="00BB3053" w:rsidP="001D3094">
      <w:pPr>
        <w:spacing w:after="0" w:line="240" w:lineRule="auto"/>
      </w:pPr>
      <w:r>
        <w:separator/>
      </w:r>
    </w:p>
  </w:footnote>
  <w:footnote w:type="continuationSeparator" w:id="0">
    <w:p w14:paraId="3EE5F79F" w14:textId="77777777" w:rsidR="00BB3053" w:rsidRDefault="00BB3053" w:rsidP="001D30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209340974">
    <w:abstractNumId w:val="8"/>
  </w:num>
  <w:num w:numId="2" w16cid:durableId="1357000325">
    <w:abstractNumId w:val="6"/>
  </w:num>
  <w:num w:numId="3" w16cid:durableId="1142964263">
    <w:abstractNumId w:val="5"/>
  </w:num>
  <w:num w:numId="4" w16cid:durableId="1444613557">
    <w:abstractNumId w:val="4"/>
  </w:num>
  <w:num w:numId="5" w16cid:durableId="855194665">
    <w:abstractNumId w:val="7"/>
  </w:num>
  <w:num w:numId="6" w16cid:durableId="2042246096">
    <w:abstractNumId w:val="3"/>
  </w:num>
  <w:num w:numId="7" w16cid:durableId="35979802">
    <w:abstractNumId w:val="2"/>
  </w:num>
  <w:num w:numId="8" w16cid:durableId="2106339830">
    <w:abstractNumId w:val="1"/>
  </w:num>
  <w:num w:numId="9" w16cid:durableId="84328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407"/>
    <w:rsid w:val="00034616"/>
    <w:rsid w:val="0006063C"/>
    <w:rsid w:val="0015074B"/>
    <w:rsid w:val="00181346"/>
    <w:rsid w:val="001D3094"/>
    <w:rsid w:val="00260298"/>
    <w:rsid w:val="0029639D"/>
    <w:rsid w:val="002F5063"/>
    <w:rsid w:val="00326F90"/>
    <w:rsid w:val="003866BF"/>
    <w:rsid w:val="003D01C8"/>
    <w:rsid w:val="00442674"/>
    <w:rsid w:val="00570DAF"/>
    <w:rsid w:val="006714E3"/>
    <w:rsid w:val="006F3F92"/>
    <w:rsid w:val="006F640D"/>
    <w:rsid w:val="00716A7E"/>
    <w:rsid w:val="00814BC2"/>
    <w:rsid w:val="00971E5E"/>
    <w:rsid w:val="00972F50"/>
    <w:rsid w:val="00980476"/>
    <w:rsid w:val="009E47A3"/>
    <w:rsid w:val="00AA1D8D"/>
    <w:rsid w:val="00B47730"/>
    <w:rsid w:val="00BA3F77"/>
    <w:rsid w:val="00BB3053"/>
    <w:rsid w:val="00CB0664"/>
    <w:rsid w:val="00CC37EF"/>
    <w:rsid w:val="00CD0109"/>
    <w:rsid w:val="00D56069"/>
    <w:rsid w:val="00E041A7"/>
    <w:rsid w:val="00E8138B"/>
    <w:rsid w:val="00FB1748"/>
    <w:rsid w:val="00FC693F"/>
    <w:rsid w:val="00FE0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CB093"/>
  <w14:defaultImageDpi w14:val="300"/>
  <w15:docId w15:val="{21032418-D8C7-4B3F-BA2E-3A9A4568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DzTablo2">
    <w:name w:val="Plain Table 2"/>
    <w:basedOn w:val="NormalTablo"/>
    <w:uiPriority w:val="99"/>
    <w:rsid w:val="006714E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1227</Words>
  <Characters>6997</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İbrahim Doyumğaç</cp:lastModifiedBy>
  <cp:revision>5</cp:revision>
  <dcterms:created xsi:type="dcterms:W3CDTF">2026-10-01T14:43:00Z</dcterms:created>
  <dcterms:modified xsi:type="dcterms:W3CDTF">2026-10-01T14:44:00Z</dcterms:modified>
  <cp:category/>
</cp:coreProperties>
</file>