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2C736" w14:textId="12D53C5D" w:rsidR="00B243AB" w:rsidRPr="0000713D" w:rsidRDefault="00532637" w:rsidP="00FB73D8">
      <w:pPr>
        <w:contextualSpacing/>
        <w:rPr>
          <w:rFonts w:ascii="Times New Roman" w:hAnsi="Times New Roman" w:cs="Times New Roman"/>
          <w:sz w:val="32"/>
          <w:szCs w:val="32"/>
        </w:rPr>
      </w:pPr>
      <w:r w:rsidRPr="0000713D">
        <w:rPr>
          <w:rFonts w:ascii="Times New Roman" w:hAnsi="Times New Roman" w:cs="Times New Roman"/>
          <w:sz w:val="32"/>
          <w:szCs w:val="32"/>
        </w:rPr>
        <w:t>Supplementary Materials</w:t>
      </w:r>
    </w:p>
    <w:p w14:paraId="19798837" w14:textId="77777777" w:rsidR="008F52D9" w:rsidRPr="0000713D" w:rsidRDefault="008F52D9" w:rsidP="00FB73D8">
      <w:pPr>
        <w:contextualSpacing/>
        <w:rPr>
          <w:rFonts w:ascii="Times New Roman" w:hAnsi="Times New Roman" w:cs="Times New Roman"/>
          <w:sz w:val="32"/>
          <w:szCs w:val="32"/>
        </w:rPr>
      </w:pPr>
    </w:p>
    <w:p w14:paraId="212E6AB2" w14:textId="6A9C248B" w:rsidR="00532637" w:rsidRPr="0000713D" w:rsidRDefault="00B243AB" w:rsidP="00FB73D8">
      <w:pPr>
        <w:contextualSpacing/>
        <w:rPr>
          <w:rFonts w:ascii="Times New Roman" w:hAnsi="Times New Roman" w:cs="Times New Roman"/>
          <w:sz w:val="24"/>
          <w:szCs w:val="24"/>
        </w:rPr>
      </w:pPr>
      <w:r w:rsidRPr="0000713D">
        <w:rPr>
          <w:rStyle w:val="Strong"/>
          <w:rFonts w:ascii="Times New Roman" w:hAnsi="Times New Roman" w:cs="Times New Roman"/>
          <w:sz w:val="24"/>
          <w:szCs w:val="24"/>
          <w:shd w:val="clear" w:color="auto" w:fill="FFFFFF"/>
        </w:rPr>
        <w:t>Table S1.</w:t>
      </w:r>
      <w:r w:rsidRPr="0000713D">
        <w:rPr>
          <w:rFonts w:ascii="Times New Roman" w:hAnsi="Times New Roman" w:cs="Times New Roman"/>
          <w:sz w:val="24"/>
          <w:szCs w:val="24"/>
          <w:shd w:val="clear" w:color="auto" w:fill="FFFFFF"/>
        </w:rPr>
        <w:t> Distributional Characteristics of Study Variables (N = 396)</w:t>
      </w:r>
    </w:p>
    <w:tbl>
      <w:tblPr>
        <w:tblStyle w:val="ListTable6Colorful"/>
        <w:tblW w:w="9450" w:type="dxa"/>
        <w:jc w:val="center"/>
        <w:tblLook w:val="04A0" w:firstRow="1" w:lastRow="0" w:firstColumn="1" w:lastColumn="0" w:noHBand="0" w:noVBand="1"/>
      </w:tblPr>
      <w:tblGrid>
        <w:gridCol w:w="2700"/>
        <w:gridCol w:w="810"/>
        <w:gridCol w:w="900"/>
        <w:gridCol w:w="1170"/>
        <w:gridCol w:w="1080"/>
        <w:gridCol w:w="1080"/>
        <w:gridCol w:w="1710"/>
      </w:tblGrid>
      <w:tr w:rsidR="005B6DB6" w:rsidRPr="0000713D" w14:paraId="520E6AA7" w14:textId="77777777" w:rsidTr="005B6DB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30912099"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Variable</w:t>
            </w:r>
          </w:p>
        </w:tc>
        <w:tc>
          <w:tcPr>
            <w:tcW w:w="810" w:type="dxa"/>
            <w:shd w:val="clear" w:color="auto" w:fill="auto"/>
            <w:hideMark/>
          </w:tcPr>
          <w:p w14:paraId="4A9C59A2" w14:textId="77777777" w:rsidR="005B6DB6" w:rsidRPr="0000713D" w:rsidRDefault="005B6DB6"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M</w:t>
            </w:r>
          </w:p>
        </w:tc>
        <w:tc>
          <w:tcPr>
            <w:tcW w:w="900" w:type="dxa"/>
            <w:shd w:val="clear" w:color="auto" w:fill="auto"/>
            <w:hideMark/>
          </w:tcPr>
          <w:p w14:paraId="6B2783B3" w14:textId="77777777" w:rsidR="005B6DB6" w:rsidRPr="0000713D" w:rsidRDefault="005B6DB6"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SD</w:t>
            </w:r>
          </w:p>
        </w:tc>
        <w:tc>
          <w:tcPr>
            <w:tcW w:w="1170" w:type="dxa"/>
            <w:shd w:val="clear" w:color="auto" w:fill="auto"/>
            <w:hideMark/>
          </w:tcPr>
          <w:p w14:paraId="65F460C9" w14:textId="77777777" w:rsidR="005B6DB6" w:rsidRPr="0000713D" w:rsidRDefault="005B6DB6"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Skewness</w:t>
            </w:r>
          </w:p>
        </w:tc>
        <w:tc>
          <w:tcPr>
            <w:tcW w:w="1080" w:type="dxa"/>
            <w:shd w:val="clear" w:color="auto" w:fill="auto"/>
            <w:hideMark/>
          </w:tcPr>
          <w:p w14:paraId="6B31FB79" w14:textId="77777777" w:rsidR="005B6DB6" w:rsidRPr="0000713D" w:rsidRDefault="005B6DB6"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Kurtosis</w:t>
            </w:r>
          </w:p>
        </w:tc>
        <w:tc>
          <w:tcPr>
            <w:tcW w:w="1080" w:type="dxa"/>
            <w:shd w:val="clear" w:color="auto" w:fill="auto"/>
            <w:hideMark/>
          </w:tcPr>
          <w:p w14:paraId="68495718" w14:textId="77777777" w:rsidR="005B6DB6" w:rsidRPr="0000713D" w:rsidRDefault="005B6DB6"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 Zero</w:t>
            </w:r>
          </w:p>
        </w:tc>
        <w:tc>
          <w:tcPr>
            <w:tcW w:w="1710" w:type="dxa"/>
            <w:shd w:val="clear" w:color="auto" w:fill="auto"/>
            <w:hideMark/>
          </w:tcPr>
          <w:p w14:paraId="609F15A6" w14:textId="77777777" w:rsidR="005B6DB6" w:rsidRPr="0000713D" w:rsidRDefault="005B6DB6"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Shapiro-Wilk p</w:t>
            </w:r>
          </w:p>
        </w:tc>
      </w:tr>
      <w:tr w:rsidR="005B6DB6" w:rsidRPr="0000713D" w14:paraId="47502427" w14:textId="77777777" w:rsidTr="005B6D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0E1E7159"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Hopelessness</w:t>
            </w:r>
          </w:p>
        </w:tc>
        <w:tc>
          <w:tcPr>
            <w:tcW w:w="810" w:type="dxa"/>
            <w:shd w:val="clear" w:color="auto" w:fill="auto"/>
            <w:hideMark/>
          </w:tcPr>
          <w:p w14:paraId="40EF0D4B"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1.50</w:t>
            </w:r>
          </w:p>
        </w:tc>
        <w:tc>
          <w:tcPr>
            <w:tcW w:w="900" w:type="dxa"/>
            <w:shd w:val="clear" w:color="auto" w:fill="auto"/>
            <w:hideMark/>
          </w:tcPr>
          <w:p w14:paraId="2DDDC54C" w14:textId="155BF806"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1.3</w:t>
            </w:r>
            <w:r w:rsidR="005478E2" w:rsidRPr="0000713D">
              <w:rPr>
                <w:rFonts w:ascii="Times New Roman" w:eastAsia="Times New Roman" w:hAnsi="Times New Roman" w:cs="Times New Roman"/>
                <w:color w:val="auto"/>
                <w:sz w:val="24"/>
                <w:szCs w:val="24"/>
              </w:rPr>
              <w:t>4</w:t>
            </w:r>
          </w:p>
        </w:tc>
        <w:tc>
          <w:tcPr>
            <w:tcW w:w="1170" w:type="dxa"/>
            <w:shd w:val="clear" w:color="auto" w:fill="auto"/>
            <w:hideMark/>
          </w:tcPr>
          <w:p w14:paraId="2FE6C04A"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0.58</w:t>
            </w:r>
          </w:p>
        </w:tc>
        <w:tc>
          <w:tcPr>
            <w:tcW w:w="1080" w:type="dxa"/>
            <w:shd w:val="clear" w:color="auto" w:fill="auto"/>
            <w:hideMark/>
          </w:tcPr>
          <w:p w14:paraId="426B9BE4"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-0.87</w:t>
            </w:r>
          </w:p>
        </w:tc>
        <w:tc>
          <w:tcPr>
            <w:tcW w:w="1080" w:type="dxa"/>
            <w:shd w:val="clear" w:color="auto" w:fill="auto"/>
            <w:hideMark/>
          </w:tcPr>
          <w:p w14:paraId="346AE586"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28.0</w:t>
            </w:r>
          </w:p>
        </w:tc>
        <w:tc>
          <w:tcPr>
            <w:tcW w:w="1710" w:type="dxa"/>
            <w:shd w:val="clear" w:color="auto" w:fill="auto"/>
            <w:hideMark/>
          </w:tcPr>
          <w:p w14:paraId="03F41ED9"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&lt;.001</w:t>
            </w:r>
          </w:p>
        </w:tc>
      </w:tr>
      <w:tr w:rsidR="005B6DB6" w:rsidRPr="0000713D" w14:paraId="04F31E8D" w14:textId="77777777" w:rsidTr="005B6DB6">
        <w:trPr>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6887C448"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Emptiness</w:t>
            </w:r>
          </w:p>
        </w:tc>
        <w:tc>
          <w:tcPr>
            <w:tcW w:w="810" w:type="dxa"/>
            <w:shd w:val="clear" w:color="auto" w:fill="auto"/>
            <w:hideMark/>
          </w:tcPr>
          <w:p w14:paraId="3B81EF60" w14:textId="34680010"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10.06</w:t>
            </w:r>
          </w:p>
        </w:tc>
        <w:tc>
          <w:tcPr>
            <w:tcW w:w="900" w:type="dxa"/>
            <w:shd w:val="clear" w:color="auto" w:fill="auto"/>
            <w:hideMark/>
          </w:tcPr>
          <w:p w14:paraId="02C8FAF7"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3.69</w:t>
            </w:r>
          </w:p>
        </w:tc>
        <w:tc>
          <w:tcPr>
            <w:tcW w:w="1170" w:type="dxa"/>
            <w:shd w:val="clear" w:color="auto" w:fill="auto"/>
            <w:hideMark/>
          </w:tcPr>
          <w:p w14:paraId="735074F9"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0.65</w:t>
            </w:r>
          </w:p>
        </w:tc>
        <w:tc>
          <w:tcPr>
            <w:tcW w:w="1080" w:type="dxa"/>
            <w:shd w:val="clear" w:color="auto" w:fill="auto"/>
            <w:hideMark/>
          </w:tcPr>
          <w:p w14:paraId="70A46AD8"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-0.12</w:t>
            </w:r>
          </w:p>
        </w:tc>
        <w:tc>
          <w:tcPr>
            <w:tcW w:w="1080" w:type="dxa"/>
            <w:shd w:val="clear" w:color="auto" w:fill="auto"/>
            <w:hideMark/>
          </w:tcPr>
          <w:p w14:paraId="1D991322"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0.0</w:t>
            </w:r>
          </w:p>
        </w:tc>
        <w:tc>
          <w:tcPr>
            <w:tcW w:w="1710" w:type="dxa"/>
            <w:shd w:val="clear" w:color="auto" w:fill="auto"/>
            <w:hideMark/>
          </w:tcPr>
          <w:p w14:paraId="147FC69D"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&lt;.001</w:t>
            </w:r>
          </w:p>
        </w:tc>
      </w:tr>
      <w:tr w:rsidR="005B6DB6" w:rsidRPr="0000713D" w14:paraId="2296A96A" w14:textId="77777777" w:rsidTr="005B6D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7DE7AC75"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Loneliness</w:t>
            </w:r>
          </w:p>
        </w:tc>
        <w:tc>
          <w:tcPr>
            <w:tcW w:w="810" w:type="dxa"/>
            <w:shd w:val="clear" w:color="auto" w:fill="auto"/>
            <w:hideMark/>
          </w:tcPr>
          <w:p w14:paraId="3BD00F46" w14:textId="02F023E4"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5.8</w:t>
            </w:r>
            <w:r w:rsidR="00427B01" w:rsidRPr="0000713D">
              <w:rPr>
                <w:rFonts w:ascii="Times New Roman" w:eastAsia="Times New Roman" w:hAnsi="Times New Roman" w:cs="Times New Roman"/>
                <w:color w:val="auto"/>
                <w:sz w:val="24"/>
                <w:szCs w:val="24"/>
              </w:rPr>
              <w:t>0</w:t>
            </w:r>
          </w:p>
        </w:tc>
        <w:tc>
          <w:tcPr>
            <w:tcW w:w="900" w:type="dxa"/>
            <w:shd w:val="clear" w:color="auto" w:fill="auto"/>
            <w:hideMark/>
          </w:tcPr>
          <w:p w14:paraId="37E6B331"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1.91</w:t>
            </w:r>
          </w:p>
        </w:tc>
        <w:tc>
          <w:tcPr>
            <w:tcW w:w="1170" w:type="dxa"/>
            <w:shd w:val="clear" w:color="auto" w:fill="auto"/>
            <w:hideMark/>
          </w:tcPr>
          <w:p w14:paraId="28753293"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0.18</w:t>
            </w:r>
          </w:p>
        </w:tc>
        <w:tc>
          <w:tcPr>
            <w:tcW w:w="1080" w:type="dxa"/>
            <w:shd w:val="clear" w:color="auto" w:fill="auto"/>
            <w:hideMark/>
          </w:tcPr>
          <w:p w14:paraId="3321E7BA"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-0.96</w:t>
            </w:r>
          </w:p>
        </w:tc>
        <w:tc>
          <w:tcPr>
            <w:tcW w:w="1080" w:type="dxa"/>
            <w:shd w:val="clear" w:color="auto" w:fill="auto"/>
            <w:hideMark/>
          </w:tcPr>
          <w:p w14:paraId="08BE1662"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0.0</w:t>
            </w:r>
          </w:p>
        </w:tc>
        <w:tc>
          <w:tcPr>
            <w:tcW w:w="1710" w:type="dxa"/>
            <w:shd w:val="clear" w:color="auto" w:fill="auto"/>
            <w:hideMark/>
          </w:tcPr>
          <w:p w14:paraId="7F6D63B2"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&lt;.001</w:t>
            </w:r>
          </w:p>
        </w:tc>
      </w:tr>
      <w:tr w:rsidR="005B6DB6" w:rsidRPr="0000713D" w14:paraId="57E8290D" w14:textId="77777777" w:rsidTr="005B6DB6">
        <w:trPr>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08EE03D4"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Boredom</w:t>
            </w:r>
          </w:p>
        </w:tc>
        <w:tc>
          <w:tcPr>
            <w:tcW w:w="810" w:type="dxa"/>
            <w:shd w:val="clear" w:color="auto" w:fill="auto"/>
            <w:hideMark/>
          </w:tcPr>
          <w:p w14:paraId="2E1597F6"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34.74</w:t>
            </w:r>
          </w:p>
        </w:tc>
        <w:tc>
          <w:tcPr>
            <w:tcW w:w="900" w:type="dxa"/>
            <w:shd w:val="clear" w:color="auto" w:fill="auto"/>
            <w:hideMark/>
          </w:tcPr>
          <w:p w14:paraId="0D7377D6" w14:textId="55C1265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8.1</w:t>
            </w:r>
            <w:r w:rsidR="005478E2" w:rsidRPr="0000713D">
              <w:rPr>
                <w:rFonts w:ascii="Times New Roman" w:eastAsia="Times New Roman" w:hAnsi="Times New Roman" w:cs="Times New Roman"/>
                <w:color w:val="auto"/>
                <w:sz w:val="24"/>
                <w:szCs w:val="24"/>
              </w:rPr>
              <w:t>7</w:t>
            </w:r>
          </w:p>
        </w:tc>
        <w:tc>
          <w:tcPr>
            <w:tcW w:w="1170" w:type="dxa"/>
            <w:shd w:val="clear" w:color="auto" w:fill="auto"/>
            <w:hideMark/>
          </w:tcPr>
          <w:p w14:paraId="21C8FA73"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-0.20</w:t>
            </w:r>
          </w:p>
        </w:tc>
        <w:tc>
          <w:tcPr>
            <w:tcW w:w="1080" w:type="dxa"/>
            <w:shd w:val="clear" w:color="auto" w:fill="auto"/>
            <w:hideMark/>
          </w:tcPr>
          <w:p w14:paraId="363CDFF9"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0.76</w:t>
            </w:r>
          </w:p>
        </w:tc>
        <w:tc>
          <w:tcPr>
            <w:tcW w:w="1080" w:type="dxa"/>
            <w:shd w:val="clear" w:color="auto" w:fill="auto"/>
            <w:hideMark/>
          </w:tcPr>
          <w:p w14:paraId="5779DD14"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0.0</w:t>
            </w:r>
          </w:p>
        </w:tc>
        <w:tc>
          <w:tcPr>
            <w:tcW w:w="1710" w:type="dxa"/>
            <w:shd w:val="clear" w:color="auto" w:fill="auto"/>
            <w:hideMark/>
          </w:tcPr>
          <w:p w14:paraId="79233D00"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&lt;.001</w:t>
            </w:r>
          </w:p>
        </w:tc>
      </w:tr>
      <w:tr w:rsidR="005B6DB6" w:rsidRPr="0000713D" w14:paraId="69D3525E" w14:textId="77777777" w:rsidTr="005B6D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007BC1E6"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Dissociation</w:t>
            </w:r>
          </w:p>
        </w:tc>
        <w:tc>
          <w:tcPr>
            <w:tcW w:w="810" w:type="dxa"/>
            <w:shd w:val="clear" w:color="auto" w:fill="auto"/>
            <w:hideMark/>
          </w:tcPr>
          <w:p w14:paraId="26CA56CB" w14:textId="2B029EB3"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1.3</w:t>
            </w:r>
            <w:r w:rsidR="005478E2" w:rsidRPr="0000713D">
              <w:rPr>
                <w:rFonts w:ascii="Times New Roman" w:eastAsia="Times New Roman" w:hAnsi="Times New Roman" w:cs="Times New Roman"/>
                <w:color w:val="auto"/>
                <w:sz w:val="24"/>
                <w:szCs w:val="24"/>
              </w:rPr>
              <w:t>5</w:t>
            </w:r>
          </w:p>
        </w:tc>
        <w:tc>
          <w:tcPr>
            <w:tcW w:w="900" w:type="dxa"/>
            <w:shd w:val="clear" w:color="auto" w:fill="auto"/>
            <w:hideMark/>
          </w:tcPr>
          <w:p w14:paraId="3B70731A" w14:textId="20168253"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1.26</w:t>
            </w:r>
          </w:p>
        </w:tc>
        <w:tc>
          <w:tcPr>
            <w:tcW w:w="1170" w:type="dxa"/>
            <w:shd w:val="clear" w:color="auto" w:fill="auto"/>
            <w:hideMark/>
          </w:tcPr>
          <w:p w14:paraId="63FC8B1E"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0.72</w:t>
            </w:r>
          </w:p>
        </w:tc>
        <w:tc>
          <w:tcPr>
            <w:tcW w:w="1080" w:type="dxa"/>
            <w:shd w:val="clear" w:color="auto" w:fill="auto"/>
            <w:hideMark/>
          </w:tcPr>
          <w:p w14:paraId="6A71D7CF"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-0.69</w:t>
            </w:r>
          </w:p>
        </w:tc>
        <w:tc>
          <w:tcPr>
            <w:tcW w:w="1080" w:type="dxa"/>
            <w:shd w:val="clear" w:color="auto" w:fill="auto"/>
            <w:hideMark/>
          </w:tcPr>
          <w:p w14:paraId="0AC6E32A"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11.6</w:t>
            </w:r>
          </w:p>
        </w:tc>
        <w:tc>
          <w:tcPr>
            <w:tcW w:w="1710" w:type="dxa"/>
            <w:shd w:val="clear" w:color="auto" w:fill="auto"/>
            <w:hideMark/>
          </w:tcPr>
          <w:p w14:paraId="0B056A7F" w14:textId="77777777" w:rsidR="005B6DB6" w:rsidRPr="0000713D" w:rsidRDefault="005B6DB6"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&lt;.001</w:t>
            </w:r>
          </w:p>
        </w:tc>
      </w:tr>
      <w:tr w:rsidR="005B6DB6" w:rsidRPr="0000713D" w14:paraId="5A584247" w14:textId="77777777" w:rsidTr="005B6DB6">
        <w:trPr>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hideMark/>
          </w:tcPr>
          <w:p w14:paraId="6B0BBDE2" w14:textId="77777777" w:rsidR="005B6DB6" w:rsidRPr="0000713D" w:rsidRDefault="005B6DB6" w:rsidP="00FB73D8">
            <w:pPr>
              <w:spacing w:line="375" w:lineRule="atLeast"/>
              <w:contextualSpacing/>
              <w:rPr>
                <w:rFonts w:ascii="Times New Roman" w:eastAsia="Times New Roman" w:hAnsi="Times New Roman" w:cs="Times New Roman"/>
                <w:b w:val="0"/>
                <w:bCs w:val="0"/>
                <w:color w:val="auto"/>
                <w:sz w:val="24"/>
                <w:szCs w:val="24"/>
              </w:rPr>
            </w:pPr>
            <w:r w:rsidRPr="0000713D">
              <w:rPr>
                <w:rFonts w:ascii="Times New Roman" w:eastAsia="Times New Roman" w:hAnsi="Times New Roman" w:cs="Times New Roman"/>
                <w:b w:val="0"/>
                <w:bCs w:val="0"/>
                <w:color w:val="auto"/>
                <w:sz w:val="24"/>
                <w:szCs w:val="24"/>
              </w:rPr>
              <w:t>Dysphoria</w:t>
            </w:r>
          </w:p>
        </w:tc>
        <w:tc>
          <w:tcPr>
            <w:tcW w:w="810" w:type="dxa"/>
            <w:shd w:val="clear" w:color="auto" w:fill="auto"/>
            <w:hideMark/>
          </w:tcPr>
          <w:p w14:paraId="3C8069DC" w14:textId="46742526"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36.2</w:t>
            </w:r>
            <w:r w:rsidR="000A57E4" w:rsidRPr="0000713D">
              <w:rPr>
                <w:rFonts w:ascii="Times New Roman" w:eastAsia="Times New Roman" w:hAnsi="Times New Roman" w:cs="Times New Roman"/>
                <w:color w:val="auto"/>
                <w:sz w:val="24"/>
                <w:szCs w:val="24"/>
              </w:rPr>
              <w:t>8</w:t>
            </w:r>
          </w:p>
        </w:tc>
        <w:tc>
          <w:tcPr>
            <w:tcW w:w="900" w:type="dxa"/>
            <w:shd w:val="clear" w:color="auto" w:fill="auto"/>
            <w:hideMark/>
          </w:tcPr>
          <w:p w14:paraId="2569DFFC"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15.78</w:t>
            </w:r>
          </w:p>
        </w:tc>
        <w:tc>
          <w:tcPr>
            <w:tcW w:w="1170" w:type="dxa"/>
            <w:shd w:val="clear" w:color="auto" w:fill="auto"/>
            <w:hideMark/>
          </w:tcPr>
          <w:p w14:paraId="69C28FD3"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0.77</w:t>
            </w:r>
          </w:p>
        </w:tc>
        <w:tc>
          <w:tcPr>
            <w:tcW w:w="1080" w:type="dxa"/>
            <w:shd w:val="clear" w:color="auto" w:fill="auto"/>
            <w:hideMark/>
          </w:tcPr>
          <w:p w14:paraId="68148437"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0.57</w:t>
            </w:r>
          </w:p>
        </w:tc>
        <w:tc>
          <w:tcPr>
            <w:tcW w:w="1080" w:type="dxa"/>
            <w:shd w:val="clear" w:color="auto" w:fill="auto"/>
            <w:hideMark/>
          </w:tcPr>
          <w:p w14:paraId="70FF78B8"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0.0</w:t>
            </w:r>
          </w:p>
        </w:tc>
        <w:tc>
          <w:tcPr>
            <w:tcW w:w="1710" w:type="dxa"/>
            <w:shd w:val="clear" w:color="auto" w:fill="auto"/>
            <w:hideMark/>
          </w:tcPr>
          <w:p w14:paraId="13C7280D" w14:textId="77777777" w:rsidR="005B6DB6" w:rsidRPr="0000713D" w:rsidRDefault="005B6DB6"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0713D">
              <w:rPr>
                <w:rFonts w:ascii="Times New Roman" w:eastAsia="Times New Roman" w:hAnsi="Times New Roman" w:cs="Times New Roman"/>
                <w:color w:val="auto"/>
                <w:sz w:val="24"/>
                <w:szCs w:val="24"/>
              </w:rPr>
              <w:t>&lt;.001</w:t>
            </w:r>
          </w:p>
        </w:tc>
      </w:tr>
    </w:tbl>
    <w:p w14:paraId="0D24648E" w14:textId="77777777" w:rsidR="008149DC" w:rsidRPr="0000713D" w:rsidRDefault="00B243AB" w:rsidP="00FB73D8">
      <w:pPr>
        <w:shd w:val="clear" w:color="auto" w:fill="FFFFFF"/>
        <w:spacing w:before="240" w:after="240" w:line="240" w:lineRule="auto"/>
        <w:contextualSpacing/>
        <w:jc w:val="both"/>
        <w:rPr>
          <w:rFonts w:ascii="Times New Roman" w:eastAsia="Times New Roman" w:hAnsi="Times New Roman" w:cs="Times New Roman"/>
        </w:rPr>
      </w:pPr>
      <w:r w:rsidRPr="0000713D">
        <w:rPr>
          <w:rFonts w:ascii="Times New Roman" w:eastAsia="Times New Roman" w:hAnsi="Times New Roman" w:cs="Times New Roman"/>
          <w:i/>
          <w:iCs/>
        </w:rPr>
        <w:t>Note.</w:t>
      </w:r>
      <w:r w:rsidRPr="0000713D">
        <w:rPr>
          <w:rFonts w:ascii="Times New Roman" w:eastAsia="Times New Roman" w:hAnsi="Times New Roman" w:cs="Times New Roman"/>
        </w:rPr>
        <w:t> All Shapiro-Wilk tests were significant at p &lt; .001, indicating violations of normality across all variables. Hopelessness and dissociation showed floor effects (28% and 11.6% zero scores, respectively).</w:t>
      </w:r>
    </w:p>
    <w:p w14:paraId="5AA1CF26" w14:textId="77777777" w:rsidR="00CA35EA" w:rsidRPr="0000713D" w:rsidRDefault="00CA35EA" w:rsidP="00FB73D8">
      <w:pPr>
        <w:shd w:val="clear" w:color="auto" w:fill="FFFFFF"/>
        <w:spacing w:before="240" w:after="240" w:line="240" w:lineRule="auto"/>
        <w:contextualSpacing/>
        <w:rPr>
          <w:rFonts w:ascii="Times New Roman" w:eastAsia="Times New Roman" w:hAnsi="Times New Roman" w:cs="Times New Roman"/>
          <w:sz w:val="24"/>
          <w:szCs w:val="24"/>
        </w:rPr>
      </w:pPr>
    </w:p>
    <w:p w14:paraId="5AF4CE86" w14:textId="4B03B1D7" w:rsidR="008F52D9" w:rsidRPr="0000713D" w:rsidRDefault="008F52D9" w:rsidP="00CA35EA">
      <w:pPr>
        <w:pStyle w:val="ds-markdown-paragraph"/>
        <w:shd w:val="clear" w:color="auto" w:fill="FFFFFF"/>
        <w:spacing w:before="240" w:beforeAutospacing="0" w:after="240" w:afterAutospacing="0"/>
        <w:contextualSpacing/>
        <w:jc w:val="both"/>
      </w:pPr>
      <w:r w:rsidRPr="0000713D">
        <w:rPr>
          <w:rStyle w:val="Strong"/>
          <w:b w:val="0"/>
          <w:bCs w:val="0"/>
          <w:shd w:val="clear" w:color="auto" w:fill="FFFFFF"/>
        </w:rPr>
        <w:t>Table S1 reports distributional characteristics for all study variables.</w:t>
      </w:r>
      <w:r w:rsidRPr="0000713D">
        <w:rPr>
          <w:shd w:val="clear" w:color="auto" w:fill="FFFFFF"/>
        </w:rPr>
        <w:t xml:space="preserve"> All variables violated normality (Shapiro-Wilk p &lt; .001). Hopelessness (28.0% zeros) and dissociation (11.6% zeros) showed floor effects. Skewness ranged from -0.20 to 0.77, and kurtosis from -0.96 to 0.76. These violations support the use of polychoric correlations as a robustness check. </w:t>
      </w:r>
      <w:r w:rsidR="00CA35EA" w:rsidRPr="0000713D">
        <w:t>Given violations of normality across all study variables. we re</w:t>
      </w:r>
      <w:r w:rsidR="00CA35EA" w:rsidRPr="0000713D">
        <w:noBreakHyphen/>
        <w:t>estimated all networks using heterogeneous correlations via the </w:t>
      </w:r>
      <w:r w:rsidR="00CA35EA" w:rsidRPr="0000713D">
        <w:rPr>
          <w:rStyle w:val="HTMLCode"/>
          <w:rFonts w:ascii="Times New Roman" w:hAnsi="Times New Roman" w:cs="Times New Roman"/>
          <w:sz w:val="24"/>
          <w:szCs w:val="24"/>
          <w:shd w:val="clear" w:color="auto" w:fill="EBEEF2"/>
        </w:rPr>
        <w:t>hetcor</w:t>
      </w:r>
      <w:r w:rsidR="00CA35EA" w:rsidRPr="0000713D">
        <w:t> function in R. This approach applies polychoric correlations for ordinal</w:t>
      </w:r>
      <w:r w:rsidR="00CA35EA" w:rsidRPr="0000713D">
        <w:noBreakHyphen/>
        <w:t>ordinal pairs (e.g., hopelessness with loneliness), Pearson correlations for continuous</w:t>
      </w:r>
      <w:r w:rsidR="00CA35EA" w:rsidRPr="0000713D">
        <w:noBreakHyphen/>
        <w:t>continuous pairs (e.g., boredom with dysphoria), and polyserial correlations for mixed ordinal</w:t>
      </w:r>
      <w:r w:rsidR="00CA35EA" w:rsidRPr="0000713D">
        <w:noBreakHyphen/>
        <w:t>continuous pairs (e.g., hopelessness with dissociation).</w:t>
      </w:r>
    </w:p>
    <w:p w14:paraId="5E21FC8A" w14:textId="77777777" w:rsidR="007759EC" w:rsidRPr="0000713D" w:rsidRDefault="007759EC" w:rsidP="00FB73D8">
      <w:pPr>
        <w:shd w:val="clear" w:color="auto" w:fill="FFFFFF"/>
        <w:spacing w:before="240" w:after="240" w:line="240" w:lineRule="auto"/>
        <w:contextualSpacing/>
        <w:jc w:val="both"/>
        <w:rPr>
          <w:rFonts w:ascii="Times New Roman" w:hAnsi="Times New Roman" w:cs="Times New Roman"/>
          <w:sz w:val="24"/>
          <w:szCs w:val="24"/>
          <w:shd w:val="clear" w:color="auto" w:fill="FFFFFF"/>
        </w:rPr>
      </w:pPr>
    </w:p>
    <w:p w14:paraId="30A93431" w14:textId="77777777" w:rsidR="007759EC" w:rsidRPr="0000713D" w:rsidRDefault="007759EC" w:rsidP="00FB73D8">
      <w:pPr>
        <w:shd w:val="clear" w:color="auto" w:fill="FFFFFF"/>
        <w:spacing w:before="240" w:after="240" w:line="240" w:lineRule="auto"/>
        <w:contextualSpacing/>
        <w:rPr>
          <w:rFonts w:ascii="Times New Roman" w:eastAsia="Times New Roman" w:hAnsi="Times New Roman" w:cs="Times New Roman"/>
          <w:color w:val="0F1115"/>
          <w:sz w:val="24"/>
          <w:szCs w:val="24"/>
        </w:rPr>
      </w:pPr>
      <w:r w:rsidRPr="0000713D">
        <w:rPr>
          <w:rFonts w:ascii="Times New Roman" w:eastAsia="Times New Roman" w:hAnsi="Times New Roman" w:cs="Times New Roman"/>
          <w:b/>
          <w:bCs/>
          <w:color w:val="0F1115"/>
          <w:sz w:val="24"/>
          <w:szCs w:val="24"/>
        </w:rPr>
        <w:t>Table S2.</w:t>
      </w:r>
      <w:r w:rsidRPr="0000713D">
        <w:rPr>
          <w:rFonts w:ascii="Times New Roman" w:eastAsia="Times New Roman" w:hAnsi="Times New Roman" w:cs="Times New Roman"/>
          <w:color w:val="0F1115"/>
          <w:sz w:val="24"/>
          <w:szCs w:val="24"/>
        </w:rPr>
        <w:t> Comparison of Pearson and Heterogeneous Correlation Networks</w:t>
      </w:r>
    </w:p>
    <w:tbl>
      <w:tblPr>
        <w:tblStyle w:val="ListTable6Colorful"/>
        <w:tblW w:w="0" w:type="auto"/>
        <w:tblLook w:val="04A0" w:firstRow="1" w:lastRow="0" w:firstColumn="1" w:lastColumn="0" w:noHBand="0" w:noVBand="1"/>
      </w:tblPr>
      <w:tblGrid>
        <w:gridCol w:w="3780"/>
        <w:gridCol w:w="1260"/>
        <w:gridCol w:w="1656"/>
        <w:gridCol w:w="2430"/>
      </w:tblGrid>
      <w:tr w:rsidR="004731D3" w:rsidRPr="0000713D" w14:paraId="5FFD4ED4" w14:textId="77777777" w:rsidTr="004731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shd w:val="clear" w:color="auto" w:fill="auto"/>
            <w:hideMark/>
          </w:tcPr>
          <w:p w14:paraId="664412A4" w14:textId="77777777" w:rsidR="007759EC" w:rsidRPr="0000713D" w:rsidRDefault="007759EC" w:rsidP="00FB73D8">
            <w:pPr>
              <w:spacing w:line="375" w:lineRule="atLeast"/>
              <w:contextualSpacing/>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Metric</w:t>
            </w:r>
          </w:p>
        </w:tc>
        <w:tc>
          <w:tcPr>
            <w:tcW w:w="1260" w:type="dxa"/>
            <w:shd w:val="clear" w:color="auto" w:fill="auto"/>
            <w:hideMark/>
          </w:tcPr>
          <w:p w14:paraId="5C8C0B6C" w14:textId="77777777" w:rsidR="007759EC" w:rsidRPr="0000713D" w:rsidRDefault="007759EC"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Pearson</w:t>
            </w:r>
          </w:p>
        </w:tc>
        <w:tc>
          <w:tcPr>
            <w:tcW w:w="1656" w:type="dxa"/>
            <w:shd w:val="clear" w:color="auto" w:fill="auto"/>
            <w:hideMark/>
          </w:tcPr>
          <w:p w14:paraId="039F1304" w14:textId="77777777" w:rsidR="007759EC" w:rsidRPr="0000713D" w:rsidRDefault="007759EC"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Heterogeneous</w:t>
            </w:r>
          </w:p>
        </w:tc>
        <w:tc>
          <w:tcPr>
            <w:tcW w:w="2430" w:type="dxa"/>
            <w:shd w:val="clear" w:color="auto" w:fill="auto"/>
            <w:hideMark/>
          </w:tcPr>
          <w:p w14:paraId="08A93FB2" w14:textId="77777777" w:rsidR="007759EC" w:rsidRPr="0000713D" w:rsidRDefault="007759EC" w:rsidP="00FB73D8">
            <w:pPr>
              <w:spacing w:line="375" w:lineRule="atLeast"/>
              <w:contextualSpacing/>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Difference</w:t>
            </w:r>
          </w:p>
        </w:tc>
      </w:tr>
      <w:tr w:rsidR="007759EC" w:rsidRPr="0000713D" w14:paraId="1CEA52BD" w14:textId="77777777" w:rsidTr="004731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shd w:val="clear" w:color="auto" w:fill="auto"/>
            <w:hideMark/>
          </w:tcPr>
          <w:p w14:paraId="13C5F994" w14:textId="77777777" w:rsidR="007759EC" w:rsidRPr="0000713D" w:rsidRDefault="007759EC" w:rsidP="00FB73D8">
            <w:pPr>
              <w:spacing w:line="375" w:lineRule="atLeast"/>
              <w:contextualSpacing/>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Dissociation-Emptiness edge</w:t>
            </w:r>
          </w:p>
        </w:tc>
        <w:tc>
          <w:tcPr>
            <w:tcW w:w="1260" w:type="dxa"/>
            <w:shd w:val="clear" w:color="auto" w:fill="auto"/>
            <w:hideMark/>
          </w:tcPr>
          <w:p w14:paraId="2D045F16"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0.00</w:t>
            </w:r>
          </w:p>
        </w:tc>
        <w:tc>
          <w:tcPr>
            <w:tcW w:w="1656" w:type="dxa"/>
            <w:shd w:val="clear" w:color="auto" w:fill="auto"/>
            <w:hideMark/>
          </w:tcPr>
          <w:p w14:paraId="1BC08AF0"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0.00</w:t>
            </w:r>
          </w:p>
        </w:tc>
        <w:tc>
          <w:tcPr>
            <w:tcW w:w="2430" w:type="dxa"/>
            <w:shd w:val="clear" w:color="auto" w:fill="auto"/>
            <w:hideMark/>
          </w:tcPr>
          <w:p w14:paraId="449ED8A7"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0.00</w:t>
            </w:r>
          </w:p>
        </w:tc>
      </w:tr>
      <w:tr w:rsidR="004731D3" w:rsidRPr="0000713D" w14:paraId="1EEC1D6F" w14:textId="77777777" w:rsidTr="004731D3">
        <w:tc>
          <w:tcPr>
            <w:cnfStyle w:val="001000000000" w:firstRow="0" w:lastRow="0" w:firstColumn="1" w:lastColumn="0" w:oddVBand="0" w:evenVBand="0" w:oddHBand="0" w:evenHBand="0" w:firstRowFirstColumn="0" w:firstRowLastColumn="0" w:lastRowFirstColumn="0" w:lastRowLastColumn="0"/>
            <w:tcW w:w="3780" w:type="dxa"/>
            <w:shd w:val="clear" w:color="auto" w:fill="auto"/>
            <w:hideMark/>
          </w:tcPr>
          <w:p w14:paraId="6474EEDB" w14:textId="77777777" w:rsidR="007759EC" w:rsidRPr="0000713D" w:rsidRDefault="007759EC" w:rsidP="00FB73D8">
            <w:pPr>
              <w:spacing w:line="375" w:lineRule="atLeast"/>
              <w:contextualSpacing/>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Edge weight correlation</w:t>
            </w:r>
          </w:p>
        </w:tc>
        <w:tc>
          <w:tcPr>
            <w:tcW w:w="1260" w:type="dxa"/>
            <w:shd w:val="clear" w:color="auto" w:fill="auto"/>
            <w:hideMark/>
          </w:tcPr>
          <w:p w14:paraId="74FC2B5C" w14:textId="77777777" w:rsidR="007759EC" w:rsidRPr="0000713D" w:rsidRDefault="007759EC"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w:t>
            </w:r>
          </w:p>
        </w:tc>
        <w:tc>
          <w:tcPr>
            <w:tcW w:w="1656" w:type="dxa"/>
            <w:shd w:val="clear" w:color="auto" w:fill="auto"/>
            <w:hideMark/>
          </w:tcPr>
          <w:p w14:paraId="09186688" w14:textId="77777777" w:rsidR="007759EC" w:rsidRPr="0000713D" w:rsidRDefault="007759EC"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0.97</w:t>
            </w:r>
          </w:p>
        </w:tc>
        <w:tc>
          <w:tcPr>
            <w:tcW w:w="2430" w:type="dxa"/>
            <w:shd w:val="clear" w:color="auto" w:fill="auto"/>
            <w:hideMark/>
          </w:tcPr>
          <w:p w14:paraId="0822177F" w14:textId="77777777" w:rsidR="007759EC" w:rsidRPr="0000713D" w:rsidRDefault="007759EC"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w:t>
            </w:r>
          </w:p>
        </w:tc>
      </w:tr>
      <w:tr w:rsidR="007759EC" w:rsidRPr="0000713D" w14:paraId="5697F8D6" w14:textId="77777777" w:rsidTr="004731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shd w:val="clear" w:color="auto" w:fill="auto"/>
            <w:hideMark/>
          </w:tcPr>
          <w:p w14:paraId="6331EAF0" w14:textId="77777777" w:rsidR="007759EC" w:rsidRPr="0000713D" w:rsidRDefault="007759EC" w:rsidP="00FB73D8">
            <w:pPr>
              <w:spacing w:line="375" w:lineRule="atLeast"/>
              <w:contextualSpacing/>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Mean absolute edge difference</w:t>
            </w:r>
          </w:p>
        </w:tc>
        <w:tc>
          <w:tcPr>
            <w:tcW w:w="1260" w:type="dxa"/>
            <w:shd w:val="clear" w:color="auto" w:fill="auto"/>
            <w:hideMark/>
          </w:tcPr>
          <w:p w14:paraId="0D0EDB32"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w:t>
            </w:r>
          </w:p>
        </w:tc>
        <w:tc>
          <w:tcPr>
            <w:tcW w:w="1656" w:type="dxa"/>
            <w:shd w:val="clear" w:color="auto" w:fill="auto"/>
            <w:hideMark/>
          </w:tcPr>
          <w:p w14:paraId="0DFBD71F"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0.017</w:t>
            </w:r>
          </w:p>
        </w:tc>
        <w:tc>
          <w:tcPr>
            <w:tcW w:w="2430" w:type="dxa"/>
            <w:shd w:val="clear" w:color="auto" w:fill="auto"/>
            <w:hideMark/>
          </w:tcPr>
          <w:p w14:paraId="11787E75"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w:t>
            </w:r>
          </w:p>
        </w:tc>
      </w:tr>
      <w:tr w:rsidR="004731D3" w:rsidRPr="0000713D" w14:paraId="3C683BCA" w14:textId="77777777" w:rsidTr="004731D3">
        <w:tc>
          <w:tcPr>
            <w:cnfStyle w:val="001000000000" w:firstRow="0" w:lastRow="0" w:firstColumn="1" w:lastColumn="0" w:oddVBand="0" w:evenVBand="0" w:oddHBand="0" w:evenHBand="0" w:firstRowFirstColumn="0" w:firstRowLastColumn="0" w:lastRowFirstColumn="0" w:lastRowLastColumn="0"/>
            <w:tcW w:w="3780" w:type="dxa"/>
            <w:shd w:val="clear" w:color="auto" w:fill="auto"/>
            <w:hideMark/>
          </w:tcPr>
          <w:p w14:paraId="1F321BA3" w14:textId="77777777" w:rsidR="007759EC" w:rsidRPr="0000713D" w:rsidRDefault="007759EC" w:rsidP="00FB73D8">
            <w:pPr>
              <w:spacing w:line="375" w:lineRule="atLeast"/>
              <w:contextualSpacing/>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Emptiness strength</w:t>
            </w:r>
          </w:p>
        </w:tc>
        <w:tc>
          <w:tcPr>
            <w:tcW w:w="1260" w:type="dxa"/>
            <w:shd w:val="clear" w:color="auto" w:fill="auto"/>
            <w:hideMark/>
          </w:tcPr>
          <w:p w14:paraId="605AF349" w14:textId="77777777" w:rsidR="007759EC" w:rsidRPr="0000713D" w:rsidRDefault="007759EC"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1.18</w:t>
            </w:r>
          </w:p>
        </w:tc>
        <w:tc>
          <w:tcPr>
            <w:tcW w:w="1656" w:type="dxa"/>
            <w:shd w:val="clear" w:color="auto" w:fill="auto"/>
            <w:hideMark/>
          </w:tcPr>
          <w:p w14:paraId="1C3424C4" w14:textId="77777777" w:rsidR="007759EC" w:rsidRPr="0000713D" w:rsidRDefault="007759EC"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1.13</w:t>
            </w:r>
          </w:p>
        </w:tc>
        <w:tc>
          <w:tcPr>
            <w:tcW w:w="2430" w:type="dxa"/>
            <w:shd w:val="clear" w:color="auto" w:fill="auto"/>
            <w:hideMark/>
          </w:tcPr>
          <w:p w14:paraId="1773469A" w14:textId="77777777" w:rsidR="007759EC" w:rsidRPr="0000713D" w:rsidRDefault="007759EC" w:rsidP="00FB73D8">
            <w:pPr>
              <w:spacing w:line="375" w:lineRule="atLeast"/>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0.05</w:t>
            </w:r>
          </w:p>
        </w:tc>
      </w:tr>
      <w:tr w:rsidR="007759EC" w:rsidRPr="0000713D" w14:paraId="166CF10A" w14:textId="77777777" w:rsidTr="004731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shd w:val="clear" w:color="auto" w:fill="auto"/>
            <w:hideMark/>
          </w:tcPr>
          <w:p w14:paraId="05CA96EB" w14:textId="77777777" w:rsidR="007759EC" w:rsidRPr="0000713D" w:rsidRDefault="007759EC" w:rsidP="00FB73D8">
            <w:pPr>
              <w:spacing w:line="375" w:lineRule="atLeast"/>
              <w:contextualSpacing/>
              <w:rPr>
                <w:rFonts w:ascii="Times New Roman" w:eastAsia="Times New Roman" w:hAnsi="Times New Roman" w:cs="Times New Roman"/>
                <w:b w:val="0"/>
                <w:bCs w:val="0"/>
                <w:sz w:val="24"/>
                <w:szCs w:val="24"/>
              </w:rPr>
            </w:pPr>
            <w:r w:rsidRPr="0000713D">
              <w:rPr>
                <w:rFonts w:ascii="Times New Roman" w:eastAsia="Times New Roman" w:hAnsi="Times New Roman" w:cs="Times New Roman"/>
                <w:b w:val="0"/>
                <w:bCs w:val="0"/>
                <w:sz w:val="24"/>
                <w:szCs w:val="24"/>
              </w:rPr>
              <w:t>Dissociation strength</w:t>
            </w:r>
          </w:p>
        </w:tc>
        <w:tc>
          <w:tcPr>
            <w:tcW w:w="1260" w:type="dxa"/>
            <w:shd w:val="clear" w:color="auto" w:fill="auto"/>
            <w:hideMark/>
          </w:tcPr>
          <w:p w14:paraId="480C6360"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0.29</w:t>
            </w:r>
          </w:p>
        </w:tc>
        <w:tc>
          <w:tcPr>
            <w:tcW w:w="1656" w:type="dxa"/>
            <w:shd w:val="clear" w:color="auto" w:fill="auto"/>
            <w:hideMark/>
          </w:tcPr>
          <w:p w14:paraId="1E4D47F2"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0.28</w:t>
            </w:r>
          </w:p>
        </w:tc>
        <w:tc>
          <w:tcPr>
            <w:tcW w:w="2430" w:type="dxa"/>
            <w:shd w:val="clear" w:color="auto" w:fill="auto"/>
            <w:hideMark/>
          </w:tcPr>
          <w:p w14:paraId="15CDE23D" w14:textId="77777777" w:rsidR="007759EC" w:rsidRPr="0000713D" w:rsidRDefault="007759EC" w:rsidP="00FB73D8">
            <w:pPr>
              <w:spacing w:line="375" w:lineRule="atLeast"/>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0.01</w:t>
            </w:r>
          </w:p>
        </w:tc>
      </w:tr>
    </w:tbl>
    <w:p w14:paraId="476E65B0" w14:textId="3D711E0C" w:rsidR="0017139B" w:rsidRPr="0000713D" w:rsidRDefault="0017139B" w:rsidP="00FB73D8">
      <w:pPr>
        <w:pStyle w:val="ds-markdown-paragraph"/>
        <w:shd w:val="clear" w:color="auto" w:fill="FFFFFF"/>
        <w:spacing w:before="240" w:beforeAutospacing="0" w:after="240" w:afterAutospacing="0"/>
        <w:contextualSpacing/>
        <w:jc w:val="both"/>
      </w:pPr>
      <w:r w:rsidRPr="0000713D">
        <w:t>The results demonstrated strong robustness</w:t>
      </w:r>
      <w:r w:rsidR="008C6C31" w:rsidRPr="0000713D">
        <w:t xml:space="preserve"> (see Table S2). </w:t>
      </w:r>
      <w:r w:rsidRPr="0000713D">
        <w:t>The critical dissociation</w:t>
      </w:r>
      <w:r w:rsidRPr="0000713D">
        <w:noBreakHyphen/>
        <w:t xml:space="preserve">emptiness correlation was nearly identical across methods (Pearson </w:t>
      </w:r>
      <w:r w:rsidRPr="0000713D">
        <w:rPr>
          <w:i/>
          <w:iCs/>
        </w:rPr>
        <w:t>r</w:t>
      </w:r>
      <w:r w:rsidRPr="0000713D">
        <w:t xml:space="preserve"> = 0.25, heterogeneous </w:t>
      </w:r>
      <w:r w:rsidRPr="0000713D">
        <w:rPr>
          <w:i/>
          <w:iCs/>
        </w:rPr>
        <w:t>r</w:t>
      </w:r>
      <w:r w:rsidRPr="0000713D">
        <w:t xml:space="preserve"> = 0.25), and the dissociation</w:t>
      </w:r>
      <w:r w:rsidRPr="0000713D">
        <w:noBreakHyphen/>
        <w:t>emptiness network edge remained zero in both estimations. Beyond this specific edge, the overall network structures showed very high correspondence, with an edge weight correlation of r = 0.97 and a mean absolute difference of only 0.017 between methods (</w:t>
      </w:r>
      <w:r w:rsidR="000903F2" w:rsidRPr="0000713D">
        <w:t xml:space="preserve">see </w:t>
      </w:r>
      <w:r w:rsidRPr="0000713D">
        <w:t>Table S2</w:t>
      </w:r>
      <w:r w:rsidR="00CC0820" w:rsidRPr="0000713D">
        <w:t>)</w:t>
      </w:r>
      <w:r w:rsidR="00BC4BFB" w:rsidRPr="0000713D">
        <w:t xml:space="preserve">, </w:t>
      </w:r>
      <w:r w:rsidRPr="0000713D">
        <w:t>Strength centrality estimates were also highly consistent (e.g., emptiness: 1.18 vs. 1.13; dissociation: 0.29 vs. 0.28).</w:t>
      </w:r>
    </w:p>
    <w:p w14:paraId="520DC8FF" w14:textId="77777777" w:rsidR="00FB73D8" w:rsidRPr="0000713D" w:rsidRDefault="0017139B" w:rsidP="00FB73D8">
      <w:pPr>
        <w:pStyle w:val="ds-markdown-paragraph"/>
        <w:shd w:val="clear" w:color="auto" w:fill="FFFFFF"/>
        <w:spacing w:before="240" w:beforeAutospacing="0" w:after="0" w:afterAutospacing="0"/>
        <w:contextualSpacing/>
        <w:jc w:val="both"/>
      </w:pPr>
      <w:r w:rsidRPr="0000713D">
        <w:lastRenderedPageBreak/>
        <w:t>We acknowledge the EBICglasso warning regarding network density, which suggests potential false positives for very small edges. However, this does not affect our primary conclusion because we are demonstrating the </w:t>
      </w:r>
      <w:r w:rsidRPr="0000713D">
        <w:rPr>
          <w:rStyle w:val="Strong"/>
          <w:b w:val="0"/>
          <w:bCs w:val="0"/>
        </w:rPr>
        <w:t>absence</w:t>
      </w:r>
      <w:r w:rsidRPr="0000713D">
        <w:t> (zero edge) of the dissociation</w:t>
      </w:r>
      <w:r w:rsidRPr="0000713D">
        <w:noBreakHyphen/>
        <w:t>emptiness connection</w:t>
      </w:r>
      <w:r w:rsidR="00CC0820" w:rsidRPr="0000713D">
        <w:t xml:space="preserve">, </w:t>
      </w:r>
      <w:r w:rsidRPr="0000713D">
        <w:t>the opposite of a false positive concern.</w:t>
      </w:r>
    </w:p>
    <w:p w14:paraId="50E3271E" w14:textId="51A039F3" w:rsidR="00082C6A" w:rsidRPr="0000713D" w:rsidRDefault="00532637" w:rsidP="00082C6A">
      <w:pPr>
        <w:pStyle w:val="ds-markdown-paragraph"/>
        <w:shd w:val="clear" w:color="auto" w:fill="FFFFFF"/>
        <w:spacing w:before="240" w:beforeAutospacing="0" w:after="0" w:afterAutospacing="0"/>
        <w:contextualSpacing/>
        <w:jc w:val="both"/>
        <w:rPr>
          <w:shd w:val="clear" w:color="auto" w:fill="FFFFFF"/>
        </w:rPr>
      </w:pPr>
      <w:r w:rsidRPr="0000713D">
        <w:rPr>
          <w:shd w:val="clear" w:color="auto" w:fill="FFFFFF"/>
        </w:rPr>
        <w:t>We assessed the stability of centrality estimates using a case</w:t>
      </w:r>
      <w:r w:rsidRPr="0000713D">
        <w:rPr>
          <w:shd w:val="clear" w:color="auto" w:fill="FFFFFF"/>
        </w:rPr>
        <w:noBreakHyphen/>
        <w:t>dropping bootstrap with</w:t>
      </w:r>
      <w:r w:rsidR="004A2631" w:rsidRPr="0000713D">
        <w:rPr>
          <w:shd w:val="clear" w:color="auto" w:fill="FFFFFF"/>
        </w:rPr>
        <w:t xml:space="preserve"> 5,000 </w:t>
      </w:r>
      <w:r w:rsidRPr="0000713D">
        <w:rPr>
          <w:shd w:val="clear" w:color="auto" w:fill="FFFFFF"/>
        </w:rPr>
        <w:t xml:space="preserve">resamples </w:t>
      </w:r>
      <w:r w:rsidRPr="0000713D">
        <w:rPr>
          <w:shd w:val="clear" w:color="auto" w:fill="FFFFFF"/>
        </w:rPr>
        <w:fldChar w:fldCharType="begin"/>
      </w:r>
      <w:r w:rsidRPr="0000713D">
        <w:rPr>
          <w:shd w:val="clear" w:color="auto" w:fill="FFFFFF"/>
        </w:rPr>
        <w:instrText xml:space="preserve"> ADDIN EN.CITE &lt;EndNote&gt;&lt;Cite&gt;&lt;Author&gt;Epskamp&lt;/Author&gt;&lt;Year&gt;2018&lt;/Year&gt;&lt;RecNum&gt;131&lt;/RecNum&gt;&lt;DisplayText&gt;(Epskamp et al., 2018)&lt;/DisplayText&gt;&lt;record&gt;&lt;rec-number&gt;131&lt;/rec-number&gt;&lt;foreign-keys&gt;&lt;key app="EN" db-id="5ae5xzzxevwazpezfd3xdzvx2axxtve2wr5f" timestamp="1758271951"&gt;131&lt;/key&gt;&lt;/foreign-keys&gt;&lt;ref-type name="Journal Article"&gt;17&lt;/ref-type&gt;&lt;contributors&gt;&lt;authors&gt;&lt;author&gt;Epskamp, Sacha&lt;/author&gt;&lt;author&gt;Borsboom, Denny&lt;/author&gt;&lt;author&gt;Fried, Eiko I.&lt;/author&gt;&lt;/authors&gt;&lt;/contributors&gt;&lt;titles&gt;&lt;title&gt;Estimating psychological networks and their accuracy: A tutorial paper&lt;/title&gt;&lt;secondary-title&gt;Behavior Research Methods&lt;/secondary-title&gt;&lt;/titles&gt;&lt;periodical&gt;&lt;full-title&gt;Behavior Research Methods&lt;/full-title&gt;&lt;/periodical&gt;&lt;pages&gt;195-212&lt;/pages&gt;&lt;volume&gt;50&lt;/volume&gt;&lt;number&gt;1&lt;/number&gt;&lt;dates&gt;&lt;year&gt;2018&lt;/year&gt;&lt;pub-dates&gt;&lt;date&gt;2018/02/01&lt;/date&gt;&lt;/pub-dates&gt;&lt;/dates&gt;&lt;isbn&gt;1554-3528&lt;/isbn&gt;&lt;urls&gt;&lt;related-urls&gt;&lt;url&gt;https://doi.org/10.3758/s13428-017-0862-1&lt;/url&gt;&lt;/related-urls&gt;&lt;/urls&gt;&lt;electronic-resource-num&gt;10.3758/s13428-017-0862-1&lt;/electronic-resource-num&gt;&lt;/record&gt;&lt;/Cite&gt;&lt;/EndNote&gt;</w:instrText>
      </w:r>
      <w:r w:rsidRPr="0000713D">
        <w:rPr>
          <w:shd w:val="clear" w:color="auto" w:fill="FFFFFF"/>
        </w:rPr>
        <w:fldChar w:fldCharType="separate"/>
      </w:r>
      <w:r w:rsidRPr="0000713D">
        <w:rPr>
          <w:noProof/>
          <w:shd w:val="clear" w:color="auto" w:fill="FFFFFF"/>
        </w:rPr>
        <w:t>(Epskamp et al., 2018)</w:t>
      </w:r>
      <w:r w:rsidRPr="0000713D">
        <w:rPr>
          <w:shd w:val="clear" w:color="auto" w:fill="FFFFFF"/>
        </w:rPr>
        <w:fldChar w:fldCharType="end"/>
      </w:r>
      <w:r w:rsidRPr="0000713D">
        <w:rPr>
          <w:shd w:val="clear" w:color="auto" w:fill="FFFFFF"/>
        </w:rPr>
        <w:t>. The correlation stability (CS) coefficient for strength (CS = 0.75)</w:t>
      </w:r>
      <w:r w:rsidR="00C8286F" w:rsidRPr="0000713D">
        <w:rPr>
          <w:shd w:val="clear" w:color="auto" w:fill="FFFFFF"/>
        </w:rPr>
        <w:t xml:space="preserve"> </w:t>
      </w:r>
      <w:r w:rsidRPr="0000713D">
        <w:rPr>
          <w:shd w:val="clear" w:color="auto" w:fill="FFFFFF"/>
        </w:rPr>
        <w:t>exceeded the preferred threshold of 0.50, indicating</w:t>
      </w:r>
      <w:r w:rsidR="0058260C" w:rsidRPr="0000713D">
        <w:rPr>
          <w:shd w:val="clear" w:color="auto" w:fill="FFFFFF"/>
        </w:rPr>
        <w:t xml:space="preserve"> excellent</w:t>
      </w:r>
      <w:r w:rsidRPr="0000713D">
        <w:rPr>
          <w:shd w:val="clear" w:color="auto" w:fill="FFFFFF"/>
        </w:rPr>
        <w:t xml:space="preserve"> stability. Bootstrapped difference tests for edge weights and </w:t>
      </w:r>
      <w:r w:rsidR="00C8286F" w:rsidRPr="0000713D">
        <w:rPr>
          <w:shd w:val="clear" w:color="auto" w:fill="FFFFFF"/>
        </w:rPr>
        <w:t xml:space="preserve">strength </w:t>
      </w:r>
      <w:r w:rsidRPr="0000713D">
        <w:rPr>
          <w:shd w:val="clear" w:color="auto" w:fill="FFFFFF"/>
        </w:rPr>
        <w:t xml:space="preserve">centrality are presented in Figures </w:t>
      </w:r>
      <w:r w:rsidR="00CD212A" w:rsidRPr="0000713D">
        <w:rPr>
          <w:shd w:val="clear" w:color="auto" w:fill="FFFFFF"/>
        </w:rPr>
        <w:t>S</w:t>
      </w:r>
      <w:r w:rsidR="000E2700" w:rsidRPr="0000713D">
        <w:rPr>
          <w:shd w:val="clear" w:color="auto" w:fill="FFFFFF"/>
        </w:rPr>
        <w:t>1</w:t>
      </w:r>
      <w:r w:rsidR="002B63C4" w:rsidRPr="0000713D">
        <w:rPr>
          <w:shd w:val="clear" w:color="auto" w:fill="FFFFFF"/>
        </w:rPr>
        <w:t>-</w:t>
      </w:r>
      <w:r w:rsidR="008B225A" w:rsidRPr="0000713D">
        <w:rPr>
          <w:shd w:val="clear" w:color="auto" w:fill="FFFFFF"/>
        </w:rPr>
        <w:t>S3</w:t>
      </w:r>
      <w:r w:rsidRPr="0000713D">
        <w:rPr>
          <w:shd w:val="clear" w:color="auto" w:fill="FFFFFF"/>
        </w:rPr>
        <w:t xml:space="preserve">. </w:t>
      </w:r>
    </w:p>
    <w:p w14:paraId="543A495B" w14:textId="77777777" w:rsidR="00082C6A" w:rsidRPr="0000713D" w:rsidRDefault="00082C6A" w:rsidP="00082C6A">
      <w:pPr>
        <w:pStyle w:val="ds-markdown-paragraph"/>
        <w:shd w:val="clear" w:color="auto" w:fill="FFFFFF"/>
        <w:spacing w:before="240" w:beforeAutospacing="0" w:after="0" w:afterAutospacing="0"/>
        <w:contextualSpacing/>
        <w:jc w:val="both"/>
        <w:rPr>
          <w:shd w:val="clear" w:color="auto" w:fill="FFFFFF"/>
        </w:rPr>
      </w:pPr>
    </w:p>
    <w:p w14:paraId="06D8A1EA" w14:textId="6D5CA494" w:rsidR="00E914A8" w:rsidRPr="0000713D" w:rsidRDefault="002C6378" w:rsidP="00E914A8">
      <w:pPr>
        <w:pStyle w:val="ds-markdown-paragraph"/>
        <w:shd w:val="clear" w:color="auto" w:fill="FFFFFF"/>
        <w:spacing w:before="240" w:beforeAutospacing="0" w:after="240" w:afterAutospacing="0"/>
        <w:jc w:val="both"/>
      </w:pPr>
      <w:r w:rsidRPr="0000713D">
        <w:rPr>
          <w:b/>
          <w:bCs/>
        </w:rPr>
        <w:t>D</w:t>
      </w:r>
      <w:r w:rsidR="00082C6A" w:rsidRPr="0000713D">
        <w:rPr>
          <w:b/>
          <w:bCs/>
        </w:rPr>
        <w:t>issociation</w:t>
      </w:r>
      <w:r w:rsidR="00471F4C" w:rsidRPr="0000713D">
        <w:rPr>
          <w:b/>
          <w:bCs/>
        </w:rPr>
        <w:t>-</w:t>
      </w:r>
      <w:r w:rsidR="00082C6A" w:rsidRPr="0000713D">
        <w:rPr>
          <w:b/>
          <w:bCs/>
        </w:rPr>
        <w:t xml:space="preserve">emptiness correlations: </w:t>
      </w:r>
      <w:r w:rsidR="00E914A8" w:rsidRPr="0000713D">
        <w:t>The dissociation</w:t>
      </w:r>
      <w:r w:rsidR="00012882" w:rsidRPr="0000713D">
        <w:t>-</w:t>
      </w:r>
      <w:r w:rsidR="00E914A8" w:rsidRPr="0000713D">
        <w:t>emptiness association yielded three different coefficients depending on the analytical approach:</w:t>
      </w:r>
    </w:p>
    <w:p w14:paraId="3FC84F1F" w14:textId="0B60E783" w:rsidR="00E914A8" w:rsidRPr="0000713D" w:rsidRDefault="00E914A8" w:rsidP="00E914A8">
      <w:pPr>
        <w:pStyle w:val="ds-markdown-paragraph"/>
        <w:shd w:val="clear" w:color="auto" w:fill="FFFFFF"/>
        <w:spacing w:before="0" w:beforeAutospacing="0" w:after="0" w:afterAutospacing="0"/>
        <w:jc w:val="both"/>
      </w:pPr>
      <w:r w:rsidRPr="0000713D">
        <w:rPr>
          <w:rStyle w:val="Strong"/>
          <w:b w:val="0"/>
          <w:bCs w:val="0"/>
          <w:i/>
          <w:iCs/>
        </w:rPr>
        <w:t>Zero-order Pearson correlation (r = 0.25):</w:t>
      </w:r>
      <w:r w:rsidRPr="0000713D">
        <w:t> The raw bivariate association, not accounting for other variables.</w:t>
      </w:r>
    </w:p>
    <w:p w14:paraId="02902C2F" w14:textId="1F9E31FB" w:rsidR="00E914A8" w:rsidRPr="0000713D" w:rsidRDefault="00E914A8" w:rsidP="00E914A8">
      <w:pPr>
        <w:pStyle w:val="ds-markdown-paragraph"/>
        <w:shd w:val="clear" w:color="auto" w:fill="FFFFFF"/>
        <w:spacing w:before="0" w:beforeAutospacing="0" w:after="0" w:afterAutospacing="0"/>
        <w:jc w:val="both"/>
      </w:pPr>
      <w:r w:rsidRPr="0000713D">
        <w:rPr>
          <w:rStyle w:val="Strong"/>
          <w:b w:val="0"/>
          <w:bCs w:val="0"/>
          <w:i/>
          <w:iCs/>
        </w:rPr>
        <w:t>Unregularized partial correlation (r = −0.02):</w:t>
      </w:r>
      <w:r w:rsidRPr="0000713D">
        <w:t> The association after statistically controlling for all other nodes (i.e., shared variance with hopelessness, loneliness, boredom, and dysphoria is removed).</w:t>
      </w:r>
    </w:p>
    <w:p w14:paraId="6FFBCB55" w14:textId="77777777" w:rsidR="00E914A8" w:rsidRPr="0000713D" w:rsidRDefault="00E914A8" w:rsidP="00E914A8">
      <w:pPr>
        <w:pStyle w:val="ds-markdown-paragraph"/>
        <w:shd w:val="clear" w:color="auto" w:fill="FFFFFF"/>
        <w:spacing w:before="0" w:beforeAutospacing="0" w:after="0" w:afterAutospacing="0"/>
        <w:jc w:val="both"/>
      </w:pPr>
      <w:r w:rsidRPr="0000713D">
        <w:rPr>
          <w:rStyle w:val="Strong"/>
          <w:b w:val="0"/>
          <w:bCs w:val="0"/>
          <w:i/>
          <w:iCs/>
        </w:rPr>
        <w:t>Regularized EBICglasso edge (0.00):</w:t>
      </w:r>
      <w:r w:rsidRPr="0000713D">
        <w:t> The partial correlation after applying L1 regularization to reduce spurious connections.</w:t>
      </w:r>
    </w:p>
    <w:p w14:paraId="29B467EE" w14:textId="1622A3DA" w:rsidR="00E914A8" w:rsidRPr="0000713D" w:rsidRDefault="00E914A8" w:rsidP="00E914A8">
      <w:pPr>
        <w:pStyle w:val="ds-markdown-paragraph"/>
        <w:shd w:val="clear" w:color="auto" w:fill="FFFFFF"/>
        <w:spacing w:before="240" w:beforeAutospacing="0" w:after="240" w:afterAutospacing="0"/>
        <w:jc w:val="both"/>
      </w:pPr>
      <w:r w:rsidRPr="0000713D">
        <w:t>The near-zero partial correlations indicate that the bivariate dissociation–emptiness association is largely accounted for by shared variance with other constructs (e.g., dysphoria, loneliness, boredom, and hopelessness). The regularized and unregularized partial correlations are consistent with one another, confirming that the dissociation–emptiness connection is effectively zero when shared variance with other nodes is accounted for. The non-significant p-value (</w:t>
      </w:r>
      <w:r w:rsidRPr="0000713D">
        <w:rPr>
          <w:i/>
          <w:iCs/>
        </w:rPr>
        <w:t xml:space="preserve">p </w:t>
      </w:r>
      <w:r w:rsidRPr="0000713D">
        <w:t>= 0.69) further confirms that this relationship is not statistically significant.</w:t>
      </w:r>
    </w:p>
    <w:p w14:paraId="4838D6E4" w14:textId="2A9759E8" w:rsidR="00F50CB1" w:rsidRPr="0000713D" w:rsidRDefault="00F50CB1" w:rsidP="00012882">
      <w:pPr>
        <w:shd w:val="clear" w:color="auto" w:fill="FFFFFF"/>
        <w:spacing w:before="240" w:after="240" w:line="240" w:lineRule="auto"/>
        <w:rPr>
          <w:rFonts w:ascii="Times New Roman" w:eastAsia="Times New Roman" w:hAnsi="Times New Roman" w:cs="Times New Roman"/>
          <w:sz w:val="24"/>
          <w:szCs w:val="24"/>
        </w:rPr>
      </w:pPr>
      <w:r w:rsidRPr="0000713D">
        <w:rPr>
          <w:rFonts w:ascii="Times New Roman" w:eastAsia="Times New Roman" w:hAnsi="Times New Roman" w:cs="Times New Roman"/>
          <w:sz w:val="24"/>
          <w:szCs w:val="24"/>
        </w:rPr>
        <w:t>Table</w:t>
      </w:r>
      <w:r w:rsidR="00E914A8" w:rsidRPr="0000713D">
        <w:rPr>
          <w:rFonts w:ascii="Times New Roman" w:eastAsia="Times New Roman" w:hAnsi="Times New Roman" w:cs="Times New Roman"/>
          <w:sz w:val="24"/>
          <w:szCs w:val="24"/>
        </w:rPr>
        <w:t xml:space="preserve"> S3</w:t>
      </w:r>
      <w:r w:rsidRPr="0000713D">
        <w:rPr>
          <w:rFonts w:ascii="Times New Roman" w:eastAsia="Times New Roman" w:hAnsi="Times New Roman" w:cs="Times New Roman"/>
          <w:sz w:val="24"/>
          <w:szCs w:val="24"/>
        </w:rPr>
        <w:t>. Full Unregularized Partial Correlation Matrix with p-Values</w:t>
      </w:r>
    </w:p>
    <w:tbl>
      <w:tblPr>
        <w:tblStyle w:val="ListTable6Colorful"/>
        <w:tblW w:w="0" w:type="auto"/>
        <w:tblLook w:val="04A0" w:firstRow="1" w:lastRow="0" w:firstColumn="1" w:lastColumn="0" w:noHBand="0" w:noVBand="1"/>
      </w:tblPr>
      <w:tblGrid>
        <w:gridCol w:w="3330"/>
        <w:gridCol w:w="1530"/>
        <w:gridCol w:w="1620"/>
        <w:gridCol w:w="1980"/>
      </w:tblGrid>
      <w:tr w:rsidR="008B225A" w:rsidRPr="0000713D" w14:paraId="2A3D1A00" w14:textId="77777777" w:rsidTr="00702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4798CB22"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Edge</w:t>
            </w:r>
          </w:p>
        </w:tc>
        <w:tc>
          <w:tcPr>
            <w:tcW w:w="1530" w:type="dxa"/>
            <w:shd w:val="clear" w:color="auto" w:fill="auto"/>
            <w:hideMark/>
          </w:tcPr>
          <w:p w14:paraId="4BB5BD2E" w14:textId="77777777" w:rsidR="00F50CB1" w:rsidRPr="0000713D" w:rsidRDefault="00F50CB1" w:rsidP="0001288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r</w:t>
            </w:r>
          </w:p>
        </w:tc>
        <w:tc>
          <w:tcPr>
            <w:tcW w:w="1620" w:type="dxa"/>
            <w:shd w:val="clear" w:color="auto" w:fill="auto"/>
            <w:hideMark/>
          </w:tcPr>
          <w:p w14:paraId="162761C9" w14:textId="77777777" w:rsidR="00F50CB1" w:rsidRPr="0000713D" w:rsidRDefault="00F50CB1" w:rsidP="0001288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p (unadjusted)</w:t>
            </w:r>
          </w:p>
        </w:tc>
        <w:tc>
          <w:tcPr>
            <w:tcW w:w="1980" w:type="dxa"/>
            <w:shd w:val="clear" w:color="auto" w:fill="auto"/>
            <w:hideMark/>
          </w:tcPr>
          <w:p w14:paraId="7FDF07D9" w14:textId="77777777" w:rsidR="00F50CB1" w:rsidRPr="0000713D" w:rsidRDefault="00F50CB1" w:rsidP="0001288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p (FDR-adjusted)</w:t>
            </w:r>
          </w:p>
        </w:tc>
      </w:tr>
      <w:tr w:rsidR="008B225A" w:rsidRPr="0000713D" w14:paraId="1BE942E6"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051B49BF"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lastRenderedPageBreak/>
              <w:t>Hopelessness–Emptiness</w:t>
            </w:r>
          </w:p>
        </w:tc>
        <w:tc>
          <w:tcPr>
            <w:tcW w:w="1530" w:type="dxa"/>
            <w:shd w:val="clear" w:color="auto" w:fill="auto"/>
            <w:hideMark/>
          </w:tcPr>
          <w:p w14:paraId="02E8CC67"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0.147</w:t>
            </w:r>
          </w:p>
        </w:tc>
        <w:tc>
          <w:tcPr>
            <w:tcW w:w="1620" w:type="dxa"/>
            <w:shd w:val="clear" w:color="auto" w:fill="auto"/>
            <w:hideMark/>
          </w:tcPr>
          <w:p w14:paraId="37F63EBF"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0.003</w:t>
            </w:r>
          </w:p>
        </w:tc>
        <w:tc>
          <w:tcPr>
            <w:tcW w:w="1980" w:type="dxa"/>
            <w:shd w:val="clear" w:color="auto" w:fill="auto"/>
            <w:hideMark/>
          </w:tcPr>
          <w:p w14:paraId="7CD1E91F"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0.008</w:t>
            </w:r>
          </w:p>
        </w:tc>
      </w:tr>
      <w:tr w:rsidR="008B225A" w:rsidRPr="0000713D" w14:paraId="57D0925C"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5EB8361D"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Hopelessness–Loneliness</w:t>
            </w:r>
          </w:p>
        </w:tc>
        <w:tc>
          <w:tcPr>
            <w:tcW w:w="1530" w:type="dxa"/>
            <w:shd w:val="clear" w:color="auto" w:fill="auto"/>
            <w:hideMark/>
          </w:tcPr>
          <w:p w14:paraId="5C00D817"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0.119</w:t>
            </w:r>
          </w:p>
        </w:tc>
        <w:tc>
          <w:tcPr>
            <w:tcW w:w="1620" w:type="dxa"/>
            <w:shd w:val="clear" w:color="auto" w:fill="auto"/>
            <w:hideMark/>
          </w:tcPr>
          <w:p w14:paraId="276ED73A"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0.018</w:t>
            </w:r>
          </w:p>
        </w:tc>
        <w:tc>
          <w:tcPr>
            <w:tcW w:w="1980" w:type="dxa"/>
            <w:shd w:val="clear" w:color="auto" w:fill="auto"/>
            <w:hideMark/>
          </w:tcPr>
          <w:p w14:paraId="6243A2FC"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0.032</w:t>
            </w:r>
          </w:p>
        </w:tc>
      </w:tr>
      <w:tr w:rsidR="008B225A" w:rsidRPr="0000713D" w14:paraId="4765AFDE"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778BB414"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Hopelessness–Boredom</w:t>
            </w:r>
          </w:p>
        </w:tc>
        <w:tc>
          <w:tcPr>
            <w:tcW w:w="1530" w:type="dxa"/>
            <w:shd w:val="clear" w:color="auto" w:fill="auto"/>
            <w:hideMark/>
          </w:tcPr>
          <w:p w14:paraId="4588493E"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0.248</w:t>
            </w:r>
          </w:p>
        </w:tc>
        <w:tc>
          <w:tcPr>
            <w:tcW w:w="1620" w:type="dxa"/>
            <w:shd w:val="clear" w:color="auto" w:fill="auto"/>
            <w:hideMark/>
          </w:tcPr>
          <w:p w14:paraId="186EB19B"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c>
          <w:tcPr>
            <w:tcW w:w="1980" w:type="dxa"/>
            <w:shd w:val="clear" w:color="auto" w:fill="auto"/>
            <w:hideMark/>
          </w:tcPr>
          <w:p w14:paraId="69A0583B"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r>
      <w:tr w:rsidR="008B225A" w:rsidRPr="0000713D" w14:paraId="55841293"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2318A8B9"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Hopelessness–Dissociation</w:t>
            </w:r>
          </w:p>
        </w:tc>
        <w:tc>
          <w:tcPr>
            <w:tcW w:w="1530" w:type="dxa"/>
            <w:shd w:val="clear" w:color="auto" w:fill="auto"/>
            <w:hideMark/>
          </w:tcPr>
          <w:p w14:paraId="040D8938"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0.099</w:t>
            </w:r>
          </w:p>
        </w:tc>
        <w:tc>
          <w:tcPr>
            <w:tcW w:w="1620" w:type="dxa"/>
            <w:shd w:val="clear" w:color="auto" w:fill="auto"/>
            <w:hideMark/>
          </w:tcPr>
          <w:p w14:paraId="1655CBD0"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0.049</w:t>
            </w:r>
          </w:p>
        </w:tc>
        <w:tc>
          <w:tcPr>
            <w:tcW w:w="1980" w:type="dxa"/>
            <w:shd w:val="clear" w:color="auto" w:fill="auto"/>
            <w:hideMark/>
          </w:tcPr>
          <w:p w14:paraId="7478B351"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0.074</w:t>
            </w:r>
          </w:p>
        </w:tc>
      </w:tr>
      <w:tr w:rsidR="008B225A" w:rsidRPr="0000713D" w14:paraId="377B71D4"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46C97DD3"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Hopelessness–Dysphoria</w:t>
            </w:r>
          </w:p>
        </w:tc>
        <w:tc>
          <w:tcPr>
            <w:tcW w:w="1530" w:type="dxa"/>
            <w:shd w:val="clear" w:color="auto" w:fill="auto"/>
            <w:hideMark/>
          </w:tcPr>
          <w:p w14:paraId="3AECDB20"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0.086</w:t>
            </w:r>
          </w:p>
        </w:tc>
        <w:tc>
          <w:tcPr>
            <w:tcW w:w="1620" w:type="dxa"/>
            <w:shd w:val="clear" w:color="auto" w:fill="auto"/>
            <w:hideMark/>
          </w:tcPr>
          <w:p w14:paraId="2B9F1B71"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0.087</w:t>
            </w:r>
          </w:p>
        </w:tc>
        <w:tc>
          <w:tcPr>
            <w:tcW w:w="1980" w:type="dxa"/>
            <w:shd w:val="clear" w:color="auto" w:fill="auto"/>
            <w:hideMark/>
          </w:tcPr>
          <w:p w14:paraId="11EC761A"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0.109</w:t>
            </w:r>
          </w:p>
        </w:tc>
      </w:tr>
      <w:tr w:rsidR="008B225A" w:rsidRPr="0000713D" w14:paraId="6B3C97D9"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15CA9634"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Emptiness–Loneliness</w:t>
            </w:r>
          </w:p>
        </w:tc>
        <w:tc>
          <w:tcPr>
            <w:tcW w:w="1530" w:type="dxa"/>
            <w:shd w:val="clear" w:color="auto" w:fill="auto"/>
            <w:hideMark/>
          </w:tcPr>
          <w:p w14:paraId="17F1079C"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0.389</w:t>
            </w:r>
          </w:p>
        </w:tc>
        <w:tc>
          <w:tcPr>
            <w:tcW w:w="1620" w:type="dxa"/>
            <w:shd w:val="clear" w:color="auto" w:fill="auto"/>
            <w:hideMark/>
          </w:tcPr>
          <w:p w14:paraId="14BDA06D"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c>
          <w:tcPr>
            <w:tcW w:w="1980" w:type="dxa"/>
            <w:shd w:val="clear" w:color="auto" w:fill="auto"/>
            <w:hideMark/>
          </w:tcPr>
          <w:p w14:paraId="49C02447"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r>
      <w:tr w:rsidR="008B225A" w:rsidRPr="0000713D" w14:paraId="39F1C17F"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0E9A5ACB"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Emptiness–Boredom</w:t>
            </w:r>
          </w:p>
        </w:tc>
        <w:tc>
          <w:tcPr>
            <w:tcW w:w="1530" w:type="dxa"/>
            <w:shd w:val="clear" w:color="auto" w:fill="auto"/>
            <w:hideMark/>
          </w:tcPr>
          <w:p w14:paraId="5299D411"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0.303</w:t>
            </w:r>
          </w:p>
        </w:tc>
        <w:tc>
          <w:tcPr>
            <w:tcW w:w="1620" w:type="dxa"/>
            <w:shd w:val="clear" w:color="auto" w:fill="auto"/>
            <w:hideMark/>
          </w:tcPr>
          <w:p w14:paraId="72698476"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c>
          <w:tcPr>
            <w:tcW w:w="1980" w:type="dxa"/>
            <w:shd w:val="clear" w:color="auto" w:fill="auto"/>
            <w:hideMark/>
          </w:tcPr>
          <w:p w14:paraId="550B9F79"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r>
      <w:tr w:rsidR="008B225A" w:rsidRPr="0000713D" w14:paraId="3350D07F"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0A98E521"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Emptiness–Dissociation</w:t>
            </w:r>
          </w:p>
        </w:tc>
        <w:tc>
          <w:tcPr>
            <w:tcW w:w="1530" w:type="dxa"/>
            <w:shd w:val="clear" w:color="auto" w:fill="auto"/>
            <w:hideMark/>
          </w:tcPr>
          <w:p w14:paraId="269ADB1D"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−0.020</w:t>
            </w:r>
          </w:p>
        </w:tc>
        <w:tc>
          <w:tcPr>
            <w:tcW w:w="1620" w:type="dxa"/>
            <w:shd w:val="clear" w:color="auto" w:fill="auto"/>
            <w:hideMark/>
          </w:tcPr>
          <w:p w14:paraId="1DD49CE3"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0.690</w:t>
            </w:r>
          </w:p>
        </w:tc>
        <w:tc>
          <w:tcPr>
            <w:tcW w:w="1980" w:type="dxa"/>
            <w:shd w:val="clear" w:color="auto" w:fill="auto"/>
            <w:hideMark/>
          </w:tcPr>
          <w:p w14:paraId="00937088"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0.690</w:t>
            </w:r>
          </w:p>
        </w:tc>
      </w:tr>
      <w:tr w:rsidR="008B225A" w:rsidRPr="0000713D" w14:paraId="3C5D96E9"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3E5B6FBB"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Emptiness–Dysphoria</w:t>
            </w:r>
          </w:p>
        </w:tc>
        <w:tc>
          <w:tcPr>
            <w:tcW w:w="1530" w:type="dxa"/>
            <w:shd w:val="clear" w:color="auto" w:fill="auto"/>
            <w:hideMark/>
          </w:tcPr>
          <w:p w14:paraId="54DA24DF"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0.376</w:t>
            </w:r>
          </w:p>
        </w:tc>
        <w:tc>
          <w:tcPr>
            <w:tcW w:w="1620" w:type="dxa"/>
            <w:shd w:val="clear" w:color="auto" w:fill="auto"/>
            <w:hideMark/>
          </w:tcPr>
          <w:p w14:paraId="4FC56F8E"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c>
          <w:tcPr>
            <w:tcW w:w="1980" w:type="dxa"/>
            <w:shd w:val="clear" w:color="auto" w:fill="auto"/>
            <w:hideMark/>
          </w:tcPr>
          <w:p w14:paraId="64556DAE"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r>
      <w:tr w:rsidR="008B225A" w:rsidRPr="0000713D" w14:paraId="56A91CA4"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6D73354B"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Loneliness–Boredom</w:t>
            </w:r>
          </w:p>
        </w:tc>
        <w:tc>
          <w:tcPr>
            <w:tcW w:w="1530" w:type="dxa"/>
            <w:shd w:val="clear" w:color="auto" w:fill="auto"/>
            <w:hideMark/>
          </w:tcPr>
          <w:p w14:paraId="77D0777A"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−0.017</w:t>
            </w:r>
          </w:p>
        </w:tc>
        <w:tc>
          <w:tcPr>
            <w:tcW w:w="1620" w:type="dxa"/>
            <w:shd w:val="clear" w:color="auto" w:fill="auto"/>
            <w:hideMark/>
          </w:tcPr>
          <w:p w14:paraId="13847FA1"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0.739</w:t>
            </w:r>
          </w:p>
        </w:tc>
        <w:tc>
          <w:tcPr>
            <w:tcW w:w="1980" w:type="dxa"/>
            <w:shd w:val="clear" w:color="auto" w:fill="auto"/>
            <w:hideMark/>
          </w:tcPr>
          <w:p w14:paraId="5D210426"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0.739</w:t>
            </w:r>
          </w:p>
        </w:tc>
      </w:tr>
      <w:tr w:rsidR="008B225A" w:rsidRPr="0000713D" w14:paraId="4D4AF1B3"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30BC9C91"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Loneliness–Dissociation</w:t>
            </w:r>
          </w:p>
        </w:tc>
        <w:tc>
          <w:tcPr>
            <w:tcW w:w="1530" w:type="dxa"/>
            <w:shd w:val="clear" w:color="auto" w:fill="auto"/>
            <w:hideMark/>
          </w:tcPr>
          <w:p w14:paraId="4ECF2A1C"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−0.041</w:t>
            </w:r>
          </w:p>
        </w:tc>
        <w:tc>
          <w:tcPr>
            <w:tcW w:w="1620" w:type="dxa"/>
            <w:shd w:val="clear" w:color="auto" w:fill="auto"/>
            <w:hideMark/>
          </w:tcPr>
          <w:p w14:paraId="7C8F604A"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0.417</w:t>
            </w:r>
          </w:p>
        </w:tc>
        <w:tc>
          <w:tcPr>
            <w:tcW w:w="1980" w:type="dxa"/>
            <w:shd w:val="clear" w:color="auto" w:fill="auto"/>
            <w:hideMark/>
          </w:tcPr>
          <w:p w14:paraId="236DFB35"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0.469</w:t>
            </w:r>
          </w:p>
        </w:tc>
      </w:tr>
      <w:tr w:rsidR="008B225A" w:rsidRPr="0000713D" w14:paraId="6301D7B3"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4F274AE0"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Loneliness–Dysphoria</w:t>
            </w:r>
          </w:p>
        </w:tc>
        <w:tc>
          <w:tcPr>
            <w:tcW w:w="1530" w:type="dxa"/>
            <w:shd w:val="clear" w:color="auto" w:fill="auto"/>
            <w:hideMark/>
          </w:tcPr>
          <w:p w14:paraId="31704DF7"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0.270</w:t>
            </w:r>
          </w:p>
        </w:tc>
        <w:tc>
          <w:tcPr>
            <w:tcW w:w="1620" w:type="dxa"/>
            <w:shd w:val="clear" w:color="auto" w:fill="auto"/>
            <w:hideMark/>
          </w:tcPr>
          <w:p w14:paraId="3C6BC75C"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c>
          <w:tcPr>
            <w:tcW w:w="1980" w:type="dxa"/>
            <w:shd w:val="clear" w:color="auto" w:fill="auto"/>
            <w:hideMark/>
          </w:tcPr>
          <w:p w14:paraId="0DCBEAF8"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&lt; 0.001</w:t>
            </w:r>
          </w:p>
        </w:tc>
      </w:tr>
      <w:tr w:rsidR="008B225A" w:rsidRPr="0000713D" w14:paraId="3B91B625"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58BCE34A"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Boredom–Dissociation</w:t>
            </w:r>
          </w:p>
        </w:tc>
        <w:tc>
          <w:tcPr>
            <w:tcW w:w="1530" w:type="dxa"/>
            <w:shd w:val="clear" w:color="auto" w:fill="auto"/>
            <w:hideMark/>
          </w:tcPr>
          <w:p w14:paraId="616871FC"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0.122</w:t>
            </w:r>
          </w:p>
        </w:tc>
        <w:tc>
          <w:tcPr>
            <w:tcW w:w="1620" w:type="dxa"/>
            <w:shd w:val="clear" w:color="auto" w:fill="auto"/>
            <w:hideMark/>
          </w:tcPr>
          <w:p w14:paraId="7EE9C428"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0.015</w:t>
            </w:r>
          </w:p>
        </w:tc>
        <w:tc>
          <w:tcPr>
            <w:tcW w:w="1980" w:type="dxa"/>
            <w:shd w:val="clear" w:color="auto" w:fill="auto"/>
            <w:hideMark/>
          </w:tcPr>
          <w:p w14:paraId="69173D25"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0.029</w:t>
            </w:r>
          </w:p>
        </w:tc>
      </w:tr>
      <w:tr w:rsidR="008B225A" w:rsidRPr="0000713D" w14:paraId="590C97E3" w14:textId="77777777" w:rsidTr="0070270C">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60056D06"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Boredom–Dysphoria</w:t>
            </w:r>
          </w:p>
        </w:tc>
        <w:tc>
          <w:tcPr>
            <w:tcW w:w="1530" w:type="dxa"/>
            <w:shd w:val="clear" w:color="auto" w:fill="auto"/>
            <w:hideMark/>
          </w:tcPr>
          <w:p w14:paraId="4B34793D"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0.132</w:t>
            </w:r>
          </w:p>
        </w:tc>
        <w:tc>
          <w:tcPr>
            <w:tcW w:w="1620" w:type="dxa"/>
            <w:shd w:val="clear" w:color="auto" w:fill="auto"/>
            <w:hideMark/>
          </w:tcPr>
          <w:p w14:paraId="371BEEE1"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0.009</w:t>
            </w:r>
          </w:p>
        </w:tc>
        <w:tc>
          <w:tcPr>
            <w:tcW w:w="1980" w:type="dxa"/>
            <w:shd w:val="clear" w:color="auto" w:fill="auto"/>
            <w:hideMark/>
          </w:tcPr>
          <w:p w14:paraId="45A7FFC9" w14:textId="77777777" w:rsidR="00F50CB1" w:rsidRPr="0000713D" w:rsidRDefault="00F50CB1" w:rsidP="0001288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0.018</w:t>
            </w:r>
          </w:p>
        </w:tc>
      </w:tr>
      <w:tr w:rsidR="008B225A" w:rsidRPr="0000713D" w14:paraId="5ED9F5A2" w14:textId="77777777" w:rsidTr="0070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hideMark/>
          </w:tcPr>
          <w:p w14:paraId="532BBF72" w14:textId="77777777" w:rsidR="00F50CB1" w:rsidRPr="0000713D" w:rsidRDefault="00F50CB1" w:rsidP="00012882">
            <w:pPr>
              <w:spacing w:line="360" w:lineRule="auto"/>
              <w:rPr>
                <w:rFonts w:ascii="Times New Roman" w:eastAsia="Times New Roman" w:hAnsi="Times New Roman" w:cs="Times New Roman"/>
                <w:b w:val="0"/>
                <w:bCs w:val="0"/>
                <w:color w:val="auto"/>
                <w:sz w:val="23"/>
                <w:szCs w:val="23"/>
              </w:rPr>
            </w:pPr>
            <w:r w:rsidRPr="0000713D">
              <w:rPr>
                <w:rFonts w:ascii="Times New Roman" w:eastAsia="Times New Roman" w:hAnsi="Times New Roman" w:cs="Times New Roman"/>
                <w:b w:val="0"/>
                <w:bCs w:val="0"/>
                <w:color w:val="auto"/>
                <w:sz w:val="23"/>
                <w:szCs w:val="23"/>
              </w:rPr>
              <w:t>Dissociation–Dysphoria</w:t>
            </w:r>
          </w:p>
        </w:tc>
        <w:tc>
          <w:tcPr>
            <w:tcW w:w="1530" w:type="dxa"/>
            <w:shd w:val="clear" w:color="auto" w:fill="auto"/>
            <w:hideMark/>
          </w:tcPr>
          <w:p w14:paraId="505C6C67"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0.144</w:t>
            </w:r>
          </w:p>
        </w:tc>
        <w:tc>
          <w:tcPr>
            <w:tcW w:w="1620" w:type="dxa"/>
            <w:shd w:val="clear" w:color="auto" w:fill="auto"/>
            <w:hideMark/>
          </w:tcPr>
          <w:p w14:paraId="04B78C28"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0.004</w:t>
            </w:r>
          </w:p>
        </w:tc>
        <w:tc>
          <w:tcPr>
            <w:tcW w:w="1980" w:type="dxa"/>
            <w:shd w:val="clear" w:color="auto" w:fill="auto"/>
            <w:hideMark/>
          </w:tcPr>
          <w:p w14:paraId="10887AC1" w14:textId="77777777" w:rsidR="00F50CB1" w:rsidRPr="0000713D" w:rsidRDefault="00F50CB1" w:rsidP="0001288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3"/>
                <w:szCs w:val="23"/>
              </w:rPr>
            </w:pPr>
            <w:r w:rsidRPr="0000713D">
              <w:rPr>
                <w:rFonts w:ascii="Times New Roman" w:eastAsia="Times New Roman" w:hAnsi="Times New Roman" w:cs="Times New Roman"/>
                <w:color w:val="auto"/>
                <w:sz w:val="23"/>
                <w:szCs w:val="23"/>
              </w:rPr>
              <w:t>0.011</w:t>
            </w:r>
          </w:p>
        </w:tc>
      </w:tr>
    </w:tbl>
    <w:p w14:paraId="311EF9F4" w14:textId="605A9798" w:rsidR="00532637" w:rsidRPr="0000713D" w:rsidRDefault="00F50CB1" w:rsidP="00012882">
      <w:pPr>
        <w:shd w:val="clear" w:color="auto" w:fill="FFFFFF"/>
        <w:spacing w:before="240" w:after="240" w:line="360" w:lineRule="auto"/>
        <w:rPr>
          <w:rFonts w:ascii="Times New Roman" w:eastAsia="Times New Roman" w:hAnsi="Times New Roman" w:cs="Times New Roman"/>
          <w:sz w:val="24"/>
          <w:szCs w:val="24"/>
        </w:rPr>
      </w:pPr>
      <w:r w:rsidRPr="0000713D">
        <w:rPr>
          <w:rFonts w:ascii="Times New Roman" w:eastAsia="Times New Roman" w:hAnsi="Times New Roman" w:cs="Times New Roman"/>
          <w:i/>
          <w:iCs/>
          <w:sz w:val="24"/>
          <w:szCs w:val="24"/>
        </w:rPr>
        <w:t>Note: FDR correction applied using the Benjamini–Hochberg procedure (q = 0.05).</w:t>
      </w:r>
    </w:p>
    <w:p w14:paraId="1B2B4F2E" w14:textId="77777777" w:rsidR="00533044" w:rsidRPr="0000713D" w:rsidRDefault="00533044" w:rsidP="00FB73D8">
      <w:pPr>
        <w:contextualSpacing/>
        <w:jc w:val="both"/>
        <w:rPr>
          <w:rFonts w:ascii="Times New Roman" w:hAnsi="Times New Roman" w:cs="Times New Roman"/>
          <w:sz w:val="24"/>
          <w:szCs w:val="24"/>
          <w:shd w:val="clear" w:color="auto" w:fill="FFFFFF"/>
        </w:rPr>
      </w:pPr>
    </w:p>
    <w:p w14:paraId="03D584B1" w14:textId="51433A95" w:rsidR="00532637" w:rsidRPr="0000713D" w:rsidRDefault="00C30BB4" w:rsidP="00FB73D8">
      <w:pPr>
        <w:contextualSpacing/>
        <w:jc w:val="both"/>
        <w:rPr>
          <w:rFonts w:ascii="Times New Roman" w:hAnsi="Times New Roman" w:cs="Times New Roman"/>
          <w:sz w:val="24"/>
          <w:szCs w:val="24"/>
          <w:lang w:bidi="fa-IR"/>
        </w:rPr>
      </w:pPr>
      <w:r w:rsidRPr="0000713D">
        <w:rPr>
          <w:noProof/>
        </w:rPr>
        <w:drawing>
          <wp:inline distT="0" distB="0" distL="0" distR="0" wp14:anchorId="256AF20A" wp14:editId="5C4F327C">
            <wp:extent cx="5943600" cy="29571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57195"/>
                    </a:xfrm>
                    <a:prstGeom prst="rect">
                      <a:avLst/>
                    </a:prstGeom>
                    <a:noFill/>
                    <a:ln>
                      <a:noFill/>
                    </a:ln>
                  </pic:spPr>
                </pic:pic>
              </a:graphicData>
            </a:graphic>
          </wp:inline>
        </w:drawing>
      </w:r>
    </w:p>
    <w:p w14:paraId="315021A4" w14:textId="350CF6F7" w:rsidR="00532637" w:rsidRPr="0000713D" w:rsidRDefault="00532637" w:rsidP="00FB73D8">
      <w:pPr>
        <w:tabs>
          <w:tab w:val="left" w:pos="2220"/>
        </w:tabs>
        <w:contextualSpacing/>
        <w:jc w:val="both"/>
        <w:rPr>
          <w:rFonts w:ascii="Times New Roman" w:hAnsi="Times New Roman" w:cs="Times New Roman"/>
          <w:spacing w:val="1"/>
          <w:sz w:val="24"/>
          <w:szCs w:val="24"/>
        </w:rPr>
      </w:pPr>
      <w:r w:rsidRPr="0000713D">
        <w:rPr>
          <w:rFonts w:ascii="Times New Roman" w:hAnsi="Times New Roman" w:cs="Times New Roman"/>
          <w:b/>
          <w:bCs/>
          <w:spacing w:val="1"/>
          <w:sz w:val="24"/>
          <w:szCs w:val="24"/>
        </w:rPr>
        <w:t xml:space="preserve">Fig </w:t>
      </w:r>
      <w:r w:rsidR="00386298" w:rsidRPr="0000713D">
        <w:rPr>
          <w:rFonts w:ascii="Times New Roman" w:hAnsi="Times New Roman" w:cs="Times New Roman"/>
          <w:b/>
          <w:bCs/>
          <w:spacing w:val="1"/>
          <w:sz w:val="24"/>
          <w:szCs w:val="24"/>
        </w:rPr>
        <w:t>S1</w:t>
      </w:r>
      <w:r w:rsidRPr="0000713D">
        <w:rPr>
          <w:rFonts w:ascii="Times New Roman" w:hAnsi="Times New Roman" w:cs="Times New Roman"/>
          <w:b/>
          <w:bCs/>
          <w:spacing w:val="1"/>
          <w:sz w:val="24"/>
          <w:szCs w:val="24"/>
        </w:rPr>
        <w:t>.</w:t>
      </w:r>
      <w:r w:rsidRPr="0000713D">
        <w:rPr>
          <w:rFonts w:ascii="Times New Roman" w:hAnsi="Times New Roman" w:cs="Times New Roman"/>
          <w:spacing w:val="1"/>
          <w:sz w:val="24"/>
          <w:szCs w:val="24"/>
        </w:rPr>
        <w:t xml:space="preserve"> The lines indicate the change in average correlation with the original sample as cases are progressively dropped. Smaller changes in correlation with increasing case-dropping indicate higher stability of the centrality indices.</w:t>
      </w:r>
    </w:p>
    <w:p w14:paraId="017E66D6" w14:textId="77777777" w:rsidR="00532637" w:rsidRPr="0000713D" w:rsidRDefault="00532637" w:rsidP="00FB73D8">
      <w:pPr>
        <w:contextualSpacing/>
        <w:jc w:val="both"/>
        <w:rPr>
          <w:rFonts w:ascii="Segoe UI" w:hAnsi="Segoe UI" w:cs="Segoe UI"/>
          <w:color w:val="0F1115"/>
          <w:shd w:val="clear" w:color="auto" w:fill="FFFFFF"/>
        </w:rPr>
      </w:pPr>
    </w:p>
    <w:p w14:paraId="18162C9D" w14:textId="5E93CE32" w:rsidR="00032444" w:rsidRPr="0000713D" w:rsidRDefault="00032444" w:rsidP="00FB73D8">
      <w:pPr>
        <w:contextualSpacing/>
        <w:jc w:val="both"/>
        <w:rPr>
          <w:rFonts w:ascii="Times New Roman" w:hAnsi="Times New Roman" w:cs="Times New Roman"/>
          <w:sz w:val="24"/>
          <w:szCs w:val="24"/>
        </w:rPr>
      </w:pPr>
      <w:r w:rsidRPr="0000713D">
        <w:rPr>
          <w:noProof/>
        </w:rPr>
        <w:drawing>
          <wp:inline distT="0" distB="0" distL="0" distR="0" wp14:anchorId="11DC1FCA" wp14:editId="7505FC6D">
            <wp:extent cx="5943600" cy="29571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57195"/>
                    </a:xfrm>
                    <a:prstGeom prst="rect">
                      <a:avLst/>
                    </a:prstGeom>
                    <a:noFill/>
                    <a:ln>
                      <a:noFill/>
                    </a:ln>
                  </pic:spPr>
                </pic:pic>
              </a:graphicData>
            </a:graphic>
          </wp:inline>
        </w:drawing>
      </w:r>
    </w:p>
    <w:p w14:paraId="37CC7563" w14:textId="6F0B7F7A" w:rsidR="00532637" w:rsidRPr="0000713D" w:rsidRDefault="00532637" w:rsidP="00FB73D8">
      <w:pPr>
        <w:tabs>
          <w:tab w:val="left" w:pos="2220"/>
        </w:tabs>
        <w:contextualSpacing/>
        <w:jc w:val="both"/>
        <w:rPr>
          <w:rFonts w:ascii="Times New Roman" w:hAnsi="Times New Roman" w:cs="Times New Roman"/>
          <w:spacing w:val="1"/>
          <w:sz w:val="24"/>
          <w:szCs w:val="24"/>
        </w:rPr>
      </w:pPr>
      <w:r w:rsidRPr="0000713D">
        <w:rPr>
          <w:rFonts w:ascii="Times New Roman" w:hAnsi="Times New Roman" w:cs="Times New Roman"/>
          <w:b/>
          <w:bCs/>
          <w:spacing w:val="1"/>
          <w:sz w:val="24"/>
          <w:szCs w:val="24"/>
        </w:rPr>
        <w:t xml:space="preserve">Fig. </w:t>
      </w:r>
      <w:r w:rsidR="00386298" w:rsidRPr="0000713D">
        <w:rPr>
          <w:rFonts w:ascii="Times New Roman" w:hAnsi="Times New Roman" w:cs="Times New Roman"/>
          <w:b/>
          <w:bCs/>
          <w:spacing w:val="1"/>
          <w:sz w:val="24"/>
          <w:szCs w:val="24"/>
        </w:rPr>
        <w:t>S2</w:t>
      </w:r>
      <w:r w:rsidRPr="0000713D">
        <w:rPr>
          <w:rFonts w:ascii="Times New Roman" w:hAnsi="Times New Roman" w:cs="Times New Roman"/>
          <w:b/>
          <w:bCs/>
          <w:spacing w:val="1"/>
          <w:sz w:val="24"/>
          <w:szCs w:val="24"/>
        </w:rPr>
        <w:t>.</w:t>
      </w:r>
      <w:r w:rsidRPr="0000713D">
        <w:rPr>
          <w:rFonts w:ascii="Times New Roman" w:hAnsi="Times New Roman" w:cs="Times New Roman"/>
          <w:spacing w:val="1"/>
          <w:sz w:val="24"/>
          <w:szCs w:val="24"/>
        </w:rPr>
        <w:t xml:space="preserve"> Bootstrapped difference test (α = 0.05) comparing edge weights in the network. Horizontal and vertical lines represent all edges, with black boxes indicating pairs of edges whose weights differ significantly. Gray boxes indicate no significant difference between edge weights.</w:t>
      </w:r>
    </w:p>
    <w:p w14:paraId="34E7D7A3" w14:textId="77777777" w:rsidR="00DA6BE5" w:rsidRPr="0000713D" w:rsidRDefault="00DA6BE5" w:rsidP="00FB73D8">
      <w:pPr>
        <w:tabs>
          <w:tab w:val="left" w:pos="2220"/>
        </w:tabs>
        <w:contextualSpacing/>
        <w:jc w:val="both"/>
        <w:rPr>
          <w:rFonts w:ascii="Times New Roman" w:hAnsi="Times New Roman" w:cs="Times New Roman"/>
          <w:spacing w:val="1"/>
          <w:sz w:val="24"/>
          <w:szCs w:val="24"/>
        </w:rPr>
      </w:pPr>
    </w:p>
    <w:p w14:paraId="39C02EDB" w14:textId="77777777" w:rsidR="00532637" w:rsidRPr="0000713D" w:rsidRDefault="00532637" w:rsidP="00FB73D8">
      <w:pPr>
        <w:contextualSpacing/>
        <w:jc w:val="both"/>
        <w:rPr>
          <w:rFonts w:ascii="Times New Roman" w:hAnsi="Times New Roman" w:cs="Times New Roman"/>
          <w:sz w:val="24"/>
          <w:szCs w:val="24"/>
        </w:rPr>
      </w:pPr>
    </w:p>
    <w:p w14:paraId="1CD263DF" w14:textId="0AA57356" w:rsidR="00532637" w:rsidRPr="0000713D" w:rsidRDefault="00486D69" w:rsidP="00FB73D8">
      <w:pPr>
        <w:contextualSpacing/>
        <w:jc w:val="both"/>
        <w:rPr>
          <w:rFonts w:ascii="Times New Roman" w:hAnsi="Times New Roman" w:cs="Times New Roman"/>
          <w:sz w:val="24"/>
          <w:szCs w:val="24"/>
        </w:rPr>
      </w:pPr>
      <w:r w:rsidRPr="0000713D">
        <w:rPr>
          <w:noProof/>
        </w:rPr>
        <w:drawing>
          <wp:inline distT="0" distB="0" distL="0" distR="0" wp14:anchorId="5D6221D3" wp14:editId="2D44ED93">
            <wp:extent cx="5943600" cy="29571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957195"/>
                    </a:xfrm>
                    <a:prstGeom prst="rect">
                      <a:avLst/>
                    </a:prstGeom>
                    <a:noFill/>
                    <a:ln>
                      <a:noFill/>
                    </a:ln>
                  </pic:spPr>
                </pic:pic>
              </a:graphicData>
            </a:graphic>
          </wp:inline>
        </w:drawing>
      </w:r>
    </w:p>
    <w:p w14:paraId="4E4E3375" w14:textId="66C4F0D5" w:rsidR="00532637" w:rsidRPr="00F66A1E" w:rsidRDefault="00532637" w:rsidP="00FB73D8">
      <w:pPr>
        <w:tabs>
          <w:tab w:val="left" w:pos="2220"/>
        </w:tabs>
        <w:contextualSpacing/>
        <w:jc w:val="both"/>
        <w:rPr>
          <w:rFonts w:ascii="Times New Roman" w:hAnsi="Times New Roman" w:cs="Times New Roman"/>
          <w:spacing w:val="1"/>
          <w:sz w:val="24"/>
          <w:szCs w:val="24"/>
        </w:rPr>
      </w:pPr>
      <w:r w:rsidRPr="0000713D">
        <w:rPr>
          <w:rFonts w:ascii="Times New Roman" w:hAnsi="Times New Roman" w:cs="Times New Roman"/>
          <w:b/>
          <w:bCs/>
          <w:spacing w:val="1"/>
          <w:sz w:val="24"/>
          <w:szCs w:val="24"/>
        </w:rPr>
        <w:t xml:space="preserve">Fig. </w:t>
      </w:r>
      <w:r w:rsidR="00386298" w:rsidRPr="0000713D">
        <w:rPr>
          <w:rFonts w:ascii="Times New Roman" w:hAnsi="Times New Roman" w:cs="Times New Roman"/>
          <w:b/>
          <w:bCs/>
          <w:spacing w:val="1"/>
          <w:sz w:val="24"/>
          <w:szCs w:val="24"/>
        </w:rPr>
        <w:t>S3</w:t>
      </w:r>
      <w:r w:rsidRPr="0000713D">
        <w:rPr>
          <w:rFonts w:ascii="Times New Roman" w:hAnsi="Times New Roman" w:cs="Times New Roman"/>
          <w:b/>
          <w:bCs/>
          <w:spacing w:val="1"/>
          <w:sz w:val="24"/>
          <w:szCs w:val="24"/>
        </w:rPr>
        <w:t>.</w:t>
      </w:r>
      <w:r w:rsidRPr="0000713D">
        <w:rPr>
          <w:rFonts w:ascii="Times New Roman" w:hAnsi="Times New Roman" w:cs="Times New Roman"/>
          <w:spacing w:val="1"/>
          <w:sz w:val="24"/>
          <w:szCs w:val="24"/>
        </w:rPr>
        <w:t xml:space="preserve"> Bootstrapped difference test (α = 0.05) comparing indices of strength. Horizontal and vertical lines represent all nodes in the network. Black boxes indicate pairs of nodes with significantly different strength indices. Gray boxes indicate no significant difference between strength indices.</w:t>
      </w:r>
    </w:p>
    <w:p w14:paraId="2918FA5A" w14:textId="77777777" w:rsidR="00532637" w:rsidRPr="00F66A1E" w:rsidRDefault="00532637" w:rsidP="00FB73D8">
      <w:pPr>
        <w:contextualSpacing/>
        <w:jc w:val="both"/>
        <w:rPr>
          <w:rFonts w:ascii="Times New Roman" w:hAnsi="Times New Roman" w:cs="Times New Roman"/>
          <w:sz w:val="24"/>
          <w:szCs w:val="24"/>
        </w:rPr>
      </w:pPr>
    </w:p>
    <w:p w14:paraId="4D081041" w14:textId="77777777" w:rsidR="009E2439" w:rsidRDefault="009E2439" w:rsidP="00FB73D8">
      <w:pPr>
        <w:contextualSpacing/>
        <w:rPr>
          <w:rFonts w:ascii="Times New Roman" w:hAnsi="Times New Roman" w:cs="Times New Roman"/>
          <w:sz w:val="24"/>
          <w:szCs w:val="24"/>
          <w:rtl/>
        </w:rPr>
      </w:pPr>
    </w:p>
    <w:p w14:paraId="06019505" w14:textId="77777777" w:rsidR="00297AA6" w:rsidRDefault="00297AA6" w:rsidP="00FB73D8">
      <w:pPr>
        <w:contextualSpacing/>
        <w:rPr>
          <w:rFonts w:ascii="Times New Roman" w:hAnsi="Times New Roman" w:cs="Times New Roman"/>
          <w:sz w:val="24"/>
          <w:szCs w:val="24"/>
          <w:rtl/>
        </w:rPr>
      </w:pPr>
    </w:p>
    <w:p w14:paraId="7C7275A9" w14:textId="77777777" w:rsidR="00297AA6" w:rsidRDefault="00297AA6" w:rsidP="00FB73D8">
      <w:pPr>
        <w:contextualSpacing/>
        <w:rPr>
          <w:rFonts w:ascii="Times New Roman" w:hAnsi="Times New Roman" w:cs="Times New Roman"/>
          <w:sz w:val="24"/>
          <w:szCs w:val="24"/>
          <w:rtl/>
        </w:rPr>
      </w:pPr>
    </w:p>
    <w:p w14:paraId="22BF330D" w14:textId="77777777" w:rsidR="008B3854" w:rsidRDefault="008B3854" w:rsidP="00FB73D8">
      <w:pPr>
        <w:contextualSpacing/>
        <w:rPr>
          <w:rFonts w:ascii="Times New Roman" w:hAnsi="Times New Roman" w:cs="Times New Roman"/>
          <w:sz w:val="24"/>
          <w:szCs w:val="24"/>
        </w:rPr>
      </w:pPr>
    </w:p>
    <w:p w14:paraId="1C2C740B" w14:textId="77777777" w:rsidR="008B3854" w:rsidRDefault="008B3854" w:rsidP="00FB73D8">
      <w:pPr>
        <w:contextualSpacing/>
        <w:rPr>
          <w:rFonts w:ascii="Times New Roman" w:hAnsi="Times New Roman" w:cs="Times New Roman"/>
          <w:sz w:val="24"/>
          <w:szCs w:val="24"/>
        </w:rPr>
      </w:pPr>
    </w:p>
    <w:p w14:paraId="2D9DCD5C" w14:textId="0C11C881" w:rsidR="008B3854" w:rsidRPr="008B3854" w:rsidRDefault="008B3854" w:rsidP="008B3854">
      <w:pPr>
        <w:pStyle w:val="EndNoteBibliography"/>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Pr="008B3854">
        <w:t xml:space="preserve">Epskamp, S., Borsboom, D., &amp; Fried, E. I. (2018). Estimating psychological networks and their accuracy: A tutorial paper. </w:t>
      </w:r>
      <w:r w:rsidRPr="008B3854">
        <w:rPr>
          <w:i/>
        </w:rPr>
        <w:t>Behavior Research Methods</w:t>
      </w:r>
      <w:r w:rsidRPr="008B3854">
        <w:t>,</w:t>
      </w:r>
      <w:r w:rsidRPr="008B3854">
        <w:rPr>
          <w:i/>
        </w:rPr>
        <w:t xml:space="preserve"> 50</w:t>
      </w:r>
      <w:r w:rsidRPr="008B3854">
        <w:t xml:space="preserve">(1), 195-212. </w:t>
      </w:r>
      <w:hyperlink r:id="rId10" w:history="1">
        <w:r w:rsidRPr="008B3854">
          <w:rPr>
            <w:rStyle w:val="Hyperlink"/>
          </w:rPr>
          <w:t>https://doi.org/10.3758/s13428-017-0862-1</w:t>
        </w:r>
      </w:hyperlink>
      <w:r w:rsidRPr="008B3854">
        <w:t xml:space="preserve"> </w:t>
      </w:r>
    </w:p>
    <w:p w14:paraId="269FD5E3" w14:textId="435BA38A" w:rsidR="00297AA6" w:rsidRPr="00B243AB" w:rsidRDefault="008B3854" w:rsidP="008B3854">
      <w:pPr>
        <w:contextualSpacing/>
        <w:rPr>
          <w:rFonts w:ascii="Times New Roman" w:hAnsi="Times New Roman" w:cs="Times New Roman"/>
          <w:sz w:val="24"/>
          <w:szCs w:val="24"/>
        </w:rPr>
      </w:pPr>
      <w:r>
        <w:rPr>
          <w:rFonts w:ascii="Times New Roman" w:hAnsi="Times New Roman" w:cs="Times New Roman"/>
          <w:sz w:val="24"/>
          <w:szCs w:val="24"/>
        </w:rPr>
        <w:fldChar w:fldCharType="end"/>
      </w:r>
    </w:p>
    <w:sectPr w:rsidR="00297AA6" w:rsidRPr="00B243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CF974" w14:textId="77777777" w:rsidR="00917FDB" w:rsidRDefault="00917FDB" w:rsidP="00532637">
      <w:pPr>
        <w:spacing w:after="0" w:line="240" w:lineRule="auto"/>
      </w:pPr>
      <w:r>
        <w:separator/>
      </w:r>
    </w:p>
  </w:endnote>
  <w:endnote w:type="continuationSeparator" w:id="0">
    <w:p w14:paraId="7AC68A9B" w14:textId="77777777" w:rsidR="00917FDB" w:rsidRDefault="00917FDB" w:rsidP="00532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AAC2B" w14:textId="77777777" w:rsidR="00917FDB" w:rsidRDefault="00917FDB" w:rsidP="00532637">
      <w:pPr>
        <w:spacing w:after="0" w:line="240" w:lineRule="auto"/>
      </w:pPr>
      <w:r>
        <w:separator/>
      </w:r>
    </w:p>
  </w:footnote>
  <w:footnote w:type="continuationSeparator" w:id="0">
    <w:p w14:paraId="621EB1AC" w14:textId="77777777" w:rsidR="00917FDB" w:rsidRDefault="00917FDB" w:rsidP="00532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F2B72"/>
    <w:multiLevelType w:val="multilevel"/>
    <w:tmpl w:val="BA38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e5xzzxevwazpezfd3xdzvx2axxtve2wr5f&quot;&gt;My EndNote Library&lt;record-ids&gt;&lt;item&gt;131&lt;/item&gt;&lt;/record-ids&gt;&lt;/item&gt;&lt;/Libraries&gt;"/>
  </w:docVars>
  <w:rsids>
    <w:rsidRoot w:val="00532637"/>
    <w:rsid w:val="0000713D"/>
    <w:rsid w:val="00012882"/>
    <w:rsid w:val="00023293"/>
    <w:rsid w:val="00032444"/>
    <w:rsid w:val="00072327"/>
    <w:rsid w:val="00082C6A"/>
    <w:rsid w:val="000903F2"/>
    <w:rsid w:val="000A57E4"/>
    <w:rsid w:val="000E2700"/>
    <w:rsid w:val="0017139B"/>
    <w:rsid w:val="00181726"/>
    <w:rsid w:val="00195C4D"/>
    <w:rsid w:val="001A14AF"/>
    <w:rsid w:val="001F795F"/>
    <w:rsid w:val="00214450"/>
    <w:rsid w:val="00291078"/>
    <w:rsid w:val="00297AA6"/>
    <w:rsid w:val="002B2993"/>
    <w:rsid w:val="002B63C4"/>
    <w:rsid w:val="002C6378"/>
    <w:rsid w:val="00326A15"/>
    <w:rsid w:val="00377E84"/>
    <w:rsid w:val="00381491"/>
    <w:rsid w:val="00386298"/>
    <w:rsid w:val="003A73ED"/>
    <w:rsid w:val="003F0027"/>
    <w:rsid w:val="00427B01"/>
    <w:rsid w:val="00471F4C"/>
    <w:rsid w:val="004731D3"/>
    <w:rsid w:val="00480AE8"/>
    <w:rsid w:val="00486D69"/>
    <w:rsid w:val="00493478"/>
    <w:rsid w:val="004A2631"/>
    <w:rsid w:val="00503AF7"/>
    <w:rsid w:val="00532637"/>
    <w:rsid w:val="00533044"/>
    <w:rsid w:val="005478E2"/>
    <w:rsid w:val="0058260C"/>
    <w:rsid w:val="005A79EC"/>
    <w:rsid w:val="005B699D"/>
    <w:rsid w:val="005B6DB6"/>
    <w:rsid w:val="0064235D"/>
    <w:rsid w:val="006528F7"/>
    <w:rsid w:val="006A3DCA"/>
    <w:rsid w:val="0070270C"/>
    <w:rsid w:val="00723E28"/>
    <w:rsid w:val="007759EC"/>
    <w:rsid w:val="007965E1"/>
    <w:rsid w:val="007C0966"/>
    <w:rsid w:val="007D46DF"/>
    <w:rsid w:val="008149DC"/>
    <w:rsid w:val="00890D91"/>
    <w:rsid w:val="008B225A"/>
    <w:rsid w:val="008B3854"/>
    <w:rsid w:val="008C6C31"/>
    <w:rsid w:val="008F52D9"/>
    <w:rsid w:val="00917FDB"/>
    <w:rsid w:val="00923824"/>
    <w:rsid w:val="009539B4"/>
    <w:rsid w:val="009A4390"/>
    <w:rsid w:val="009B060D"/>
    <w:rsid w:val="009B4723"/>
    <w:rsid w:val="009E2439"/>
    <w:rsid w:val="009E723D"/>
    <w:rsid w:val="00A131B2"/>
    <w:rsid w:val="00A55D89"/>
    <w:rsid w:val="00A55E19"/>
    <w:rsid w:val="00AB677C"/>
    <w:rsid w:val="00AB7723"/>
    <w:rsid w:val="00B243AB"/>
    <w:rsid w:val="00BC4BFB"/>
    <w:rsid w:val="00C30BB4"/>
    <w:rsid w:val="00C8286F"/>
    <w:rsid w:val="00CA35EA"/>
    <w:rsid w:val="00CC0820"/>
    <w:rsid w:val="00CD212A"/>
    <w:rsid w:val="00D5315E"/>
    <w:rsid w:val="00D9444A"/>
    <w:rsid w:val="00DA6BE5"/>
    <w:rsid w:val="00E54706"/>
    <w:rsid w:val="00E914A8"/>
    <w:rsid w:val="00E9771A"/>
    <w:rsid w:val="00EB3A3D"/>
    <w:rsid w:val="00F50CB1"/>
    <w:rsid w:val="00F55DA3"/>
    <w:rsid w:val="00F60F7E"/>
    <w:rsid w:val="00F66A1E"/>
    <w:rsid w:val="00FB73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01920"/>
  <w15:chartTrackingRefBased/>
  <w15:docId w15:val="{9BC0BD5D-B7BC-489D-84EB-1CCCE849F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637"/>
  </w:style>
  <w:style w:type="paragraph" w:styleId="Heading3">
    <w:name w:val="heading 3"/>
    <w:basedOn w:val="Normal"/>
    <w:link w:val="Heading3Char"/>
    <w:uiPriority w:val="9"/>
    <w:qFormat/>
    <w:rsid w:val="005326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2637"/>
    <w:rPr>
      <w:sz w:val="16"/>
      <w:szCs w:val="16"/>
    </w:rPr>
  </w:style>
  <w:style w:type="paragraph" w:styleId="CommentText">
    <w:name w:val="annotation text"/>
    <w:basedOn w:val="Normal"/>
    <w:link w:val="CommentTextChar"/>
    <w:uiPriority w:val="99"/>
    <w:semiHidden/>
    <w:unhideWhenUsed/>
    <w:rsid w:val="00532637"/>
    <w:pPr>
      <w:spacing w:line="240" w:lineRule="auto"/>
    </w:pPr>
    <w:rPr>
      <w:sz w:val="20"/>
      <w:szCs w:val="20"/>
    </w:rPr>
  </w:style>
  <w:style w:type="character" w:customStyle="1" w:styleId="CommentTextChar">
    <w:name w:val="Comment Text Char"/>
    <w:basedOn w:val="DefaultParagraphFont"/>
    <w:link w:val="CommentText"/>
    <w:uiPriority w:val="99"/>
    <w:semiHidden/>
    <w:rsid w:val="00532637"/>
    <w:rPr>
      <w:sz w:val="20"/>
      <w:szCs w:val="20"/>
    </w:rPr>
  </w:style>
  <w:style w:type="paragraph" w:styleId="Header">
    <w:name w:val="header"/>
    <w:basedOn w:val="Normal"/>
    <w:link w:val="HeaderChar"/>
    <w:uiPriority w:val="99"/>
    <w:unhideWhenUsed/>
    <w:rsid w:val="00532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637"/>
  </w:style>
  <w:style w:type="paragraph" w:styleId="Footer">
    <w:name w:val="footer"/>
    <w:basedOn w:val="Normal"/>
    <w:link w:val="FooterChar"/>
    <w:uiPriority w:val="99"/>
    <w:unhideWhenUsed/>
    <w:rsid w:val="00532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637"/>
  </w:style>
  <w:style w:type="character" w:customStyle="1" w:styleId="Heading3Char">
    <w:name w:val="Heading 3 Char"/>
    <w:basedOn w:val="DefaultParagraphFont"/>
    <w:link w:val="Heading3"/>
    <w:uiPriority w:val="9"/>
    <w:rsid w:val="00532637"/>
    <w:rPr>
      <w:rFonts w:ascii="Times New Roman" w:eastAsia="Times New Roman" w:hAnsi="Times New Roman" w:cs="Times New Roman"/>
      <w:b/>
      <w:bCs/>
      <w:sz w:val="27"/>
      <w:szCs w:val="27"/>
    </w:rPr>
  </w:style>
  <w:style w:type="character" w:styleId="Strong">
    <w:name w:val="Strong"/>
    <w:basedOn w:val="DefaultParagraphFont"/>
    <w:uiPriority w:val="22"/>
    <w:qFormat/>
    <w:rsid w:val="00532637"/>
    <w:rPr>
      <w:b/>
      <w:bCs/>
    </w:rPr>
  </w:style>
  <w:style w:type="paragraph" w:customStyle="1" w:styleId="ds-markdown-paragraph">
    <w:name w:val="ds-markdown-paragraph"/>
    <w:basedOn w:val="Normal"/>
    <w:rsid w:val="005326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43AB"/>
    <w:rPr>
      <w:i/>
      <w:iCs/>
    </w:rPr>
  </w:style>
  <w:style w:type="table" w:styleId="ListTable6Colorful">
    <w:name w:val="List Table 6 Colorful"/>
    <w:basedOn w:val="TableNormal"/>
    <w:uiPriority w:val="51"/>
    <w:rsid w:val="00B243A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TMLCode">
    <w:name w:val="HTML Code"/>
    <w:basedOn w:val="DefaultParagraphFont"/>
    <w:uiPriority w:val="99"/>
    <w:semiHidden/>
    <w:unhideWhenUsed/>
    <w:rsid w:val="0017139B"/>
    <w:rPr>
      <w:rFonts w:ascii="Courier New" w:eastAsia="Times New Roman" w:hAnsi="Courier New" w:cs="Courier New"/>
      <w:sz w:val="20"/>
      <w:szCs w:val="20"/>
    </w:rPr>
  </w:style>
  <w:style w:type="paragraph" w:customStyle="1" w:styleId="gmail-ds-markdown-paragraph">
    <w:name w:val="gmail-ds-markdown-paragraph"/>
    <w:basedOn w:val="Normal"/>
    <w:rsid w:val="00297A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
    <w:name w:val="gmail-"/>
    <w:basedOn w:val="DefaultParagraphFont"/>
    <w:rsid w:val="00297AA6"/>
  </w:style>
  <w:style w:type="paragraph" w:styleId="CommentSubject">
    <w:name w:val="annotation subject"/>
    <w:basedOn w:val="CommentText"/>
    <w:next w:val="CommentText"/>
    <w:link w:val="CommentSubjectChar"/>
    <w:uiPriority w:val="99"/>
    <w:semiHidden/>
    <w:unhideWhenUsed/>
    <w:rsid w:val="00181726"/>
    <w:rPr>
      <w:b/>
      <w:bCs/>
    </w:rPr>
  </w:style>
  <w:style w:type="character" w:customStyle="1" w:styleId="CommentSubjectChar">
    <w:name w:val="Comment Subject Char"/>
    <w:basedOn w:val="CommentTextChar"/>
    <w:link w:val="CommentSubject"/>
    <w:uiPriority w:val="99"/>
    <w:semiHidden/>
    <w:rsid w:val="00181726"/>
    <w:rPr>
      <w:b/>
      <w:bCs/>
      <w:sz w:val="20"/>
      <w:szCs w:val="20"/>
    </w:rPr>
  </w:style>
  <w:style w:type="paragraph" w:customStyle="1" w:styleId="EndNoteBibliographyTitle">
    <w:name w:val="EndNote Bibliography Title"/>
    <w:basedOn w:val="Normal"/>
    <w:link w:val="EndNoteBibliographyTitleChar"/>
    <w:rsid w:val="008B385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B3854"/>
    <w:rPr>
      <w:rFonts w:ascii="Calibri" w:hAnsi="Calibri" w:cs="Calibri"/>
      <w:noProof/>
    </w:rPr>
  </w:style>
  <w:style w:type="paragraph" w:customStyle="1" w:styleId="EndNoteBibliography">
    <w:name w:val="EndNote Bibliography"/>
    <w:basedOn w:val="Normal"/>
    <w:link w:val="EndNoteBibliographyChar"/>
    <w:rsid w:val="008B385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B3854"/>
    <w:rPr>
      <w:rFonts w:ascii="Calibri" w:hAnsi="Calibri" w:cs="Calibri"/>
      <w:noProof/>
    </w:rPr>
  </w:style>
  <w:style w:type="character" w:styleId="Hyperlink">
    <w:name w:val="Hyperlink"/>
    <w:basedOn w:val="DefaultParagraphFont"/>
    <w:uiPriority w:val="99"/>
    <w:unhideWhenUsed/>
    <w:rsid w:val="008B3854"/>
    <w:rPr>
      <w:color w:val="0563C1" w:themeColor="hyperlink"/>
      <w:u w:val="single"/>
    </w:rPr>
  </w:style>
  <w:style w:type="character" w:styleId="UnresolvedMention">
    <w:name w:val="Unresolved Mention"/>
    <w:basedOn w:val="DefaultParagraphFont"/>
    <w:uiPriority w:val="99"/>
    <w:semiHidden/>
    <w:unhideWhenUsed/>
    <w:rsid w:val="008B3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72490">
      <w:bodyDiv w:val="1"/>
      <w:marLeft w:val="0"/>
      <w:marRight w:val="0"/>
      <w:marTop w:val="0"/>
      <w:marBottom w:val="0"/>
      <w:divBdr>
        <w:top w:val="none" w:sz="0" w:space="0" w:color="auto"/>
        <w:left w:val="none" w:sz="0" w:space="0" w:color="auto"/>
        <w:bottom w:val="none" w:sz="0" w:space="0" w:color="auto"/>
        <w:right w:val="none" w:sz="0" w:space="0" w:color="auto"/>
      </w:divBdr>
    </w:div>
    <w:div w:id="433985137">
      <w:bodyDiv w:val="1"/>
      <w:marLeft w:val="0"/>
      <w:marRight w:val="0"/>
      <w:marTop w:val="0"/>
      <w:marBottom w:val="0"/>
      <w:divBdr>
        <w:top w:val="none" w:sz="0" w:space="0" w:color="auto"/>
        <w:left w:val="none" w:sz="0" w:space="0" w:color="auto"/>
        <w:bottom w:val="none" w:sz="0" w:space="0" w:color="auto"/>
        <w:right w:val="none" w:sz="0" w:space="0" w:color="auto"/>
      </w:divBdr>
    </w:div>
    <w:div w:id="691567591">
      <w:bodyDiv w:val="1"/>
      <w:marLeft w:val="0"/>
      <w:marRight w:val="0"/>
      <w:marTop w:val="0"/>
      <w:marBottom w:val="0"/>
      <w:divBdr>
        <w:top w:val="none" w:sz="0" w:space="0" w:color="auto"/>
        <w:left w:val="none" w:sz="0" w:space="0" w:color="auto"/>
        <w:bottom w:val="none" w:sz="0" w:space="0" w:color="auto"/>
        <w:right w:val="none" w:sz="0" w:space="0" w:color="auto"/>
      </w:divBdr>
      <w:divsChild>
        <w:div w:id="373191035">
          <w:marLeft w:val="0"/>
          <w:marRight w:val="0"/>
          <w:marTop w:val="0"/>
          <w:marBottom w:val="0"/>
          <w:divBdr>
            <w:top w:val="none" w:sz="0" w:space="0" w:color="auto"/>
            <w:left w:val="none" w:sz="0" w:space="0" w:color="auto"/>
            <w:bottom w:val="none" w:sz="0" w:space="0" w:color="auto"/>
            <w:right w:val="none" w:sz="0" w:space="0" w:color="auto"/>
          </w:divBdr>
        </w:div>
      </w:divsChild>
    </w:div>
    <w:div w:id="895431314">
      <w:bodyDiv w:val="1"/>
      <w:marLeft w:val="0"/>
      <w:marRight w:val="0"/>
      <w:marTop w:val="0"/>
      <w:marBottom w:val="0"/>
      <w:divBdr>
        <w:top w:val="none" w:sz="0" w:space="0" w:color="auto"/>
        <w:left w:val="none" w:sz="0" w:space="0" w:color="auto"/>
        <w:bottom w:val="none" w:sz="0" w:space="0" w:color="auto"/>
        <w:right w:val="none" w:sz="0" w:space="0" w:color="auto"/>
      </w:divBdr>
      <w:divsChild>
        <w:div w:id="555311456">
          <w:marLeft w:val="0"/>
          <w:marRight w:val="0"/>
          <w:marTop w:val="0"/>
          <w:marBottom w:val="0"/>
          <w:divBdr>
            <w:top w:val="none" w:sz="0" w:space="0" w:color="auto"/>
            <w:left w:val="none" w:sz="0" w:space="0" w:color="auto"/>
            <w:bottom w:val="none" w:sz="0" w:space="0" w:color="auto"/>
            <w:right w:val="none" w:sz="0" w:space="0" w:color="auto"/>
          </w:divBdr>
        </w:div>
      </w:divsChild>
    </w:div>
    <w:div w:id="1626541498">
      <w:bodyDiv w:val="1"/>
      <w:marLeft w:val="0"/>
      <w:marRight w:val="0"/>
      <w:marTop w:val="0"/>
      <w:marBottom w:val="0"/>
      <w:divBdr>
        <w:top w:val="none" w:sz="0" w:space="0" w:color="auto"/>
        <w:left w:val="none" w:sz="0" w:space="0" w:color="auto"/>
        <w:bottom w:val="none" w:sz="0" w:space="0" w:color="auto"/>
        <w:right w:val="none" w:sz="0" w:space="0" w:color="auto"/>
      </w:divBdr>
    </w:div>
    <w:div w:id="1817648109">
      <w:bodyDiv w:val="1"/>
      <w:marLeft w:val="0"/>
      <w:marRight w:val="0"/>
      <w:marTop w:val="0"/>
      <w:marBottom w:val="0"/>
      <w:divBdr>
        <w:top w:val="none" w:sz="0" w:space="0" w:color="auto"/>
        <w:left w:val="none" w:sz="0" w:space="0" w:color="auto"/>
        <w:bottom w:val="none" w:sz="0" w:space="0" w:color="auto"/>
        <w:right w:val="none" w:sz="0" w:space="0" w:color="auto"/>
      </w:divBdr>
    </w:div>
    <w:div w:id="2112965707">
      <w:bodyDiv w:val="1"/>
      <w:marLeft w:val="0"/>
      <w:marRight w:val="0"/>
      <w:marTop w:val="0"/>
      <w:marBottom w:val="0"/>
      <w:divBdr>
        <w:top w:val="none" w:sz="0" w:space="0" w:color="auto"/>
        <w:left w:val="none" w:sz="0" w:space="0" w:color="auto"/>
        <w:bottom w:val="none" w:sz="0" w:space="0" w:color="auto"/>
        <w:right w:val="none" w:sz="0" w:space="0" w:color="auto"/>
      </w:divBdr>
      <w:divsChild>
        <w:div w:id="1033070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3758/s13428-017-0862-1"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Reyhaneh Sardarzehi</dc:creator>
  <cp:keywords/>
  <dc:description/>
  <cp:lastModifiedBy>Reyhaneh Sardarzehi</cp:lastModifiedBy>
  <cp:revision>2</cp:revision>
  <dcterms:created xsi:type="dcterms:W3CDTF">2026-10-06T10:40:00Z</dcterms:created>
  <dcterms:modified xsi:type="dcterms:W3CDTF">2026-10-06T10:40:00Z</dcterms:modified>
</cp:coreProperties>
</file>