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6"/>
        </w:rPr>
        <w:t>Supplementary File 1. COREQ (COnsolidated criteria for REporting Qualitative research) Checklist</w:t>
      </w:r>
    </w:p>
    <w:p>
      <w:pPr>
        <w:jc w:val="center"/>
      </w:pPr>
      <w:r>
        <w:rPr>
          <w:i/>
        </w:rPr>
        <w:t>Reference: Tong A, Sainsbury P, Craig J. Consolidated criteria for reporting qualitative research (COREQ): a 32-item checklist for interviews and focus groups. International Journal for Quality in Health Care. 2007;19(6):349–357.</w:t>
      </w:r>
    </w:p>
    <w:p>
      <w:r>
        <w:rPr>
          <w:b/>
        </w:rPr>
        <w:t xml:space="preserve">Manuscript: </w:t>
      </w:r>
      <w:r>
        <w:t>Impulsivity and Psychosocial Determinants in Patients with Attempted Suicide by Poisoning: A Mixed-Methods Study</w:t>
      </w:r>
    </w:p>
    <w:p>
      <w:r>
        <w:rPr>
          <w:b/>
        </w:rPr>
        <w:t xml:space="preserve">Authors: </w:t>
      </w:r>
      <w:r>
        <w:t>Hairong Wang, Ruibin Xing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Item</w:t>
            </w:r>
          </w:p>
        </w:tc>
        <w:tc>
          <w:tcPr>
            <w:tcW w:type="dxa" w:w="2880"/>
          </w:tcPr>
          <w:p>
            <w:r>
              <w:t>Brief description of topic</w:t>
            </w:r>
          </w:p>
        </w:tc>
        <w:tc>
          <w:tcPr>
            <w:tcW w:type="dxa" w:w="2880"/>
          </w:tcPr>
          <w:p>
            <w:r>
              <w:t>Reported on page/line/answer</w:t>
            </w:r>
          </w:p>
        </w:tc>
      </w:tr>
      <w:tr>
        <w:tc>
          <w:tcPr>
            <w:tcW w:type="dxa" w:w="2880"/>
          </w:tcPr>
          <w:p>
            <w:r>
              <w:rPr>
                <w:b/>
              </w:rPr>
              <w:t>Domain 1: Research team and reflexivity</w:t>
            </w:r>
          </w:p>
        </w:tc>
        <w:tc>
          <w:tcPr>
            <w:tcW w:type="dxa" w:w="5760"/>
            <w:gridSpan w:val="2"/>
          </w:tcPr>
          <w:p>
            <w:r>
              <w:rPr>
                <w:b/>
              </w:rPr>
            </w:r>
          </w:p>
        </w:tc>
      </w:tr>
      <w:tr>
        <w:tc>
          <w:tcPr>
            <w:tcW w:type="dxa" w:w="2880"/>
          </w:tcPr>
          <w:p>
            <w:r>
              <w:t>1. Interviewer/facilitator</w:t>
            </w:r>
          </w:p>
        </w:tc>
        <w:tc>
          <w:tcPr>
            <w:tcW w:type="dxa" w:w="2880"/>
          </w:tcPr>
          <w:p>
            <w:r>
              <w:t>Which author/s conducted the interview or focus group?</w:t>
            </w:r>
          </w:p>
        </w:tc>
        <w:tc>
          <w:tcPr>
            <w:tcW w:type="dxa" w:w="2880"/>
          </w:tcPr>
          <w:p>
            <w:r>
              <w:t>HRW (first author), an emergency-department nurse with 12 years of clinical nursing and crisis-intervention experience.</w:t>
            </w:r>
          </w:p>
        </w:tc>
      </w:tr>
      <w:tr>
        <w:tc>
          <w:tcPr>
            <w:tcW w:type="dxa" w:w="2880"/>
          </w:tcPr>
          <w:p>
            <w:r>
              <w:t>2. Credentials</w:t>
            </w:r>
          </w:p>
        </w:tc>
        <w:tc>
          <w:tcPr>
            <w:tcW w:type="dxa" w:w="2880"/>
          </w:tcPr>
          <w:p>
            <w:r>
              <w:t>What were the researcher’s credentials?</w:t>
            </w:r>
          </w:p>
        </w:tc>
        <w:tc>
          <w:tcPr>
            <w:tcW w:type="dxa" w:w="2880"/>
          </w:tcPr>
          <w:p>
            <w:r>
              <w:t>HRW: RN, MSc (Master of Nursing); the second coder held a doctoral degree in clinical psychology.</w:t>
            </w:r>
          </w:p>
        </w:tc>
      </w:tr>
      <w:tr>
        <w:tc>
          <w:tcPr>
            <w:tcW w:type="dxa" w:w="2880"/>
          </w:tcPr>
          <w:p>
            <w:r>
              <w:t>3. Occupation</w:t>
            </w:r>
          </w:p>
        </w:tc>
        <w:tc>
          <w:tcPr>
            <w:tcW w:type="dxa" w:w="2880"/>
          </w:tcPr>
          <w:p>
            <w:r>
              <w:t>What was their occupation at the time of the study?</w:t>
            </w:r>
          </w:p>
        </w:tc>
        <w:tc>
          <w:tcPr>
            <w:tcW w:type="dxa" w:w="2880"/>
          </w:tcPr>
          <w:p>
            <w:r>
              <w:t>HRW: emergency-department nurse; second coder: clinical psychologist in the Department of Psychosomatic Medicine.</w:t>
            </w:r>
          </w:p>
        </w:tc>
      </w:tr>
      <w:tr>
        <w:tc>
          <w:tcPr>
            <w:tcW w:type="dxa" w:w="2880"/>
          </w:tcPr>
          <w:p>
            <w:r>
              <w:t>4. Gender</w:t>
            </w:r>
          </w:p>
        </w:tc>
        <w:tc>
          <w:tcPr>
            <w:tcW w:type="dxa" w:w="2880"/>
          </w:tcPr>
          <w:p>
            <w:r>
              <w:t>Was the researcher male or female?</w:t>
            </w:r>
          </w:p>
        </w:tc>
        <w:tc>
          <w:tcPr>
            <w:tcW w:type="dxa" w:w="2880"/>
          </w:tcPr>
          <w:p>
            <w:r>
              <w:t>HRW: female; second coder: female.</w:t>
            </w:r>
          </w:p>
        </w:tc>
      </w:tr>
      <w:tr>
        <w:tc>
          <w:tcPr>
            <w:tcW w:type="dxa" w:w="2880"/>
          </w:tcPr>
          <w:p>
            <w:r>
              <w:t>5. Experience and training</w:t>
            </w:r>
          </w:p>
        </w:tc>
        <w:tc>
          <w:tcPr>
            <w:tcW w:type="dxa" w:w="2880"/>
          </w:tcPr>
          <w:p>
            <w:r>
              <w:t>What experience or training did the researcher have?</w:t>
            </w:r>
          </w:p>
        </w:tc>
        <w:tc>
          <w:tcPr>
            <w:tcW w:type="dxa" w:w="2880"/>
          </w:tcPr>
          <w:p>
            <w:r>
              <w:t>HRW had completed systematic qualitative-research training, including didactic sessions, supervised mock interviews, and role plays, with ongoing supervision throughout the data-collection period.</w:t>
            </w:r>
          </w:p>
        </w:tc>
      </w:tr>
      <w:tr>
        <w:tc>
          <w:tcPr>
            <w:tcW w:type="dxa" w:w="2880"/>
          </w:tcPr>
          <w:p>
            <w:r>
              <w:rPr>
                <w:b/>
              </w:rPr>
              <w:t>Domain 2: Study design</w:t>
            </w:r>
          </w:p>
        </w:tc>
        <w:tc>
          <w:tcPr>
            <w:tcW w:type="dxa" w:w="5760"/>
            <w:gridSpan w:val="2"/>
          </w:tcPr>
          <w:p>
            <w:r>
              <w:rPr>
                <w:b/>
              </w:rPr>
            </w:r>
          </w:p>
        </w:tc>
      </w:tr>
      <w:tr>
        <w:tc>
          <w:tcPr>
            <w:tcW w:type="dxa" w:w="2880"/>
          </w:tcPr>
          <w:p>
            <w:r>
              <w:t>6. Methodological orientation</w:t>
            </w:r>
          </w:p>
        </w:tc>
        <w:tc>
          <w:tcPr>
            <w:tcW w:type="dxa" w:w="2880"/>
          </w:tcPr>
          <w:p>
            <w:r>
              <w:t>What methodological orientation was stated to underpin the study?</w:t>
            </w:r>
          </w:p>
        </w:tc>
        <w:tc>
          <w:tcPr>
            <w:tcW w:type="dxa" w:w="2880"/>
          </w:tcPr>
          <w:p>
            <w:r>
              <w:t>Thematic analysis following Braun &amp; Clarke (2006), with elements of phenomenological description of the suicidal process.</w:t>
            </w:r>
          </w:p>
        </w:tc>
      </w:tr>
      <w:tr>
        <w:tc>
          <w:tcPr>
            <w:tcW w:type="dxa" w:w="2880"/>
          </w:tcPr>
          <w:p>
            <w:r>
              <w:t>7. Sampling</w:t>
            </w:r>
          </w:p>
        </w:tc>
        <w:tc>
          <w:tcPr>
            <w:tcW w:type="dxa" w:w="2880"/>
          </w:tcPr>
          <w:p>
            <w:r>
              <w:t>How were participants selected?</w:t>
            </w:r>
          </w:p>
        </w:tc>
        <w:tc>
          <w:tcPr>
            <w:tcW w:type="dxa" w:w="2880"/>
          </w:tcPr>
          <w:p>
            <w:r>
              <w:t>Maximum-variation purposive sampling from among patients who completed the quantitative assessment between January and December 2025, to ensure diversity in age, sex, residence, education, agent ingested, and presence/absence of pre-existing psychiatric diagnosis.</w:t>
            </w:r>
          </w:p>
        </w:tc>
      </w:tr>
      <w:tr>
        <w:tc>
          <w:tcPr>
            <w:tcW w:type="dxa" w:w="2880"/>
          </w:tcPr>
          <w:p>
            <w:r>
              <w:t>8. Method of approach</w:t>
            </w:r>
          </w:p>
        </w:tc>
        <w:tc>
          <w:tcPr>
            <w:tcW w:type="dxa" w:w="2880"/>
          </w:tcPr>
          <w:p>
            <w:r>
              <w:t>How were participants approached?</w:t>
            </w:r>
          </w:p>
        </w:tc>
        <w:tc>
          <w:tcPr>
            <w:tcW w:type="dxa" w:w="2880"/>
          </w:tcPr>
          <w:p>
            <w:r>
              <w:t>Patients were approached face-to-face before discharge by the research nurse, with private explanation of the study and written informed consent.</w:t>
            </w:r>
          </w:p>
        </w:tc>
      </w:tr>
      <w:tr>
        <w:tc>
          <w:tcPr>
            <w:tcW w:type="dxa" w:w="2880"/>
          </w:tcPr>
          <w:p>
            <w:r>
              <w:t>9. Sample size</w:t>
            </w:r>
          </w:p>
        </w:tc>
        <w:tc>
          <w:tcPr>
            <w:tcW w:type="dxa" w:w="2880"/>
          </w:tcPr>
          <w:p>
            <w:r>
              <w:t>How many participants were in the study?</w:t>
            </w:r>
          </w:p>
        </w:tc>
        <w:tc>
          <w:tcPr>
            <w:tcW w:type="dxa" w:w="2880"/>
          </w:tcPr>
          <w:p>
            <w:r>
              <w:t>10 patients (P1–P10).</w:t>
            </w:r>
          </w:p>
        </w:tc>
      </w:tr>
      <w:tr>
        <w:tc>
          <w:tcPr>
            <w:tcW w:type="dxa" w:w="2880"/>
          </w:tcPr>
          <w:p>
            <w:r>
              <w:t>10. Non-participation</w:t>
            </w:r>
          </w:p>
        </w:tc>
        <w:tc>
          <w:tcPr>
            <w:tcW w:type="dxa" w:w="2880"/>
          </w:tcPr>
          <w:p>
            <w:r>
              <w:t>How many people refused to participate or dropped out? Reasons?</w:t>
            </w:r>
          </w:p>
        </w:tc>
        <w:tc>
          <w:tcPr>
            <w:tcW w:type="dxa" w:w="2880"/>
          </w:tcPr>
          <w:p>
            <w:r>
              <w:t>3 of 15 approached declined: 2 because they no longer considered themselves to have psychological problems, 1 because of reluctance to be disturbed.</w:t>
            </w:r>
          </w:p>
        </w:tc>
      </w:tr>
      <w:tr>
        <w:tc>
          <w:tcPr>
            <w:tcW w:type="dxa" w:w="2880"/>
          </w:tcPr>
          <w:p>
            <w:r>
              <w:rPr>
                <w:b/>
              </w:rPr>
              <w:t>Domain 3: Analysis and findings</w:t>
            </w:r>
          </w:p>
        </w:tc>
        <w:tc>
          <w:tcPr>
            <w:tcW w:type="dxa" w:w="5760"/>
            <w:gridSpan w:val="2"/>
          </w:tcPr>
          <w:p>
            <w:r>
              <w:rPr>
                <w:b/>
              </w:rPr>
            </w:r>
          </w:p>
        </w:tc>
      </w:tr>
      <w:tr>
        <w:tc>
          <w:tcPr>
            <w:tcW w:type="dxa" w:w="2880"/>
          </w:tcPr>
          <w:p>
            <w:r>
              <w:t>11. Setting of data collection</w:t>
            </w:r>
          </w:p>
        </w:tc>
        <w:tc>
          <w:tcPr>
            <w:tcW w:type="dxa" w:w="2880"/>
          </w:tcPr>
          <w:p>
            <w:r>
              <w:t>Where was the data collected?</w:t>
            </w:r>
          </w:p>
        </w:tc>
        <w:tc>
          <w:tcPr>
            <w:tcW w:type="dxa" w:w="2880"/>
          </w:tcPr>
          <w:p>
            <w:r>
              <w:t>Private interview room within the hospital (separate from the ED treatment area), before discharge.</w:t>
            </w:r>
          </w:p>
        </w:tc>
      </w:tr>
      <w:tr>
        <w:tc>
          <w:tcPr>
            <w:tcW w:type="dxa" w:w="2880"/>
          </w:tcPr>
          <w:p>
            <w:r>
              <w:t>12. Presence of non-participants</w:t>
            </w:r>
          </w:p>
        </w:tc>
        <w:tc>
          <w:tcPr>
            <w:tcW w:type="dxa" w:w="2880"/>
          </w:tcPr>
          <w:p>
            <w:r>
              <w:t>Was anyone else present besides the participants and researchers?</w:t>
            </w:r>
          </w:p>
        </w:tc>
        <w:tc>
          <w:tcPr>
            <w:tcW w:type="dxa" w:w="2880"/>
          </w:tcPr>
          <w:p>
            <w:r>
              <w:t>No third parties were present.</w:t>
            </w:r>
          </w:p>
        </w:tc>
      </w:tr>
      <w:tr>
        <w:tc>
          <w:tcPr>
            <w:tcW w:type="dxa" w:w="2880"/>
          </w:tcPr>
          <w:p>
            <w:r>
              <w:t>13. Description of sample</w:t>
            </w:r>
          </w:p>
        </w:tc>
        <w:tc>
          <w:tcPr>
            <w:tcW w:type="dxa" w:w="2880"/>
          </w:tcPr>
          <w:p>
            <w:r>
              <w:t>What are the important characteristics of the sample?</w:t>
            </w:r>
          </w:p>
        </w:tc>
        <w:tc>
          <w:tcPr>
            <w:tcW w:type="dxa" w:w="2880"/>
          </w:tcPr>
          <w:p>
            <w:r>
              <w:t>10 adults (4 men, 6 women), aged 17–62 years; 4 with pre-existing psychiatric diagnosis; 7 reporting generally adequate social support; types of agent ingested included pesticides, rodenticides, and prescription medications. Two participants (P3, P7) were adolescents enrolled with parental/guardian consent.</w:t>
            </w:r>
          </w:p>
        </w:tc>
      </w:tr>
      <w:tr>
        <w:tc>
          <w:tcPr>
            <w:tcW w:type="dxa" w:w="2880"/>
          </w:tcPr>
          <w:p>
            <w:r>
              <w:t>14. Interview guide</w:t>
            </w:r>
          </w:p>
        </w:tc>
        <w:tc>
          <w:tcPr>
            <w:tcW w:type="dxa" w:w="2880"/>
          </w:tcPr>
          <w:p>
            <w:r>
              <w:t>Were questions, prompts, guides provided by the authors? Was it pilot tested?</w:t>
            </w:r>
          </w:p>
        </w:tc>
        <w:tc>
          <w:tcPr>
            <w:tcW w:type="dxa" w:w="2880"/>
          </w:tcPr>
          <w:p>
            <w:r>
              <w:t>Yes. A literature-informed semi-structured interview guide was developed by the research team, refined through expert consultation, and pilot-tested with two non-participating patients before study commencement.</w:t>
            </w:r>
          </w:p>
        </w:tc>
      </w:tr>
      <w:tr>
        <w:tc>
          <w:tcPr>
            <w:tcW w:type="dxa" w:w="2880"/>
          </w:tcPr>
          <w:p>
            <w:r>
              <w:t>15. Repeat interviews</w:t>
            </w:r>
          </w:p>
        </w:tc>
        <w:tc>
          <w:tcPr>
            <w:tcW w:type="dxa" w:w="2880"/>
          </w:tcPr>
          <w:p>
            <w:r>
              <w:t>Were repeat interviews carried out? If yes, how many?</w:t>
            </w:r>
          </w:p>
        </w:tc>
        <w:tc>
          <w:tcPr>
            <w:tcW w:type="dxa" w:w="2880"/>
          </w:tcPr>
          <w:p>
            <w:r>
              <w:t>No; a single interview was conducted with each participant.</w:t>
            </w:r>
          </w:p>
        </w:tc>
      </w:tr>
      <w:tr>
        <w:tc>
          <w:tcPr>
            <w:tcW w:type="dxa" w:w="2880"/>
          </w:tcPr>
          <w:p>
            <w:r>
              <w:t>16. Audio/visual recording</w:t>
            </w:r>
          </w:p>
        </w:tc>
        <w:tc>
          <w:tcPr>
            <w:tcW w:type="dxa" w:w="2880"/>
          </w:tcPr>
          <w:p>
            <w:r>
              <w:t>Did the research use audio or visual recording to collect the data?</w:t>
            </w:r>
          </w:p>
        </w:tc>
        <w:tc>
          <w:tcPr>
            <w:tcW w:type="dxa" w:w="2880"/>
          </w:tcPr>
          <w:p>
            <w:r>
              <w:t>All interviews were audio-recorded in full with participants’ permission; non-verbal expressions and emotional changes were documented by field notes.</w:t>
            </w:r>
          </w:p>
        </w:tc>
      </w:tr>
      <w:tr>
        <w:tc>
          <w:tcPr>
            <w:tcW w:type="dxa" w:w="2880"/>
          </w:tcPr>
          <w:p>
            <w:r>
              <w:t>17. Field notes</w:t>
            </w:r>
          </w:p>
        </w:tc>
        <w:tc>
          <w:tcPr>
            <w:tcW w:type="dxa" w:w="2880"/>
          </w:tcPr>
          <w:p>
            <w:r>
              <w:t>Were field notes made during and/or after the interview?</w:t>
            </w:r>
          </w:p>
        </w:tc>
        <w:tc>
          <w:tcPr>
            <w:tcW w:type="dxa" w:w="2880"/>
          </w:tcPr>
          <w:p>
            <w:r>
              <w:t>Yes; field notes were written within 24 hours of each interview.</w:t>
            </w:r>
          </w:p>
        </w:tc>
      </w:tr>
      <w:tr>
        <w:tc>
          <w:tcPr>
            <w:tcW w:type="dxa" w:w="2880"/>
          </w:tcPr>
          <w:p>
            <w:r>
              <w:t>18. Duration</w:t>
            </w:r>
          </w:p>
        </w:tc>
        <w:tc>
          <w:tcPr>
            <w:tcW w:type="dxa" w:w="2880"/>
          </w:tcPr>
          <w:p>
            <w:r>
              <w:t>What was the duration of the interviews or focus group?</w:t>
            </w:r>
          </w:p>
        </w:tc>
        <w:tc>
          <w:tcPr>
            <w:tcW w:type="dxa" w:w="2880"/>
          </w:tcPr>
          <w:p>
            <w:r>
              <w:t>30–60 minutes (median 45 minutes).</w:t>
            </w:r>
          </w:p>
        </w:tc>
      </w:tr>
      <w:tr>
        <w:tc>
          <w:tcPr>
            <w:tcW w:type="dxa" w:w="2880"/>
          </w:tcPr>
          <w:p>
            <w:r>
              <w:t>19. Data saturation</w:t>
            </w:r>
          </w:p>
        </w:tc>
        <w:tc>
          <w:tcPr>
            <w:tcW w:type="dxa" w:w="2880"/>
          </w:tcPr>
          <w:p>
            <w:r>
              <w:t>Was data saturation discussed?</w:t>
            </w:r>
          </w:p>
        </w:tc>
        <w:tc>
          <w:tcPr>
            <w:tcW w:type="dxa" w:w="2880"/>
          </w:tcPr>
          <w:p>
            <w:r>
              <w:t>Yes; thematic saturation was reached after the 10th interview, with no new themes emerging in the final two transcripts.</w:t>
            </w:r>
          </w:p>
        </w:tc>
      </w:tr>
      <w:tr>
        <w:tc>
          <w:tcPr>
            <w:tcW w:type="dxa" w:w="2880"/>
          </w:tcPr>
          <w:p>
            <w:r>
              <w:t>20. Transcripts returned</w:t>
            </w:r>
          </w:p>
        </w:tc>
        <w:tc>
          <w:tcPr>
            <w:tcW w:type="dxa" w:w="2880"/>
          </w:tcPr>
          <w:p>
            <w:r>
              <w:t>Were transcripts returned to participants for comment and/or correction?</w:t>
            </w:r>
          </w:p>
        </w:tc>
        <w:tc>
          <w:tcPr>
            <w:tcW w:type="dxa" w:w="2880"/>
          </w:tcPr>
          <w:p>
            <w:r>
              <w:t>No; transcripts were not returned to participants, but verbatim transcriptions were cross-checked against audio recordings.</w:t>
            </w:r>
          </w:p>
        </w:tc>
      </w:tr>
      <w:tr>
        <w:tc>
          <w:tcPr>
            <w:tcW w:type="dxa" w:w="2880"/>
          </w:tcPr>
          <w:p>
            <w:r>
              <w:t>21. Number of data coders</w:t>
            </w:r>
          </w:p>
        </w:tc>
        <w:tc>
          <w:tcPr>
            <w:tcW w:type="dxa" w:w="2880"/>
          </w:tcPr>
          <w:p>
            <w:r>
              <w:t>How many data coders coded the data?</w:t>
            </w:r>
          </w:p>
        </w:tc>
        <w:tc>
          <w:tcPr>
            <w:tcW w:type="dxa" w:w="2880"/>
          </w:tcPr>
          <w:p>
            <w:r>
              <w:t>Two; HRW and a clinical psychologist (second coder) blinded to each other’s coding.</w:t>
            </w:r>
          </w:p>
        </w:tc>
      </w:tr>
      <w:tr>
        <w:tc>
          <w:tcPr>
            <w:tcW w:type="dxa" w:w="2880"/>
          </w:tcPr>
          <w:p>
            <w:r>
              <w:t>22. Description of the coding tree</w:t>
            </w:r>
          </w:p>
        </w:tc>
        <w:tc>
          <w:tcPr>
            <w:tcW w:type="dxa" w:w="2880"/>
          </w:tcPr>
          <w:p>
            <w:r>
              <w:t>Did the authors provide a description of the coding tree?</w:t>
            </w:r>
          </w:p>
        </w:tc>
        <w:tc>
          <w:tcPr>
            <w:tcW w:type="dxa" w:w="2880"/>
          </w:tcPr>
          <w:p>
            <w:r>
              <w:t>Yes; two-round coding: (i) mapping onto the three temporal phases; (ii) identification of internal and external contributing factors. The final coding tree was reviewed by an external qualitative-research expert.</w:t>
            </w:r>
          </w:p>
        </w:tc>
      </w:tr>
      <w:tr>
        <w:tc>
          <w:tcPr>
            <w:tcW w:type="dxa" w:w="2880"/>
          </w:tcPr>
          <w:p>
            <w:r>
              <w:t>23. Derivation of themes</w:t>
            </w:r>
          </w:p>
        </w:tc>
        <w:tc>
          <w:tcPr>
            <w:tcW w:type="dxa" w:w="2880"/>
          </w:tcPr>
          <w:p>
            <w:r>
              <w:t>Were themes identified in advance or derived from the data?</w:t>
            </w:r>
          </w:p>
        </w:tc>
        <w:tc>
          <w:tcPr>
            <w:tcW w:type="dxa" w:w="2880"/>
          </w:tcPr>
          <w:p>
            <w:r>
              <w:t>Derived from the data, with the three-phase temporal structure serving as an analytic scaffold rather than a pre-specified framework.</w:t>
            </w:r>
          </w:p>
        </w:tc>
      </w:tr>
      <w:tr>
        <w:tc>
          <w:tcPr>
            <w:tcW w:type="dxa" w:w="2880"/>
          </w:tcPr>
          <w:p>
            <w:r>
              <w:t>24. Software</w:t>
            </w:r>
          </w:p>
        </w:tc>
        <w:tc>
          <w:tcPr>
            <w:tcW w:type="dxa" w:w="2880"/>
          </w:tcPr>
          <w:p>
            <w:r>
              <w:t>What software, if applicable, was used to manage the data?</w:t>
            </w:r>
          </w:p>
        </w:tc>
        <w:tc>
          <w:tcPr>
            <w:tcW w:type="dxa" w:w="2880"/>
          </w:tcPr>
          <w:p>
            <w:r>
              <w:t>NVivo 12.0.</w:t>
            </w:r>
          </w:p>
        </w:tc>
      </w:tr>
      <w:tr>
        <w:tc>
          <w:tcPr>
            <w:tcW w:type="dxa" w:w="2880"/>
          </w:tcPr>
          <w:p>
            <w:r>
              <w:t>25. Participant checking</w:t>
            </w:r>
          </w:p>
        </w:tc>
        <w:tc>
          <w:tcPr>
            <w:tcW w:type="dxa" w:w="2880"/>
          </w:tcPr>
          <w:p>
            <w:r>
              <w:t>Did participants provide feedback on the findings?</w:t>
            </w:r>
          </w:p>
        </w:tc>
        <w:tc>
          <w:tcPr>
            <w:tcW w:type="dxa" w:w="2880"/>
          </w:tcPr>
          <w:p>
            <w:r>
              <w:t>No; member checking was not performed.</w:t>
            </w:r>
          </w:p>
        </w:tc>
      </w:tr>
      <w:tr>
        <w:tc>
          <w:tcPr>
            <w:tcW w:type="dxa" w:w="2880"/>
          </w:tcPr>
          <w:p>
            <w:r>
              <w:rPr>
                <w:b/>
              </w:rPr>
              <w:t>Domain 4: Reporting</w:t>
            </w:r>
          </w:p>
        </w:tc>
        <w:tc>
          <w:tcPr>
            <w:tcW w:type="dxa" w:w="5760"/>
            <w:gridSpan w:val="2"/>
          </w:tcPr>
          <w:p>
            <w:r>
              <w:rPr>
                <w:b/>
              </w:rPr>
            </w:r>
          </w:p>
        </w:tc>
      </w:tr>
      <w:tr>
        <w:tc>
          <w:tcPr>
            <w:tcW w:type="dxa" w:w="2880"/>
          </w:tcPr>
          <w:p>
            <w:r>
              <w:t>26. Quotations presented</w:t>
            </w:r>
          </w:p>
        </w:tc>
        <w:tc>
          <w:tcPr>
            <w:tcW w:type="dxa" w:w="2880"/>
          </w:tcPr>
          <w:p>
            <w:r>
              <w:t>Were participant quotations presented to illustrate the themes/findings? Was each quotation identified?</w:t>
            </w:r>
          </w:p>
        </w:tc>
        <w:tc>
          <w:tcPr>
            <w:tcW w:type="dxa" w:w="2880"/>
          </w:tcPr>
          <w:p>
            <w:r>
              <w:t>Yes; participant quotations are presented with participant IDs (P1–P10) and basic demographic descriptors.</w:t>
            </w:r>
          </w:p>
        </w:tc>
      </w:tr>
      <w:tr>
        <w:tc>
          <w:tcPr>
            <w:tcW w:type="dxa" w:w="2880"/>
          </w:tcPr>
          <w:p>
            <w:r>
              <w:t>27. Data and findings consistent</w:t>
            </w:r>
          </w:p>
        </w:tc>
        <w:tc>
          <w:tcPr>
            <w:tcW w:type="dxa" w:w="2880"/>
          </w:tcPr>
          <w:p>
            <w:r>
              <w:t>Was there consistency between the data presented and the findings?</w:t>
            </w:r>
          </w:p>
        </w:tc>
        <w:tc>
          <w:tcPr>
            <w:tcW w:type="dxa" w:w="2880"/>
          </w:tcPr>
          <w:p>
            <w:r>
              <w:t>Yes.</w:t>
            </w:r>
          </w:p>
        </w:tc>
      </w:tr>
      <w:tr>
        <w:tc>
          <w:tcPr>
            <w:tcW w:type="dxa" w:w="2880"/>
          </w:tcPr>
          <w:p>
            <w:r>
              <w:t>28. Clarity of major themes</w:t>
            </w:r>
          </w:p>
        </w:tc>
        <w:tc>
          <w:tcPr>
            <w:tcW w:type="dxa" w:w="2880"/>
          </w:tcPr>
          <w:p>
            <w:r>
              <w:t>Were major themes clearly presented in the findings?</w:t>
            </w:r>
          </w:p>
        </w:tc>
        <w:tc>
          <w:tcPr>
            <w:tcW w:type="dxa" w:w="2880"/>
          </w:tcPr>
          <w:p>
            <w:r>
              <w:t>Yes; three major themes (Theme 1: pre-attempt despair; Theme 2: peri-attempt impulsive state and mental blankness; Theme 3: post-attempt fear, remorse, and re-evaluation) and a synthesising theme (Theme 4: interacting internal and external contributing factors) are presented in the Results.</w:t>
            </w:r>
          </w:p>
        </w:tc>
      </w:tr>
      <w:tr>
        <w:tc>
          <w:tcPr>
            <w:tcW w:type="dxa" w:w="2880"/>
          </w:tcPr>
          <w:p>
            <w:r>
              <w:t>29. Clarity of minor themes</w:t>
            </w:r>
          </w:p>
        </w:tc>
        <w:tc>
          <w:tcPr>
            <w:tcW w:type="dxa" w:w="2880"/>
          </w:tcPr>
          <w:p>
            <w:r>
              <w:t>Is there a description of diverse cases or discussion of minor themes?</w:t>
            </w:r>
          </w:p>
        </w:tc>
        <w:tc>
          <w:tcPr>
            <w:tcW w:type="dxa" w:w="2880"/>
          </w:tcPr>
          <w:p>
            <w:r>
              <w:t>Yes; minor sub-themes (e.g., divergent account of one participant with depressive disorder expressing no regret) are explicitly discussed.</w:t>
            </w:r>
          </w:p>
        </w:tc>
      </w:tr>
      <w:tr>
        <w:tc>
          <w:tcPr>
            <w:tcW w:type="dxa" w:w="2880"/>
          </w:tcPr>
          <w:p>
            <w:r>
              <w:rPr>
                <w:b/>
              </w:rPr>
              <w:t>Domain 5: Reflexivity and ethics</w:t>
            </w:r>
          </w:p>
        </w:tc>
        <w:tc>
          <w:tcPr>
            <w:tcW w:type="dxa" w:w="5760"/>
            <w:gridSpan w:val="2"/>
          </w:tcPr>
          <w:p>
            <w:r>
              <w:rPr>
                <w:b/>
              </w:rPr>
            </w:r>
          </w:p>
        </w:tc>
      </w:tr>
      <w:tr>
        <w:tc>
          <w:tcPr>
            <w:tcW w:type="dxa" w:w="2880"/>
          </w:tcPr>
          <w:p>
            <w:r>
              <w:t>30. Researcher reflexivity</w:t>
            </w:r>
          </w:p>
        </w:tc>
        <w:tc>
          <w:tcPr>
            <w:tcW w:type="dxa" w:w="2880"/>
          </w:tcPr>
          <w:p>
            <w:r>
              <w:t>Has the relationship between researcher and participants been adequately considered?</w:t>
            </w:r>
          </w:p>
        </w:tc>
        <w:tc>
          <w:tcPr>
            <w:tcW w:type="dxa" w:w="2880"/>
          </w:tcPr>
          <w:p>
            <w:r>
              <w:t>Yes; the limitations section notes that the interviewer’s clinical role (emergency-department nurse) may have shaped participants’ disclosures and that reflexive notes were maintained throughout.</w:t>
            </w:r>
          </w:p>
        </w:tc>
      </w:tr>
      <w:tr>
        <w:tc>
          <w:tcPr>
            <w:tcW w:type="dxa" w:w="2880"/>
          </w:tcPr>
          <w:p>
            <w:r>
              <w:t>31. Ethical approval</w:t>
            </w:r>
          </w:p>
        </w:tc>
        <w:tc>
          <w:tcPr>
            <w:tcW w:type="dxa" w:w="2880"/>
          </w:tcPr>
          <w:p>
            <w:r>
              <w:t>Was ethical approval obtained?</w:t>
            </w:r>
          </w:p>
        </w:tc>
        <w:tc>
          <w:tcPr>
            <w:tcW w:type="dxa" w:w="2880"/>
          </w:tcPr>
          <w:p>
            <w:r>
              <w:t>Yes; from the IRBs of Deyang People’s Hospital (2023-01-128-H01), Mianzhu People’s Hospital (2023-02-015), and Zhongjiang People’s Hospital (2023-02-022), in accordance with the Declaration of Helsinki.</w:t>
            </w:r>
          </w:p>
        </w:tc>
      </w:tr>
      <w:tr>
        <w:tc>
          <w:tcPr>
            <w:tcW w:type="dxa" w:w="2880"/>
          </w:tcPr>
          <w:p>
            <w:r>
              <w:t>32. Informed consent</w:t>
            </w:r>
          </w:p>
        </w:tc>
        <w:tc>
          <w:tcPr>
            <w:tcW w:type="dxa" w:w="2880"/>
          </w:tcPr>
          <w:p>
            <w:r>
              <w:t>Did participants provide informed consent?</w:t>
            </w:r>
          </w:p>
        </w:tc>
        <w:tc>
          <w:tcPr>
            <w:tcW w:type="dxa" w:w="2880"/>
          </w:tcPr>
          <w:p>
            <w:r>
              <w:t>Yes; written informed consent (or written informed assent plus parental/guardian consent for the two adolescent participants) was obtained from all participants before any data collection.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