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9C4A6E">
      <w:pPr>
        <w:keepNext w:val="0"/>
        <w:keepLines w:val="0"/>
        <w:pageBreakBefore w:val="0"/>
        <w:widowControl w:val="0"/>
        <w:tabs>
          <w:tab w:val="center" w:leader="dot" w:pos="1200"/>
          <w:tab w:val="center" w:leader="middleDot" w:pos="8400"/>
        </w:tabs>
        <w:kinsoku/>
        <w:wordWrap/>
        <w:overflowPunct/>
        <w:topLinePunct w:val="0"/>
        <w:autoSpaceDE/>
        <w:autoSpaceDN/>
        <w:bidi w:val="0"/>
        <w:adjustRightInd/>
        <w:snapToGrid/>
        <w:spacing w:line="360" w:lineRule="auto"/>
        <w:jc w:val="left"/>
        <w:textAlignment w:val="auto"/>
        <w:outlineLvl w:val="9"/>
        <w:rPr>
          <w:rFonts w:hint="default" w:ascii="Times New Roman" w:hAnsi="Times New Roman" w:cs="Times New Roman"/>
          <w:b w:val="0"/>
          <w:bCs w:val="0"/>
          <w:i w:val="0"/>
          <w:iCs w:val="0"/>
          <w:caps w:val="0"/>
          <w:color w:val="202020"/>
          <w:spacing w:val="0"/>
          <w:kern w:val="0"/>
          <w:sz w:val="24"/>
          <w:szCs w:val="24"/>
          <w:shd w:val="clear" w:color="auto" w:fill="FFFFFF"/>
          <w:lang w:val="en-US" w:eastAsia="zh-CN" w:bidi="ar"/>
        </w:rPr>
      </w:pPr>
      <w:r>
        <w:rPr>
          <w:rFonts w:hint="default" w:ascii="Times New Roman" w:hAnsi="Times New Roman" w:cs="Times New Roman"/>
          <w:b/>
          <w:bCs/>
          <w:i w:val="0"/>
          <w:iCs w:val="0"/>
          <w:caps w:val="0"/>
          <w:color w:val="202020"/>
          <w:spacing w:val="0"/>
          <w:kern w:val="0"/>
          <w:sz w:val="24"/>
          <w:szCs w:val="24"/>
          <w:shd w:val="clear" w:color="auto" w:fill="FFFFFF"/>
          <w:lang w:val="en-US" w:eastAsia="zh-CN" w:bidi="ar"/>
        </w:rPr>
        <w:t>Table S1.</w:t>
      </w:r>
      <w:r>
        <w:rPr>
          <w:rFonts w:hint="default" w:ascii="Times New Roman" w:hAnsi="Times New Roman" w:cs="Times New Roman"/>
          <w:b w:val="0"/>
          <w:bCs w:val="0"/>
          <w:i w:val="0"/>
          <w:iCs w:val="0"/>
          <w:caps w:val="0"/>
          <w:color w:val="202020"/>
          <w:spacing w:val="0"/>
          <w:kern w:val="0"/>
          <w:sz w:val="24"/>
          <w:szCs w:val="24"/>
          <w:shd w:val="clear" w:color="auto" w:fill="FFFFFF"/>
          <w:lang w:val="en-US" w:eastAsia="zh-CN" w:bidi="ar"/>
        </w:rPr>
        <w:t xml:space="preserve"> Keywords of three search aspects</w:t>
      </w:r>
    </w:p>
    <w:tbl>
      <w:tblPr>
        <w:tblStyle w:val="7"/>
        <w:tblW w:w="9025"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298"/>
        <w:gridCol w:w="6727"/>
      </w:tblGrid>
      <w:tr w14:paraId="251FC70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9" w:hRule="atLeast"/>
          <w:jc w:val="center"/>
        </w:trPr>
        <w:tc>
          <w:tcPr>
            <w:tcW w:w="2298" w:type="dxa"/>
            <w:tcBorders>
              <w:bottom w:val="single" w:color="auto" w:sz="6" w:space="0"/>
            </w:tcBorders>
            <w:vAlign w:val="center"/>
          </w:tcPr>
          <w:p w14:paraId="325A27A7">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outlineLvl w:val="9"/>
              <w:rPr>
                <w:rFonts w:hint="default" w:ascii="Times New Roman" w:hAnsi="Times New Roman" w:cs="Times New Roman"/>
                <w:b/>
                <w:bCs/>
                <w:i w:val="0"/>
                <w:iCs w:val="0"/>
                <w:caps w:val="0"/>
                <w:color w:val="202020"/>
                <w:spacing w:val="0"/>
                <w:kern w:val="0"/>
                <w:sz w:val="21"/>
                <w:szCs w:val="21"/>
                <w:shd w:val="clear" w:color="auto" w:fill="FFFFFF"/>
                <w:vertAlign w:val="baseline"/>
                <w:lang w:val="en-US" w:eastAsia="zh-CN" w:bidi="ar"/>
              </w:rPr>
            </w:pPr>
            <w:r>
              <w:rPr>
                <w:rFonts w:hint="default" w:ascii="Times New Roman" w:hAnsi="Times New Roman" w:cs="Times New Roman"/>
                <w:b/>
                <w:bCs/>
                <w:i w:val="0"/>
                <w:iCs w:val="0"/>
                <w:caps w:val="0"/>
                <w:color w:val="202020"/>
                <w:spacing w:val="0"/>
                <w:kern w:val="0"/>
                <w:sz w:val="21"/>
                <w:szCs w:val="21"/>
                <w:shd w:val="clear" w:color="auto" w:fill="FFFFFF"/>
                <w:vertAlign w:val="baseline"/>
                <w:lang w:val="en-US" w:eastAsia="zh-CN" w:bidi="ar"/>
              </w:rPr>
              <w:t>Search Aspects</w:t>
            </w:r>
          </w:p>
        </w:tc>
        <w:tc>
          <w:tcPr>
            <w:tcW w:w="6727" w:type="dxa"/>
            <w:tcBorders>
              <w:bottom w:val="single" w:color="auto" w:sz="6" w:space="0"/>
            </w:tcBorders>
            <w:vAlign w:val="center"/>
          </w:tcPr>
          <w:p w14:paraId="777664F5">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center"/>
              <w:textAlignment w:val="auto"/>
              <w:outlineLvl w:val="9"/>
              <w:rPr>
                <w:rFonts w:hint="default" w:ascii="Times New Roman" w:hAnsi="Times New Roman" w:cs="Times New Roman"/>
                <w:b/>
                <w:bCs/>
                <w:i w:val="0"/>
                <w:iCs w:val="0"/>
                <w:caps w:val="0"/>
                <w:color w:val="202020"/>
                <w:spacing w:val="0"/>
                <w:kern w:val="0"/>
                <w:sz w:val="21"/>
                <w:szCs w:val="21"/>
                <w:shd w:val="clear" w:color="auto" w:fill="FFFFFF"/>
                <w:vertAlign w:val="baseline"/>
                <w:lang w:val="en-US" w:eastAsia="zh-CN" w:bidi="ar"/>
              </w:rPr>
            </w:pPr>
            <w:r>
              <w:rPr>
                <w:rFonts w:hint="default" w:ascii="Times New Roman" w:hAnsi="Times New Roman" w:cs="Times New Roman"/>
                <w:b/>
                <w:bCs/>
                <w:i w:val="0"/>
                <w:iCs w:val="0"/>
                <w:caps w:val="0"/>
                <w:color w:val="202020"/>
                <w:spacing w:val="0"/>
                <w:kern w:val="0"/>
                <w:sz w:val="21"/>
                <w:szCs w:val="21"/>
                <w:shd w:val="clear" w:color="auto" w:fill="FFFFFF"/>
                <w:vertAlign w:val="baseline"/>
                <w:lang w:val="en-US" w:eastAsia="zh-CN" w:bidi="ar"/>
              </w:rPr>
              <w:t>Keywords</w:t>
            </w:r>
          </w:p>
        </w:tc>
      </w:tr>
      <w:tr w14:paraId="6D803DD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98" w:type="dxa"/>
            <w:tcBorders>
              <w:top w:val="single" w:color="auto" w:sz="6" w:space="0"/>
              <w:tl2br w:val="nil"/>
              <w:tr2bl w:val="nil"/>
            </w:tcBorders>
            <w:vAlign w:val="center"/>
          </w:tcPr>
          <w:p w14:paraId="3B22182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jc w:val="both"/>
              <w:textAlignment w:val="auto"/>
              <w:outlineLvl w:val="9"/>
              <w:rPr>
                <w:rFonts w:hint="default" w:ascii="Times New Roman" w:hAnsi="Times New Roman" w:cs="Times New Roman"/>
                <w:b/>
                <w:bCs/>
                <w:i w:val="0"/>
                <w:iCs w:val="0"/>
                <w:caps w:val="0"/>
                <w:color w:val="202020"/>
                <w:spacing w:val="0"/>
                <w:kern w:val="0"/>
                <w:sz w:val="21"/>
                <w:szCs w:val="21"/>
                <w:shd w:val="clear" w:color="auto" w:fill="FFFFFF"/>
                <w:vertAlign w:val="baseline"/>
                <w:lang w:val="en-US" w:eastAsia="zh-CN" w:bidi="ar"/>
              </w:rPr>
            </w:pPr>
            <w:r>
              <w:rPr>
                <w:rFonts w:hint="default" w:ascii="Times New Roman" w:hAnsi="Times New Roman" w:cs="Times New Roman" w:eastAsiaTheme="minorEastAsia"/>
                <w:b w:val="0"/>
                <w:bCs w:val="0"/>
                <w:i w:val="0"/>
                <w:iCs w:val="0"/>
                <w:caps w:val="0"/>
                <w:color w:val="202020"/>
                <w:spacing w:val="0"/>
                <w:kern w:val="0"/>
                <w:sz w:val="21"/>
                <w:szCs w:val="21"/>
                <w:shd w:val="clear" w:fill="FFFFFF"/>
                <w:vertAlign w:val="baseline"/>
                <w:lang w:val="en-US" w:eastAsia="zh-CN" w:bidi="ar"/>
              </w:rPr>
              <w:t>(a)</w:t>
            </w:r>
            <w:r>
              <w:rPr>
                <w:rFonts w:hint="default" w:ascii="Times New Roman" w:hAnsi="Times New Roman" w:cs="Times New Roman"/>
                <w:b w:val="0"/>
                <w:bCs w:val="0"/>
                <w:i w:val="0"/>
                <w:iCs w:val="0"/>
                <w:caps w:val="0"/>
                <w:color w:val="202020"/>
                <w:spacing w:val="0"/>
                <w:kern w:val="0"/>
                <w:sz w:val="21"/>
                <w:szCs w:val="21"/>
                <w:shd w:val="clear" w:fill="FFFFFF"/>
                <w:vertAlign w:val="baseline"/>
                <w:lang w:val="en-US" w:eastAsia="zh-CN" w:bidi="ar"/>
              </w:rPr>
              <w:t xml:space="preserve">Middle aged and </w:t>
            </w:r>
            <w:r>
              <w:rPr>
                <w:rFonts w:hint="default" w:ascii="Times New Roman" w:hAnsi="Times New Roman" w:cs="Times New Roman"/>
                <w:b w:val="0"/>
                <w:bCs w:val="0"/>
                <w:i w:val="0"/>
                <w:iCs w:val="0"/>
                <w:caps w:val="0"/>
                <w:color w:val="202020"/>
                <w:spacing w:val="0"/>
                <w:kern w:val="0"/>
                <w:sz w:val="21"/>
                <w:szCs w:val="21"/>
                <w:shd w:val="clear" w:color="auto" w:fill="FFFFFF"/>
                <w:lang w:val="en-US" w:eastAsia="zh-CN" w:bidi="ar"/>
              </w:rPr>
              <w:t>older adults</w:t>
            </w:r>
          </w:p>
        </w:tc>
        <w:tc>
          <w:tcPr>
            <w:tcW w:w="6727" w:type="dxa"/>
            <w:tcBorders>
              <w:top w:val="single" w:color="auto" w:sz="6" w:space="0"/>
              <w:tl2br w:val="nil"/>
              <w:tr2bl w:val="nil"/>
            </w:tcBorders>
            <w:vAlign w:val="center"/>
          </w:tcPr>
          <w:p w14:paraId="0801E031">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both"/>
              <w:textAlignment w:val="auto"/>
              <w:outlineLvl w:val="9"/>
              <w:rPr>
                <w:rFonts w:hint="default" w:ascii="Times New Roman" w:hAnsi="Times New Roman" w:eastAsia="宋体" w:cs="Times New Roman"/>
                <w:b/>
                <w:bCs/>
                <w:i w:val="0"/>
                <w:iCs w:val="0"/>
                <w:caps w:val="0"/>
                <w:color w:val="202020"/>
                <w:spacing w:val="0"/>
                <w:kern w:val="0"/>
                <w:sz w:val="21"/>
                <w:szCs w:val="21"/>
                <w:highlight w:val="none"/>
                <w:shd w:val="clear" w:color="auto" w:fill="FFFFFF"/>
                <w:vertAlign w:val="baseline"/>
                <w:lang w:val="en-US" w:eastAsia="zh-CN" w:bidi="ar"/>
              </w:rPr>
            </w:pPr>
            <w:r>
              <w:rPr>
                <w:rFonts w:hint="default" w:ascii="Times New Roman" w:hAnsi="Times New Roman" w:eastAsia="Georgia" w:cs="Times New Roman"/>
                <w:color w:val="212121"/>
                <w:kern w:val="44"/>
                <w:sz w:val="21"/>
                <w:szCs w:val="21"/>
                <w:highlight w:val="none"/>
                <w:shd w:val="clear" w:color="auto" w:fill="FFFFFF"/>
                <w:lang w:val="en-US" w:eastAsia="zh-CN" w:bidi="ar"/>
              </w:rPr>
              <w:t xml:space="preserve">Aged OR "Aged, 80 and over" OR </w:t>
            </w:r>
            <w:r>
              <w:rPr>
                <w:rFonts w:hint="default" w:ascii="Times New Roman" w:hAnsi="Times New Roman" w:eastAsia="Georgia" w:cs="Times New Roman"/>
                <w:color w:val="212121"/>
                <w:kern w:val="44"/>
                <w:sz w:val="21"/>
                <w:szCs w:val="21"/>
                <w:highlight w:val="none"/>
                <w:shd w:val="clear" w:color="auto" w:fill="FFFFFF"/>
                <w:lang w:bidi="ar"/>
              </w:rPr>
              <w:t xml:space="preserve">"middle aged" </w:t>
            </w:r>
            <w:r>
              <w:rPr>
                <w:rFonts w:hint="default" w:ascii="Times New Roman" w:hAnsi="Times New Roman" w:eastAsia="Georgia" w:cs="Times New Roman"/>
                <w:color w:val="212121"/>
                <w:kern w:val="44"/>
                <w:sz w:val="21"/>
                <w:szCs w:val="21"/>
                <w:highlight w:val="none"/>
                <w:shd w:val="clear" w:color="auto" w:fill="FFFFFF"/>
                <w:lang w:val="en-US" w:eastAsia="zh-CN" w:bidi="ar"/>
              </w:rPr>
              <w:t xml:space="preserve">OR "older adult*" OR elderly OR geriatric* OR senior* OR "older person*" OR "older people" OR "older population*" OR "aging population*" OR "ageing population*" OR "older individual*" OR "older patient*" OR "older participant*" OR </w:t>
            </w:r>
            <w:r>
              <w:rPr>
                <w:rFonts w:hint="default" w:ascii="Times New Roman" w:hAnsi="Times New Roman" w:eastAsia="Georgia" w:cs="Times New Roman"/>
                <w:color w:val="212121"/>
                <w:kern w:val="44"/>
                <w:sz w:val="21"/>
                <w:szCs w:val="21"/>
                <w:highlight w:val="none"/>
                <w:shd w:val="clear" w:color="auto" w:fill="FFFFFF"/>
                <w:lang w:bidi="ar"/>
              </w:rPr>
              <w:t>"middle age" OR "middle-age"</w:t>
            </w:r>
            <w:r>
              <w:rPr>
                <w:rFonts w:hint="default" w:ascii="Times New Roman" w:hAnsi="Times New Roman" w:eastAsia="宋体" w:cs="Times New Roman"/>
                <w:color w:val="212121"/>
                <w:kern w:val="44"/>
                <w:sz w:val="21"/>
                <w:szCs w:val="21"/>
                <w:highlight w:val="none"/>
                <w:shd w:val="clear" w:color="auto" w:fill="FFFFFF"/>
                <w:lang w:eastAsia="zh-CN" w:bidi="ar"/>
              </w:rPr>
              <w:t xml:space="preserve"> </w:t>
            </w:r>
            <w:r>
              <w:rPr>
                <w:rFonts w:hint="default" w:ascii="Times New Roman" w:hAnsi="Times New Roman" w:eastAsia="Georgia" w:cs="Times New Roman"/>
                <w:color w:val="212121"/>
                <w:kern w:val="44"/>
                <w:sz w:val="21"/>
                <w:szCs w:val="21"/>
                <w:highlight w:val="none"/>
                <w:shd w:val="clear" w:color="auto" w:fill="FFFFFF"/>
                <w:lang w:bidi="ar"/>
              </w:rPr>
              <w:t>OR "middle-aged"</w:t>
            </w:r>
          </w:p>
        </w:tc>
      </w:tr>
      <w:tr w14:paraId="629A35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98" w:type="dxa"/>
            <w:tcBorders>
              <w:tl2br w:val="nil"/>
              <w:tr2bl w:val="nil"/>
            </w:tcBorders>
            <w:vAlign w:val="center"/>
          </w:tcPr>
          <w:p w14:paraId="73AB80B4">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both"/>
              <w:textAlignment w:val="auto"/>
              <w:outlineLvl w:val="9"/>
              <w:rPr>
                <w:rFonts w:hint="default" w:ascii="Times New Roman" w:hAnsi="Times New Roman" w:cs="Times New Roman"/>
                <w:b w:val="0"/>
                <w:bCs w:val="0"/>
                <w:i w:val="0"/>
                <w:iCs w:val="0"/>
                <w:caps w:val="0"/>
                <w:color w:val="202020"/>
                <w:spacing w:val="0"/>
                <w:kern w:val="0"/>
                <w:sz w:val="21"/>
                <w:szCs w:val="21"/>
                <w:shd w:val="clear" w:color="auto" w:fill="FFFFFF"/>
                <w:vertAlign w:val="baseline"/>
                <w:lang w:val="en-US" w:eastAsia="zh-CN" w:bidi="ar"/>
              </w:rPr>
            </w:pPr>
            <w:r>
              <w:rPr>
                <w:rFonts w:hint="default" w:ascii="Times New Roman" w:hAnsi="Times New Roman" w:cs="Times New Roman"/>
                <w:b w:val="0"/>
                <w:bCs w:val="0"/>
                <w:i w:val="0"/>
                <w:iCs w:val="0"/>
                <w:caps w:val="0"/>
                <w:color w:val="202020"/>
                <w:spacing w:val="0"/>
                <w:kern w:val="0"/>
                <w:sz w:val="21"/>
                <w:szCs w:val="21"/>
                <w:shd w:val="clear" w:color="auto" w:fill="FFFFFF"/>
                <w:vertAlign w:val="baseline"/>
                <w:lang w:val="en-US" w:eastAsia="zh-CN" w:bidi="ar"/>
              </w:rPr>
              <w:t>(b)Meditative and mind-body interventions</w:t>
            </w:r>
          </w:p>
        </w:tc>
        <w:tc>
          <w:tcPr>
            <w:tcW w:w="6727" w:type="dxa"/>
            <w:tcBorders>
              <w:tl2br w:val="nil"/>
              <w:tr2bl w:val="nil"/>
            </w:tcBorders>
            <w:vAlign w:val="center"/>
          </w:tcPr>
          <w:p w14:paraId="2C514F6F">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both"/>
              <w:textAlignment w:val="auto"/>
              <w:outlineLvl w:val="9"/>
              <w:rPr>
                <w:rFonts w:hint="default" w:ascii="Times New Roman" w:hAnsi="Times New Roman" w:cs="Times New Roman"/>
                <w:b/>
                <w:bCs/>
                <w:i w:val="0"/>
                <w:iCs w:val="0"/>
                <w:caps w:val="0"/>
                <w:color w:val="202020"/>
                <w:spacing w:val="0"/>
                <w:kern w:val="0"/>
                <w:sz w:val="21"/>
                <w:szCs w:val="21"/>
                <w:highlight w:val="none"/>
                <w:shd w:val="clear" w:color="auto" w:fill="FFFFFF"/>
                <w:vertAlign w:val="baseline"/>
                <w:lang w:val="en-US" w:eastAsia="zh-CN" w:bidi="ar"/>
              </w:rPr>
            </w:pPr>
            <w:r>
              <w:rPr>
                <w:rFonts w:hint="default" w:ascii="Times New Roman" w:hAnsi="Times New Roman" w:cs="Times New Roman"/>
                <w:b w:val="0"/>
                <w:bCs w:val="0"/>
                <w:i w:val="0"/>
                <w:iCs w:val="0"/>
                <w:caps w:val="0"/>
                <w:color w:val="202020"/>
                <w:spacing w:val="0"/>
                <w:kern w:val="0"/>
                <w:sz w:val="21"/>
                <w:szCs w:val="21"/>
                <w:highlight w:val="none"/>
                <w:shd w:val="clear" w:color="auto" w:fill="FFFFFF"/>
                <w:vertAlign w:val="baseline"/>
                <w:lang w:val="en-US" w:eastAsia="zh-CN" w:bidi="ar"/>
              </w:rPr>
              <w:t xml:space="preserve">"Mindfulness" OR "Meditation" OR "Mind-Body Therapies" OR Yoga OR "Tai Ji" OR </w:t>
            </w:r>
            <w:r>
              <w:rPr>
                <w:rFonts w:hint="default" w:ascii="Times New Roman" w:hAnsi="Times New Roman" w:cs="Times New Roman"/>
                <w:color w:val="202020"/>
                <w:kern w:val="0"/>
                <w:sz w:val="21"/>
                <w:szCs w:val="21"/>
                <w:highlight w:val="none"/>
                <w:shd w:val="clear" w:color="auto" w:fill="FFFFFF"/>
                <w:lang w:bidi="ar"/>
              </w:rPr>
              <w:t>"Biofeedback, Psychology"</w:t>
            </w:r>
            <w:r>
              <w:rPr>
                <w:rFonts w:hint="default" w:ascii="Times New Roman" w:hAnsi="Times New Roman" w:cs="Times New Roman"/>
                <w:color w:val="202020"/>
                <w:kern w:val="0"/>
                <w:sz w:val="21"/>
                <w:szCs w:val="21"/>
                <w:highlight w:val="none"/>
                <w:shd w:val="clear" w:color="auto" w:fill="FFFFFF"/>
                <w:lang w:val="en-US" w:eastAsia="zh-CN" w:bidi="ar"/>
              </w:rPr>
              <w:t xml:space="preserve"> OR </w:t>
            </w:r>
            <w:r>
              <w:rPr>
                <w:rFonts w:hint="default" w:ascii="Times New Roman" w:hAnsi="Times New Roman" w:cs="Times New Roman"/>
                <w:b w:val="0"/>
                <w:bCs w:val="0"/>
                <w:i w:val="0"/>
                <w:iCs w:val="0"/>
                <w:caps w:val="0"/>
                <w:color w:val="202020"/>
                <w:spacing w:val="0"/>
                <w:kern w:val="0"/>
                <w:sz w:val="21"/>
                <w:szCs w:val="21"/>
                <w:highlight w:val="none"/>
                <w:shd w:val="clear" w:color="auto" w:fill="FFFFFF"/>
                <w:vertAlign w:val="baseline"/>
                <w:lang w:val="en-US" w:eastAsia="zh-CN" w:bidi="ar"/>
              </w:rPr>
              <w:t xml:space="preserve">meditation OR meditative OR meditat* OR mindfulness OR mindful* OR "guided meditation" OR "mindfulness meditation" OR MBSR OR MBCT OR "body scan*" OR "breath awareness" OR "breathing awareness" OR "breathing exercise*" OR breathwork OR "mindful walking" OR "mindfulness-based" OR "mindfulness training" OR relaxation OR "relaxation training" OR "relaxation therapy" OR "guided relaxation" OR "meditative relaxation" OR "compassion meditation" OR "loving-kindness" OR "nature-based mindfulness" OR "mind-body" OR "mind body" OR "mind-body exercise*" OR "mind body exercise*" OR yoga OR "tai chi" OR "tai-chi" OR taichi OR "tai ji" OR taiji OR qigong OR "qi gong" OR Baduanjin OR "Ba Duan Jin" OR "Eight-section Brocades" OR </w:t>
            </w:r>
            <w:r>
              <w:rPr>
                <w:rFonts w:hint="default" w:ascii="Times New Roman" w:hAnsi="Times New Roman" w:cs="Times New Roman"/>
                <w:color w:val="202020"/>
                <w:kern w:val="0"/>
                <w:sz w:val="21"/>
                <w:szCs w:val="21"/>
                <w:highlight w:val="none"/>
                <w:shd w:val="clear" w:color="auto" w:fill="FFFFFF"/>
                <w:lang w:bidi="ar"/>
              </w:rPr>
              <w:t>"guided imagery" OR "guided visualization" OR "guided visualisation" OR</w:t>
            </w:r>
            <w:r>
              <w:rPr>
                <w:rFonts w:hint="default" w:ascii="Times New Roman" w:hAnsi="Times New Roman" w:cs="Times New Roman"/>
                <w:color w:val="202020"/>
                <w:kern w:val="0"/>
                <w:sz w:val="21"/>
                <w:szCs w:val="21"/>
                <w:highlight w:val="none"/>
                <w:shd w:val="clear" w:color="auto" w:fill="FFFFFF"/>
                <w:lang w:eastAsia="zh-CN" w:bidi="ar"/>
              </w:rPr>
              <w:t xml:space="preserve"> </w:t>
            </w:r>
            <w:r>
              <w:rPr>
                <w:rFonts w:hint="default" w:ascii="Times New Roman" w:hAnsi="Times New Roman" w:cs="Times New Roman"/>
                <w:color w:val="202020"/>
                <w:kern w:val="0"/>
                <w:sz w:val="21"/>
                <w:szCs w:val="21"/>
                <w:highlight w:val="none"/>
                <w:shd w:val="clear" w:color="auto" w:fill="FFFFFF"/>
                <w:lang w:bidi="ar"/>
              </w:rPr>
              <w:t>"biofeedback-assisted" OR "biofeedback assisted" OR "heart rate variability biofeedback" OR "HRV biofeedback"</w:t>
            </w:r>
          </w:p>
        </w:tc>
      </w:tr>
      <w:tr w14:paraId="57FC604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298" w:type="dxa"/>
            <w:tcBorders>
              <w:tl2br w:val="nil"/>
              <w:tr2bl w:val="nil"/>
            </w:tcBorders>
            <w:vAlign w:val="center"/>
          </w:tcPr>
          <w:p w14:paraId="43014FF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240" w:lineRule="auto"/>
              <w:ind w:left="0" w:leftChars="0" w:firstLine="0" w:firstLineChars="0"/>
              <w:jc w:val="both"/>
              <w:textAlignment w:val="auto"/>
              <w:outlineLvl w:val="9"/>
              <w:rPr>
                <w:rFonts w:hint="default" w:ascii="Times New Roman" w:hAnsi="Times New Roman" w:cs="Times New Roman"/>
                <w:b w:val="0"/>
                <w:bCs w:val="0"/>
                <w:i w:val="0"/>
                <w:iCs w:val="0"/>
                <w:caps w:val="0"/>
                <w:color w:val="202020"/>
                <w:spacing w:val="0"/>
                <w:kern w:val="0"/>
                <w:sz w:val="21"/>
                <w:szCs w:val="21"/>
                <w:shd w:val="clear" w:color="auto" w:fill="FFFFFF"/>
                <w:vertAlign w:val="baseline"/>
                <w:lang w:val="en-US" w:eastAsia="zh-CN" w:bidi="ar"/>
              </w:rPr>
            </w:pPr>
            <w:r>
              <w:rPr>
                <w:rFonts w:hint="default" w:ascii="Times New Roman" w:hAnsi="Times New Roman" w:cs="Times New Roman" w:eastAsiaTheme="minorEastAsia"/>
                <w:b w:val="0"/>
                <w:bCs w:val="0"/>
                <w:i w:val="0"/>
                <w:iCs w:val="0"/>
                <w:caps w:val="0"/>
                <w:color w:val="202020"/>
                <w:spacing w:val="0"/>
                <w:kern w:val="0"/>
                <w:sz w:val="21"/>
                <w:szCs w:val="21"/>
                <w:shd w:val="clear" w:fill="FFFFFF"/>
                <w:vertAlign w:val="baseline"/>
                <w:lang w:val="en-US" w:eastAsia="zh-CN" w:bidi="ar"/>
              </w:rPr>
              <w:t>(</w:t>
            </w:r>
            <w:r>
              <w:rPr>
                <w:rFonts w:hint="default" w:ascii="Times New Roman" w:hAnsi="Times New Roman" w:cs="Times New Roman"/>
                <w:b w:val="0"/>
                <w:bCs w:val="0"/>
                <w:i w:val="0"/>
                <w:iCs w:val="0"/>
                <w:caps w:val="0"/>
                <w:color w:val="202020"/>
                <w:spacing w:val="0"/>
                <w:kern w:val="0"/>
                <w:sz w:val="21"/>
                <w:szCs w:val="21"/>
                <w:shd w:val="clear" w:fill="FFFFFF"/>
                <w:vertAlign w:val="baseline"/>
                <w:lang w:val="en-US" w:eastAsia="zh-CN" w:bidi="ar"/>
              </w:rPr>
              <w:t>c</w:t>
            </w:r>
            <w:r>
              <w:rPr>
                <w:rFonts w:hint="default" w:ascii="Times New Roman" w:hAnsi="Times New Roman" w:cs="Times New Roman" w:eastAsiaTheme="minorEastAsia"/>
                <w:b w:val="0"/>
                <w:bCs w:val="0"/>
                <w:i w:val="0"/>
                <w:iCs w:val="0"/>
                <w:caps w:val="0"/>
                <w:color w:val="202020"/>
                <w:spacing w:val="0"/>
                <w:kern w:val="0"/>
                <w:sz w:val="21"/>
                <w:szCs w:val="21"/>
                <w:shd w:val="clear" w:fill="FFFFFF"/>
                <w:vertAlign w:val="baseline"/>
                <w:lang w:val="en-US" w:eastAsia="zh-CN" w:bidi="ar"/>
              </w:rPr>
              <w:t>)</w:t>
            </w:r>
            <w:r>
              <w:rPr>
                <w:rFonts w:hint="default" w:ascii="Times New Roman" w:hAnsi="Times New Roman" w:eastAsia="楷体" w:cs="Times New Roman"/>
                <w:b w:val="0"/>
                <w:bCs w:val="0"/>
                <w:sz w:val="21"/>
                <w:szCs w:val="21"/>
                <w:lang w:val="en-US" w:eastAsia="zh-CN"/>
              </w:rPr>
              <w:t>Virtual reality</w:t>
            </w:r>
          </w:p>
        </w:tc>
        <w:tc>
          <w:tcPr>
            <w:tcW w:w="6727" w:type="dxa"/>
            <w:tcBorders>
              <w:tl2br w:val="nil"/>
              <w:tr2bl w:val="nil"/>
            </w:tcBorders>
            <w:vAlign w:val="center"/>
          </w:tcPr>
          <w:p w14:paraId="40615A83">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both"/>
              <w:textAlignment w:val="auto"/>
              <w:outlineLvl w:val="9"/>
              <w:rPr>
                <w:rFonts w:hint="default" w:ascii="Times New Roman" w:hAnsi="Times New Roman" w:cs="Times New Roman"/>
                <w:b w:val="0"/>
                <w:bCs w:val="0"/>
                <w:i w:val="0"/>
                <w:iCs w:val="0"/>
                <w:caps w:val="0"/>
                <w:color w:val="202020"/>
                <w:spacing w:val="0"/>
                <w:kern w:val="0"/>
                <w:sz w:val="21"/>
                <w:szCs w:val="21"/>
                <w:highlight w:val="none"/>
                <w:shd w:val="clear" w:color="auto" w:fill="FFFFFF"/>
                <w:vertAlign w:val="baseline"/>
                <w:lang w:val="en-US" w:eastAsia="zh-CN" w:bidi="ar"/>
              </w:rPr>
            </w:pPr>
            <w:r>
              <w:rPr>
                <w:rFonts w:hint="default" w:ascii="Times New Roman" w:hAnsi="Times New Roman" w:eastAsia="Georgia" w:cs="Times New Roman"/>
                <w:color w:val="212121"/>
                <w:kern w:val="44"/>
                <w:sz w:val="21"/>
                <w:szCs w:val="21"/>
                <w:highlight w:val="none"/>
                <w:shd w:val="clear" w:color="auto" w:fill="FFFFFF"/>
                <w:lang w:val="en-US" w:eastAsia="zh-CN" w:bidi="ar"/>
              </w:rPr>
              <w:t>"Virtual Reality" OR "virtual reality" OR VR OR "immersive virtual reality" OR "immersive VR" OR "non-immersive virtual reality" OR "nonimmersive virtual reality" OR "virtual environment*" OR "head-mounted display*" OR "head mounted display*" OR HMD OR CAVE OR "360-degree video" OR "360° video" OR "360 video" OR "three-dimensional virtual environment*" OR "3D virtual environment*"</w:t>
            </w:r>
          </w:p>
        </w:tc>
      </w:tr>
    </w:tbl>
    <w:p w14:paraId="1BCF181B">
      <w:pPr>
        <w:rPr>
          <w:rFonts w:hint="eastAsia" w:eastAsiaTheme="minorEastAsia"/>
          <w:lang w:eastAsia="zh-CN"/>
        </w:rPr>
      </w:pPr>
    </w:p>
    <w:p w14:paraId="0405E6E4"/>
    <w:p w14:paraId="5F2E29F3"/>
    <w:p w14:paraId="413F11BE"/>
    <w:p w14:paraId="5E8C5D56"/>
    <w:p w14:paraId="2E28F93E"/>
    <w:p w14:paraId="7979B4A7"/>
    <w:p w14:paraId="542D9F73"/>
    <w:p w14:paraId="0017F86B"/>
    <w:p w14:paraId="2C2B5D5F"/>
    <w:p w14:paraId="510C4732"/>
    <w:p w14:paraId="089FF317"/>
    <w:p w14:paraId="087449B9"/>
    <w:p w14:paraId="471C573E"/>
    <w:p w14:paraId="39FC86F3">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outlineLvl w:val="9"/>
        <w:rPr>
          <w:rFonts w:hint="default" w:ascii="Times New Roman" w:hAnsi="Times New Roman" w:cs="Times New Roman"/>
          <w:sz w:val="24"/>
          <w:szCs w:val="24"/>
          <w:lang w:val="en-US"/>
        </w:rPr>
      </w:pPr>
      <w:r>
        <w:rPr>
          <w:rFonts w:hint="default" w:ascii="Times New Roman" w:hAnsi="Times New Roman" w:cs="Times New Roman"/>
          <w:b/>
          <w:bCs/>
          <w:i w:val="0"/>
          <w:iCs w:val="0"/>
          <w:caps w:val="0"/>
          <w:color w:val="202020"/>
          <w:spacing w:val="0"/>
          <w:kern w:val="0"/>
          <w:sz w:val="24"/>
          <w:szCs w:val="24"/>
          <w:shd w:val="clear" w:color="auto" w:fill="FFFFFF"/>
          <w:lang w:val="en-US" w:eastAsia="zh-CN" w:bidi="ar"/>
        </w:rPr>
        <w:t xml:space="preserve">Table S2. </w:t>
      </w:r>
      <w:r>
        <w:rPr>
          <w:rFonts w:hint="default" w:ascii="Times New Roman" w:hAnsi="Times New Roman" w:cs="Times New Roman"/>
          <w:b w:val="0"/>
          <w:bCs w:val="0"/>
          <w:i w:val="0"/>
          <w:iCs w:val="0"/>
          <w:caps w:val="0"/>
          <w:color w:val="202020"/>
          <w:spacing w:val="0"/>
          <w:kern w:val="0"/>
          <w:sz w:val="24"/>
          <w:szCs w:val="24"/>
          <w:shd w:val="clear" w:color="auto" w:fill="FFFFFF"/>
          <w:lang w:val="en-US" w:eastAsia="zh-CN" w:bidi="ar"/>
        </w:rPr>
        <w:t>Search strategy for PubMed</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9"/>
        <w:gridCol w:w="6773"/>
      </w:tblGrid>
      <w:tr w14:paraId="42C55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9" w:type="dxa"/>
            <w:noWrap w:val="0"/>
            <w:vAlign w:val="top"/>
          </w:tcPr>
          <w:p w14:paraId="4AEAD484">
            <w:pPr>
              <w:pageBreakBefore w:val="0"/>
              <w:kinsoku/>
              <w:wordWrap/>
              <w:overflowPunct/>
              <w:topLinePunct w:val="0"/>
              <w:autoSpaceDE/>
              <w:autoSpaceDN/>
              <w:bidi w:val="0"/>
              <w:adjustRightInd/>
              <w:snapToGrid/>
              <w:spacing w:beforeAutospacing="0" w:afterAutospacing="0" w:line="240" w:lineRule="auto"/>
              <w:jc w:val="both"/>
              <w:outlineLvl w:val="9"/>
              <w:rPr>
                <w:rFonts w:hint="default" w:ascii="Times New Roman" w:hAnsi="Times New Roman" w:cs="Times New Roman" w:eastAsiaTheme="minorEastAsia"/>
                <w:b/>
                <w:bCs w:val="0"/>
                <w:color w:val="auto"/>
                <w:sz w:val="21"/>
                <w:szCs w:val="21"/>
                <w:shd w:val="clear" w:color="auto" w:fill="FFFFFF"/>
                <w:lang w:val="en-US" w:eastAsia="zh-CN"/>
              </w:rPr>
            </w:pPr>
            <w:r>
              <w:rPr>
                <w:rFonts w:hint="default" w:ascii="Times New Roman" w:hAnsi="Times New Roman" w:cs="Times New Roman"/>
                <w:b w:val="0"/>
                <w:bCs/>
                <w:color w:val="auto"/>
                <w:sz w:val="21"/>
                <w:szCs w:val="21"/>
                <w:shd w:val="clear" w:color="auto" w:fill="FFFFFF"/>
                <w:lang w:val="en-US" w:eastAsia="zh-CN"/>
              </w:rPr>
              <w:t>Search number</w:t>
            </w:r>
          </w:p>
        </w:tc>
        <w:tc>
          <w:tcPr>
            <w:tcW w:w="6773" w:type="dxa"/>
            <w:noWrap w:val="0"/>
            <w:vAlign w:val="top"/>
          </w:tcPr>
          <w:p w14:paraId="69A54311">
            <w:pPr>
              <w:pageBreakBefore w:val="0"/>
              <w:kinsoku/>
              <w:wordWrap/>
              <w:overflowPunct/>
              <w:topLinePunct w:val="0"/>
              <w:autoSpaceDE/>
              <w:autoSpaceDN/>
              <w:bidi w:val="0"/>
              <w:adjustRightInd/>
              <w:snapToGrid/>
              <w:spacing w:beforeAutospacing="0" w:afterAutospacing="0" w:line="240" w:lineRule="auto"/>
              <w:jc w:val="both"/>
              <w:outlineLvl w:val="9"/>
              <w:rPr>
                <w:rFonts w:hint="default" w:ascii="Times New Roman" w:hAnsi="Times New Roman" w:eastAsia="Segoe UI" w:cs="Times New Roman"/>
                <w:b w:val="0"/>
                <w:bCs w:val="0"/>
                <w:color w:val="auto"/>
                <w:sz w:val="21"/>
                <w:szCs w:val="21"/>
                <w:shd w:val="clear" w:color="auto" w:fill="FFFFFF"/>
                <w:lang w:val="en-US" w:eastAsia="zh-CN"/>
              </w:rPr>
            </w:pPr>
            <w:r>
              <w:rPr>
                <w:rFonts w:hint="default" w:ascii="Times New Roman" w:hAnsi="Times New Roman" w:eastAsia="Segoe UI" w:cs="Times New Roman"/>
                <w:b w:val="0"/>
                <w:bCs w:val="0"/>
                <w:color w:val="auto"/>
                <w:sz w:val="21"/>
                <w:szCs w:val="21"/>
                <w:shd w:val="clear" w:color="auto" w:fill="FFFFFF"/>
                <w:lang w:val="en-US" w:eastAsia="zh-CN"/>
              </w:rPr>
              <w:t>Query</w:t>
            </w:r>
          </w:p>
        </w:tc>
      </w:tr>
      <w:tr w14:paraId="40A78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9" w:type="dxa"/>
            <w:noWrap w:val="0"/>
            <w:vAlign w:val="top"/>
          </w:tcPr>
          <w:p w14:paraId="603DBE25">
            <w:pPr>
              <w:pageBreakBefore w:val="0"/>
              <w:kinsoku/>
              <w:wordWrap/>
              <w:overflowPunct/>
              <w:topLinePunct w:val="0"/>
              <w:autoSpaceDE/>
              <w:autoSpaceDN/>
              <w:bidi w:val="0"/>
              <w:adjustRightInd/>
              <w:snapToGrid/>
              <w:spacing w:beforeAutospacing="0" w:afterAutospacing="0" w:line="240" w:lineRule="auto"/>
              <w:jc w:val="both"/>
              <w:outlineLvl w:val="9"/>
              <w:rPr>
                <w:rFonts w:hint="default" w:ascii="Times New Roman" w:hAnsi="Times New Roman" w:cs="Times New Roman"/>
                <w:color w:val="auto"/>
                <w:sz w:val="21"/>
                <w:szCs w:val="21"/>
              </w:rPr>
            </w:pPr>
            <w:r>
              <w:rPr>
                <w:rFonts w:hint="default" w:ascii="Times New Roman" w:hAnsi="Times New Roman" w:cs="Times New Roman"/>
                <w:color w:val="auto"/>
                <w:sz w:val="21"/>
                <w:szCs w:val="21"/>
              </w:rPr>
              <w:t>#1</w:t>
            </w:r>
          </w:p>
        </w:tc>
        <w:tc>
          <w:tcPr>
            <w:tcW w:w="6773" w:type="dxa"/>
            <w:noWrap w:val="0"/>
            <w:vAlign w:val="top"/>
          </w:tcPr>
          <w:p w14:paraId="16E3C978">
            <w:pPr>
              <w:pageBreakBefore w:val="0"/>
              <w:kinsoku/>
              <w:wordWrap/>
              <w:overflowPunct/>
              <w:topLinePunct w:val="0"/>
              <w:autoSpaceDE/>
              <w:autoSpaceDN/>
              <w:bidi w:val="0"/>
              <w:adjustRightInd/>
              <w:snapToGrid/>
              <w:spacing w:beforeAutospacing="0" w:afterAutospacing="0" w:line="240" w:lineRule="auto"/>
              <w:jc w:val="both"/>
              <w:outlineLvl w:val="9"/>
              <w:rPr>
                <w:rFonts w:hint="default" w:ascii="Times New Roman" w:hAnsi="Times New Roman" w:eastAsia="等线" w:cs="Times New Roman"/>
                <w:bCs w:val="0"/>
                <w:color w:val="auto"/>
                <w:sz w:val="21"/>
                <w:szCs w:val="21"/>
                <w:lang w:val="en-US" w:eastAsia="zh-CN" w:bidi="ar-SA"/>
              </w:rPr>
            </w:pPr>
            <w:r>
              <w:rPr>
                <w:rFonts w:hint="default" w:ascii="Times New Roman" w:hAnsi="Times New Roman" w:eastAsia="楷体" w:cs="Times New Roman"/>
                <w:color w:val="auto"/>
                <w:sz w:val="21"/>
                <w:szCs w:val="21"/>
              </w:rPr>
              <w:t>"Aged"[MeSH Terms] OR "aged, 80 and over"[MeSH Terms] OR "Middle Aged"[MeSH Terms]</w:t>
            </w:r>
          </w:p>
        </w:tc>
      </w:tr>
      <w:tr w14:paraId="6DD11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9" w:type="dxa"/>
            <w:noWrap w:val="0"/>
            <w:vAlign w:val="top"/>
          </w:tcPr>
          <w:p w14:paraId="0021C707">
            <w:pPr>
              <w:pageBreakBefore w:val="0"/>
              <w:kinsoku/>
              <w:wordWrap/>
              <w:overflowPunct/>
              <w:topLinePunct w:val="0"/>
              <w:autoSpaceDE/>
              <w:autoSpaceDN/>
              <w:bidi w:val="0"/>
              <w:adjustRightInd/>
              <w:snapToGrid/>
              <w:spacing w:beforeAutospacing="0" w:afterAutospacing="0" w:line="240" w:lineRule="auto"/>
              <w:jc w:val="both"/>
              <w:outlineLvl w:val="9"/>
              <w:rPr>
                <w:rFonts w:hint="default" w:ascii="Times New Roman" w:hAnsi="Times New Roman" w:cs="Times New Roman"/>
                <w:b/>
                <w:bCs w:val="0"/>
                <w:color w:val="auto"/>
                <w:sz w:val="21"/>
                <w:szCs w:val="21"/>
                <w:shd w:val="clear" w:color="auto" w:fill="FFFFFF"/>
              </w:rPr>
            </w:pPr>
            <w:r>
              <w:rPr>
                <w:rFonts w:hint="default" w:ascii="Times New Roman" w:hAnsi="Times New Roman" w:cs="Times New Roman"/>
                <w:color w:val="auto"/>
                <w:sz w:val="21"/>
                <w:szCs w:val="21"/>
              </w:rPr>
              <w:t>#2</w:t>
            </w:r>
          </w:p>
        </w:tc>
        <w:tc>
          <w:tcPr>
            <w:tcW w:w="6773" w:type="dxa"/>
            <w:noWrap w:val="0"/>
            <w:vAlign w:val="top"/>
          </w:tcPr>
          <w:p w14:paraId="2BABD3B1">
            <w:pPr>
              <w:pageBreakBefore w:val="0"/>
              <w:kinsoku/>
              <w:wordWrap/>
              <w:overflowPunct/>
              <w:topLinePunct w:val="0"/>
              <w:autoSpaceDE/>
              <w:autoSpaceDN/>
              <w:bidi w:val="0"/>
              <w:adjustRightInd/>
              <w:snapToGrid/>
              <w:spacing w:beforeAutospacing="0" w:afterAutospacing="0" w:line="240" w:lineRule="auto"/>
              <w:jc w:val="both"/>
              <w:outlineLvl w:val="9"/>
              <w:rPr>
                <w:rFonts w:hint="default" w:ascii="Times New Roman" w:hAnsi="Times New Roman" w:cs="Times New Roman"/>
                <w:b/>
                <w:bCs w:val="0"/>
                <w:color w:val="auto"/>
                <w:sz w:val="21"/>
                <w:szCs w:val="21"/>
                <w:shd w:val="clear" w:color="auto" w:fill="FFFFFF"/>
                <w:lang w:val="en-US"/>
              </w:rPr>
            </w:pPr>
            <w:r>
              <w:rPr>
                <w:rFonts w:hint="default" w:ascii="Times New Roman" w:hAnsi="Times New Roman" w:eastAsia="楷体" w:cs="Times New Roman"/>
                <w:color w:val="auto"/>
                <w:sz w:val="21"/>
                <w:szCs w:val="21"/>
              </w:rPr>
              <w:t>"older adult*"[Title/Abstract] OR "elderly"[Title/Abstract] OR "geriatric*"[Title/Abstract] OR "senior*"[Title/Abstract] OR "older person*"[Title/Abstract] OR "older people"[Title/Abstract] OR "older population*"[Title/Abstract] OR "aging population*"[Title/Abstract] OR "ageing population*"[Title/Abstract] OR "older individual*"[Title/Abstract] OR "older patient*"[Title/Abstract] OR "older participant*"[Title/Abstract] OR "middle</w:t>
            </w:r>
            <w:r>
              <w:rPr>
                <w:rFonts w:hint="eastAsia" w:ascii="Times New Roman" w:hAnsi="Times New Roman" w:eastAsia="楷体" w:cs="Times New Roman"/>
                <w:color w:val="auto"/>
                <w:sz w:val="21"/>
                <w:szCs w:val="21"/>
                <w:lang w:val="en-US" w:eastAsia="zh-CN"/>
              </w:rPr>
              <w:t xml:space="preserve"> </w:t>
            </w:r>
            <w:r>
              <w:rPr>
                <w:rFonts w:hint="default" w:ascii="Times New Roman" w:hAnsi="Times New Roman" w:eastAsia="楷体" w:cs="Times New Roman"/>
                <w:color w:val="auto"/>
                <w:sz w:val="21"/>
                <w:szCs w:val="21"/>
              </w:rPr>
              <w:t>age"[Title/Abstract] OR "middle-age"[Title/Abstract] OR "middle-aged"[Title/Abstract]</w:t>
            </w:r>
          </w:p>
        </w:tc>
      </w:tr>
      <w:tr w14:paraId="2255E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9" w:type="dxa"/>
            <w:noWrap w:val="0"/>
            <w:vAlign w:val="top"/>
          </w:tcPr>
          <w:p w14:paraId="3960EBE1">
            <w:pPr>
              <w:pageBreakBefore w:val="0"/>
              <w:kinsoku/>
              <w:wordWrap/>
              <w:overflowPunct/>
              <w:topLinePunct w:val="0"/>
              <w:autoSpaceDE/>
              <w:autoSpaceDN/>
              <w:bidi w:val="0"/>
              <w:adjustRightInd/>
              <w:snapToGrid/>
              <w:spacing w:beforeAutospacing="0" w:afterAutospacing="0" w:line="240" w:lineRule="auto"/>
              <w:jc w:val="both"/>
              <w:outlineLvl w:val="9"/>
              <w:rPr>
                <w:rFonts w:hint="default" w:ascii="Times New Roman" w:hAnsi="Times New Roman" w:cs="Times New Roman"/>
                <w:b/>
                <w:bCs w:val="0"/>
                <w:color w:val="auto"/>
                <w:sz w:val="21"/>
                <w:szCs w:val="21"/>
                <w:shd w:val="clear" w:color="auto" w:fill="FFFFFF"/>
              </w:rPr>
            </w:pPr>
            <w:r>
              <w:rPr>
                <w:rFonts w:hint="default" w:ascii="Times New Roman" w:hAnsi="Times New Roman" w:cs="Times New Roman"/>
                <w:color w:val="auto"/>
                <w:sz w:val="21"/>
                <w:szCs w:val="21"/>
              </w:rPr>
              <w:t>#3</w:t>
            </w:r>
          </w:p>
        </w:tc>
        <w:tc>
          <w:tcPr>
            <w:tcW w:w="6773" w:type="dxa"/>
            <w:noWrap w:val="0"/>
            <w:vAlign w:val="top"/>
          </w:tcPr>
          <w:p w14:paraId="7FA94787">
            <w:pPr>
              <w:pageBreakBefore w:val="0"/>
              <w:kinsoku/>
              <w:wordWrap/>
              <w:overflowPunct/>
              <w:topLinePunct w:val="0"/>
              <w:autoSpaceDE/>
              <w:autoSpaceDN/>
              <w:bidi w:val="0"/>
              <w:adjustRightInd/>
              <w:snapToGrid/>
              <w:spacing w:beforeAutospacing="0" w:afterAutospacing="0" w:line="240" w:lineRule="auto"/>
              <w:jc w:val="both"/>
              <w:outlineLvl w:val="9"/>
              <w:rPr>
                <w:rFonts w:hint="default" w:ascii="Times New Roman" w:hAnsi="Times New Roman" w:cs="Times New Roman"/>
                <w:b/>
                <w:bCs w:val="0"/>
                <w:color w:val="auto"/>
                <w:sz w:val="21"/>
                <w:szCs w:val="21"/>
                <w:shd w:val="clear" w:color="auto" w:fill="FFFFFF"/>
              </w:rPr>
            </w:pPr>
            <w:r>
              <w:rPr>
                <w:rFonts w:hint="default" w:ascii="Times New Roman" w:hAnsi="Times New Roman" w:eastAsia="等线" w:cs="Times New Roman"/>
                <w:bCs w:val="0"/>
                <w:color w:val="auto"/>
                <w:sz w:val="21"/>
                <w:szCs w:val="21"/>
              </w:rPr>
              <w:t>#1</w:t>
            </w:r>
            <w:r>
              <w:rPr>
                <w:rFonts w:hint="default" w:ascii="Times New Roman" w:hAnsi="Times New Roman" w:eastAsia="等线" w:cs="Times New Roman"/>
                <w:bCs w:val="0"/>
                <w:color w:val="auto"/>
                <w:sz w:val="21"/>
                <w:szCs w:val="21"/>
                <w:lang w:val="en-US" w:eastAsia="zh-CN"/>
              </w:rPr>
              <w:t xml:space="preserve"> </w:t>
            </w:r>
            <w:r>
              <w:rPr>
                <w:rFonts w:hint="default" w:ascii="Times New Roman" w:hAnsi="Times New Roman" w:eastAsia="等线" w:cs="Times New Roman"/>
                <w:bCs w:val="0"/>
                <w:color w:val="auto"/>
                <w:sz w:val="21"/>
                <w:szCs w:val="21"/>
              </w:rPr>
              <w:t>OR #2</w:t>
            </w:r>
          </w:p>
        </w:tc>
      </w:tr>
      <w:tr w14:paraId="18520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9" w:type="dxa"/>
            <w:noWrap w:val="0"/>
            <w:vAlign w:val="top"/>
          </w:tcPr>
          <w:p w14:paraId="7B8141F3">
            <w:pPr>
              <w:pageBreakBefore w:val="0"/>
              <w:kinsoku/>
              <w:wordWrap/>
              <w:overflowPunct/>
              <w:topLinePunct w:val="0"/>
              <w:autoSpaceDE/>
              <w:autoSpaceDN/>
              <w:bidi w:val="0"/>
              <w:adjustRightInd/>
              <w:snapToGrid/>
              <w:spacing w:beforeAutospacing="0" w:afterAutospacing="0" w:line="240" w:lineRule="auto"/>
              <w:jc w:val="both"/>
              <w:outlineLvl w:val="9"/>
              <w:rPr>
                <w:rFonts w:hint="default" w:ascii="Times New Roman" w:hAnsi="Times New Roman" w:cs="Times New Roman"/>
                <w:b/>
                <w:bCs w:val="0"/>
                <w:color w:val="auto"/>
                <w:sz w:val="21"/>
                <w:szCs w:val="21"/>
                <w:shd w:val="clear" w:color="auto" w:fill="FFFFFF"/>
              </w:rPr>
            </w:pPr>
            <w:r>
              <w:rPr>
                <w:rFonts w:hint="default" w:ascii="Times New Roman" w:hAnsi="Times New Roman" w:cs="Times New Roman"/>
                <w:color w:val="auto"/>
                <w:sz w:val="21"/>
                <w:szCs w:val="21"/>
              </w:rPr>
              <w:t>#4</w:t>
            </w:r>
          </w:p>
        </w:tc>
        <w:tc>
          <w:tcPr>
            <w:tcW w:w="6773" w:type="dxa"/>
            <w:noWrap w:val="0"/>
            <w:vAlign w:val="top"/>
          </w:tcPr>
          <w:p w14:paraId="6B48EA19">
            <w:pPr>
              <w:pageBreakBefore w:val="0"/>
              <w:kinsoku/>
              <w:wordWrap/>
              <w:overflowPunct/>
              <w:topLinePunct w:val="0"/>
              <w:autoSpaceDE/>
              <w:autoSpaceDN/>
              <w:bidi w:val="0"/>
              <w:adjustRightInd/>
              <w:snapToGrid/>
              <w:spacing w:beforeAutospacing="0" w:afterAutospacing="0" w:line="240" w:lineRule="auto"/>
              <w:jc w:val="both"/>
              <w:outlineLvl w:val="9"/>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楷体" w:cs="Times New Roman"/>
                <w:color w:val="auto"/>
                <w:sz w:val="21"/>
                <w:szCs w:val="21"/>
              </w:rPr>
              <w:t>"Mindfulness"[MeSH Terms] OR "Meditation"[MeSH Terms] OR "Mind-Body Therapies"[MeSH Terms] OR "Yoga"[MeSH Terms] OR "Tai Ji"[MeSH Terms] OR "biofeedback, psychology"[MeSH Terms]</w:t>
            </w:r>
          </w:p>
        </w:tc>
      </w:tr>
      <w:tr w14:paraId="52A1B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9" w:type="dxa"/>
            <w:noWrap w:val="0"/>
            <w:vAlign w:val="top"/>
          </w:tcPr>
          <w:p w14:paraId="3333F33E">
            <w:pPr>
              <w:pageBreakBefore w:val="0"/>
              <w:kinsoku/>
              <w:wordWrap/>
              <w:overflowPunct/>
              <w:topLinePunct w:val="0"/>
              <w:autoSpaceDE/>
              <w:autoSpaceDN/>
              <w:bidi w:val="0"/>
              <w:adjustRightInd/>
              <w:snapToGrid/>
              <w:spacing w:beforeAutospacing="0" w:afterAutospacing="0" w:line="240" w:lineRule="auto"/>
              <w:jc w:val="both"/>
              <w:outlineLvl w:val="9"/>
              <w:rPr>
                <w:rFonts w:hint="default" w:ascii="Times New Roman" w:hAnsi="Times New Roman" w:cs="Times New Roman" w:eastAsiaTheme="minorEastAsia"/>
                <w:color w:val="auto"/>
                <w:sz w:val="21"/>
                <w:szCs w:val="21"/>
                <w:lang w:val="en-US" w:eastAsia="zh-CN"/>
              </w:rPr>
            </w:pPr>
            <w:r>
              <w:rPr>
                <w:rFonts w:hint="default" w:ascii="Times New Roman" w:hAnsi="Times New Roman" w:cs="Times New Roman"/>
                <w:color w:val="auto"/>
                <w:sz w:val="21"/>
                <w:szCs w:val="21"/>
                <w:lang w:val="en-US" w:eastAsia="zh-CN"/>
              </w:rPr>
              <w:t>#5</w:t>
            </w:r>
          </w:p>
        </w:tc>
        <w:tc>
          <w:tcPr>
            <w:tcW w:w="6773" w:type="dxa"/>
            <w:noWrap w:val="0"/>
            <w:vAlign w:val="top"/>
          </w:tcPr>
          <w:p w14:paraId="7905B8A9">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both"/>
              <w:textAlignment w:val="auto"/>
              <w:outlineLvl w:val="9"/>
              <w:rPr>
                <w:rFonts w:hint="default" w:ascii="Times New Roman" w:hAnsi="Times New Roman" w:eastAsia="楷体" w:cs="Times New Roman"/>
                <w:b w:val="0"/>
                <w:bCs w:val="0"/>
                <w:color w:val="auto"/>
                <w:sz w:val="21"/>
                <w:szCs w:val="21"/>
                <w:lang w:val="en-US" w:eastAsia="zh-CN"/>
              </w:rPr>
            </w:pPr>
            <w:r>
              <w:rPr>
                <w:rFonts w:hint="default" w:ascii="Times New Roman" w:hAnsi="Times New Roman" w:eastAsia="楷体" w:cs="Times New Roman"/>
                <w:color w:val="auto"/>
                <w:sz w:val="21"/>
                <w:szCs w:val="21"/>
              </w:rPr>
              <w:t>"meditation"[Title/Abstract] OR "meditative"[Title/Abstract] OR "meditat*"[Title/Abstract] OR "mindfulness"[Title/Abstract] OR "mindful*"[Title/Abstract] OR "guided meditation"[Title/Abstract] OR "mindfulness meditation"[Title/Abstract] OR "MBSR"[Title/Abstract] OR "MBCT"[Title/Abstract] OR "body scan*"[Title/Abstract] OR "breath awareness"[Title/Abstract] OR "breathing awareness"[Title/Abstract] OR "breathing exercise*"[Title/Abstract] OR "breathwork"[Title/Abstract] OR "mindful walking"[Title/Abstract] OR "mindfulness-based"[Title/Abstract] OR "mindfulness training"[Title/Abstract] OR "relaxation"[Title/Abstract] OR "relaxation training"[Title/Abstract] OR "relaxation therapy"[Title/Abstract] OR "guided relaxation"[Title/Abstract] OR "meditative relaxation"[Title/Abstract] OR "compassion meditation"[Title/Abstract] OR "loving-kindness"[Title/Abstract] OR "nature-based mindfulness"[Title/Abstract] OR "mind-body"[Title/Abstract] OR "mind</w:t>
            </w:r>
            <w:r>
              <w:rPr>
                <w:rFonts w:hint="eastAsia" w:ascii="Times New Roman" w:hAnsi="Times New Roman" w:eastAsia="楷体" w:cs="Times New Roman"/>
                <w:color w:val="auto"/>
                <w:sz w:val="21"/>
                <w:szCs w:val="21"/>
                <w:lang w:val="en-US" w:eastAsia="zh-CN"/>
              </w:rPr>
              <w:t xml:space="preserve"> </w:t>
            </w:r>
            <w:r>
              <w:rPr>
                <w:rFonts w:hint="default" w:ascii="Times New Roman" w:hAnsi="Times New Roman" w:eastAsia="楷体" w:cs="Times New Roman"/>
                <w:color w:val="auto"/>
                <w:sz w:val="21"/>
                <w:szCs w:val="21"/>
              </w:rPr>
              <w:t>body"[Title/Abstract] OR "mind</w:t>
            </w:r>
            <w:r>
              <w:rPr>
                <w:rFonts w:hint="eastAsia" w:ascii="Times New Roman" w:hAnsi="Times New Roman" w:eastAsia="楷体" w:cs="Times New Roman"/>
                <w:color w:val="auto"/>
                <w:sz w:val="21"/>
                <w:szCs w:val="21"/>
                <w:lang w:val="en-US" w:eastAsia="zh-CN"/>
              </w:rPr>
              <w:t>-</w:t>
            </w:r>
            <w:r>
              <w:rPr>
                <w:rFonts w:hint="default" w:ascii="Times New Roman" w:hAnsi="Times New Roman" w:eastAsia="楷体" w:cs="Times New Roman"/>
                <w:color w:val="auto"/>
                <w:sz w:val="21"/>
                <w:szCs w:val="21"/>
              </w:rPr>
              <w:t>body exercise*"[Title/Abstract] OR "mind body exercise*"[Title/Abstract] OR "yoga"[Title/Abstract] OR "tai</w:t>
            </w:r>
            <w:r>
              <w:rPr>
                <w:rFonts w:hint="eastAsia" w:ascii="Times New Roman" w:hAnsi="Times New Roman" w:eastAsia="楷体" w:cs="Times New Roman"/>
                <w:color w:val="auto"/>
                <w:sz w:val="21"/>
                <w:szCs w:val="21"/>
                <w:lang w:val="en-US" w:eastAsia="zh-CN"/>
              </w:rPr>
              <w:t xml:space="preserve"> </w:t>
            </w:r>
            <w:r>
              <w:rPr>
                <w:rFonts w:hint="default" w:ascii="Times New Roman" w:hAnsi="Times New Roman" w:eastAsia="楷体" w:cs="Times New Roman"/>
                <w:color w:val="auto"/>
                <w:sz w:val="21"/>
                <w:szCs w:val="21"/>
              </w:rPr>
              <w:t>chi"[Title/Abstract] OR "tai-chi"[Title/Abstract] OR "taichi"[Title/Abstract] OR "tai ji"[Title/Abstract] OR "taiji"[Title/Abstract] OR "qigong"[Title/Abstract] OR "qi gong"[Title/Abstract] OR "Baduanjin"[Title/Abstract] OR "Ba Duan Jin"[Title/Abstract] OR "Eight-section Brocades"[Title/Abstract] OR "guided imagery"[Title/Abstract] OR "guided visualization"[Title/Abstract] OR "guided visualisation"[Title/Abstract] OR "biofeedback-assisted"[Title/Abstract] OR "biofeedback</w:t>
            </w:r>
            <w:r>
              <w:rPr>
                <w:rFonts w:hint="eastAsia" w:ascii="Times New Roman" w:hAnsi="Times New Roman" w:eastAsia="楷体" w:cs="Times New Roman"/>
                <w:color w:val="auto"/>
                <w:sz w:val="21"/>
                <w:szCs w:val="21"/>
                <w:lang w:val="en-US" w:eastAsia="zh-CN"/>
              </w:rPr>
              <w:t xml:space="preserve"> </w:t>
            </w:r>
            <w:r>
              <w:rPr>
                <w:rFonts w:hint="default" w:ascii="Times New Roman" w:hAnsi="Times New Roman" w:eastAsia="楷体" w:cs="Times New Roman"/>
                <w:color w:val="auto"/>
                <w:sz w:val="21"/>
                <w:szCs w:val="21"/>
              </w:rPr>
              <w:t>assisted"[Title/Abstract] OR "heart rate variability biofeedback"[Title/Abstract] OR "HRV biofeedback"[Title/Abstract]</w:t>
            </w:r>
          </w:p>
        </w:tc>
      </w:tr>
      <w:tr w14:paraId="53B2B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9" w:type="dxa"/>
            <w:noWrap w:val="0"/>
            <w:vAlign w:val="top"/>
          </w:tcPr>
          <w:p w14:paraId="4CEBB706">
            <w:pPr>
              <w:pageBreakBefore w:val="0"/>
              <w:kinsoku/>
              <w:wordWrap/>
              <w:overflowPunct/>
              <w:topLinePunct w:val="0"/>
              <w:autoSpaceDE/>
              <w:autoSpaceDN/>
              <w:bidi w:val="0"/>
              <w:adjustRightInd/>
              <w:snapToGrid/>
              <w:spacing w:beforeAutospacing="0" w:afterAutospacing="0" w:line="240" w:lineRule="auto"/>
              <w:jc w:val="both"/>
              <w:outlineLvl w:val="9"/>
              <w:rPr>
                <w:rFonts w:hint="default" w:ascii="Times New Roman" w:hAnsi="Times New Roman" w:cs="Times New Roman"/>
                <w:color w:val="auto"/>
                <w:sz w:val="21"/>
                <w:szCs w:val="21"/>
                <w:lang w:val="en-US" w:eastAsia="zh-CN"/>
              </w:rPr>
            </w:pPr>
            <w:r>
              <w:rPr>
                <w:rFonts w:hint="default" w:ascii="Times New Roman" w:hAnsi="Times New Roman" w:cs="Times New Roman"/>
                <w:color w:val="auto"/>
                <w:sz w:val="21"/>
                <w:szCs w:val="21"/>
                <w:lang w:val="en-US" w:eastAsia="zh-CN"/>
              </w:rPr>
              <w:t>#6</w:t>
            </w:r>
          </w:p>
        </w:tc>
        <w:tc>
          <w:tcPr>
            <w:tcW w:w="6773" w:type="dxa"/>
            <w:noWrap w:val="0"/>
            <w:vAlign w:val="top"/>
          </w:tcPr>
          <w:p w14:paraId="760B3B3E">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both"/>
              <w:textAlignment w:val="auto"/>
              <w:outlineLvl w:val="9"/>
              <w:rPr>
                <w:rFonts w:hint="default" w:ascii="Times New Roman" w:hAnsi="Times New Roman" w:eastAsia="楷体" w:cs="Times New Roman"/>
                <w:b w:val="0"/>
                <w:bCs w:val="0"/>
                <w:color w:val="auto"/>
                <w:sz w:val="21"/>
                <w:szCs w:val="21"/>
                <w:lang w:val="en-US" w:eastAsia="zh-CN"/>
              </w:rPr>
            </w:pPr>
            <w:r>
              <w:rPr>
                <w:rFonts w:hint="default" w:ascii="Times New Roman" w:hAnsi="Times New Roman" w:eastAsia="宋体" w:cs="Times New Roman"/>
                <w:color w:val="auto"/>
                <w:sz w:val="21"/>
                <w:szCs w:val="21"/>
                <w:lang w:val="en-US" w:eastAsia="zh-CN"/>
              </w:rPr>
              <w:t>#4 OR #5</w:t>
            </w:r>
          </w:p>
        </w:tc>
      </w:tr>
      <w:tr w14:paraId="03EA3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9" w:type="dxa"/>
            <w:noWrap w:val="0"/>
            <w:vAlign w:val="top"/>
          </w:tcPr>
          <w:p w14:paraId="3F77A453">
            <w:pPr>
              <w:pageBreakBefore w:val="0"/>
              <w:kinsoku/>
              <w:wordWrap/>
              <w:overflowPunct/>
              <w:topLinePunct w:val="0"/>
              <w:autoSpaceDE/>
              <w:autoSpaceDN/>
              <w:bidi w:val="0"/>
              <w:adjustRightInd/>
              <w:snapToGrid/>
              <w:spacing w:beforeAutospacing="0" w:afterAutospacing="0" w:line="240" w:lineRule="auto"/>
              <w:jc w:val="both"/>
              <w:outlineLvl w:val="9"/>
              <w:rPr>
                <w:rFonts w:hint="default" w:ascii="Times New Roman" w:hAnsi="Times New Roman" w:cs="Times New Roman"/>
                <w:color w:val="auto"/>
                <w:sz w:val="21"/>
                <w:szCs w:val="21"/>
                <w:lang w:val="en-US" w:eastAsia="zh-CN"/>
              </w:rPr>
            </w:pPr>
            <w:r>
              <w:rPr>
                <w:rFonts w:hint="default" w:ascii="Times New Roman" w:hAnsi="Times New Roman" w:cs="Times New Roman"/>
                <w:b w:val="0"/>
                <w:bCs/>
                <w:color w:val="auto"/>
                <w:sz w:val="21"/>
                <w:szCs w:val="21"/>
                <w:shd w:val="clear" w:color="auto" w:fill="FFFFFF"/>
                <w:lang w:val="en-US" w:eastAsia="zh-CN"/>
              </w:rPr>
              <w:t>#7</w:t>
            </w:r>
          </w:p>
        </w:tc>
        <w:tc>
          <w:tcPr>
            <w:tcW w:w="6773" w:type="dxa"/>
            <w:noWrap w:val="0"/>
            <w:vAlign w:val="top"/>
          </w:tcPr>
          <w:p w14:paraId="168EFE2A">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both"/>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"Virtual Reality"[MeSH Terms]</w:t>
            </w:r>
          </w:p>
        </w:tc>
      </w:tr>
      <w:tr w14:paraId="694D0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9" w:type="dxa"/>
            <w:noWrap w:val="0"/>
            <w:vAlign w:val="top"/>
          </w:tcPr>
          <w:p w14:paraId="73687FFF">
            <w:pPr>
              <w:pageBreakBefore w:val="0"/>
              <w:kinsoku/>
              <w:wordWrap/>
              <w:overflowPunct/>
              <w:topLinePunct w:val="0"/>
              <w:autoSpaceDE/>
              <w:autoSpaceDN/>
              <w:bidi w:val="0"/>
              <w:adjustRightInd/>
              <w:snapToGrid/>
              <w:spacing w:beforeAutospacing="0" w:afterAutospacing="0" w:line="240" w:lineRule="auto"/>
              <w:jc w:val="both"/>
              <w:outlineLvl w:val="9"/>
              <w:rPr>
                <w:rFonts w:hint="default" w:ascii="Times New Roman" w:hAnsi="Times New Roman" w:cs="Times New Roman"/>
                <w:color w:val="auto"/>
                <w:sz w:val="21"/>
                <w:szCs w:val="21"/>
                <w:lang w:val="en-US" w:eastAsia="zh-CN"/>
              </w:rPr>
            </w:pPr>
            <w:r>
              <w:rPr>
                <w:rFonts w:hint="default" w:ascii="Times New Roman" w:hAnsi="Times New Roman" w:cs="Times New Roman"/>
                <w:b w:val="0"/>
                <w:bCs/>
                <w:color w:val="auto"/>
                <w:sz w:val="21"/>
                <w:szCs w:val="21"/>
                <w:shd w:val="clear" w:color="auto" w:fill="FFFFFF"/>
                <w:lang w:val="en-US" w:eastAsia="zh-CN"/>
              </w:rPr>
              <w:t>#8</w:t>
            </w:r>
          </w:p>
        </w:tc>
        <w:tc>
          <w:tcPr>
            <w:tcW w:w="6773" w:type="dxa"/>
            <w:noWrap w:val="0"/>
            <w:vAlign w:val="top"/>
          </w:tcPr>
          <w:p w14:paraId="66CFA87B">
            <w:pPr>
              <w:keepNext w:val="0"/>
              <w:keepLines w:val="0"/>
              <w:pageBreakBefore w:val="0"/>
              <w:widowControl w:val="0"/>
              <w:kinsoku/>
              <w:wordWrap/>
              <w:overflowPunct/>
              <w:topLinePunct w:val="0"/>
              <w:autoSpaceDE/>
              <w:autoSpaceDN/>
              <w:bidi w:val="0"/>
              <w:adjustRightInd/>
              <w:snapToGrid/>
              <w:spacing w:beforeAutospacing="0" w:afterAutospacing="0" w:line="240" w:lineRule="auto"/>
              <w:jc w:val="both"/>
              <w:textAlignment w:val="auto"/>
              <w:outlineLvl w:val="9"/>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"virtual reality"[Title/Abstract] OR "VR"[Title/Abstract] OR "immersive virtual reality"[Title/Abstract] OR "immersive VR"[Title/Abstract] OR "non-immersive virtual reality"[Title/Abstract] OR "nonimmersive virtual reality"[Title/Abstract] OR "virtual environment*"[Title/Abstract] OR "head</w:t>
            </w:r>
            <w:r>
              <w:rPr>
                <w:rFonts w:hint="eastAsia" w:ascii="Times New Roman" w:hAnsi="Times New Roman" w:eastAsia="宋体" w:cs="Times New Roman"/>
                <w:color w:val="auto"/>
                <w:sz w:val="21"/>
                <w:szCs w:val="21"/>
                <w:lang w:val="en-US" w:eastAsia="zh-CN"/>
              </w:rPr>
              <w:t>-</w:t>
            </w:r>
            <w:r>
              <w:rPr>
                <w:rFonts w:hint="default" w:ascii="Times New Roman" w:hAnsi="Times New Roman" w:eastAsia="宋体" w:cs="Times New Roman"/>
                <w:color w:val="auto"/>
                <w:sz w:val="21"/>
                <w:szCs w:val="21"/>
                <w:lang w:val="en-US" w:eastAsia="zh-CN"/>
              </w:rPr>
              <w:t>mounted display*"[Title/Abstract] OR "head mounted display*"[Title/Abstract] OR "HMD"[Title/Abstract] OR "CAVE"[Title/Abstract] OR "360-degree video"[Title/Abstract] OR "360 video"[Title/Abstract] OR "360</w:t>
            </w:r>
            <w:r>
              <w:rPr>
                <w:rFonts w:hint="default" w:ascii="Times New Roman" w:hAnsi="Times New Roman" w:eastAsia="宋体" w:cs="Times New Roman"/>
                <w:sz w:val="24"/>
                <w:szCs w:val="24"/>
              </w:rPr>
              <w:t>°</w:t>
            </w:r>
            <w:r>
              <w:rPr>
                <w:rFonts w:hint="default" w:ascii="Times New Roman" w:hAnsi="Times New Roman" w:eastAsia="宋体" w:cs="Times New Roman"/>
                <w:color w:val="auto"/>
                <w:sz w:val="21"/>
                <w:szCs w:val="21"/>
                <w:lang w:val="en-US" w:eastAsia="zh-CN"/>
              </w:rPr>
              <w:t xml:space="preserve"> video"[Title/Abstract] OR "three dimensional virtual environment*"[Title/Abstract] OR "3d virtual environment*"[Title/Abstract]</w:t>
            </w:r>
          </w:p>
        </w:tc>
      </w:tr>
      <w:tr w14:paraId="1F2E2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9" w:type="dxa"/>
            <w:noWrap w:val="0"/>
            <w:vAlign w:val="center"/>
          </w:tcPr>
          <w:p w14:paraId="15EDDFF9">
            <w:pPr>
              <w:spacing w:line="240" w:lineRule="auto"/>
              <w:jc w:val="both"/>
              <w:rPr>
                <w:rFonts w:hint="default" w:ascii="Times New Roman" w:hAnsi="Times New Roman" w:cs="Times New Roman"/>
                <w:b w:val="0"/>
                <w:bCs/>
                <w:color w:val="auto"/>
                <w:sz w:val="21"/>
                <w:szCs w:val="21"/>
                <w:shd w:val="clear" w:color="auto" w:fill="FFFFFF"/>
                <w:lang w:val="en-US" w:eastAsia="zh-CN"/>
              </w:rPr>
            </w:pPr>
            <w:r>
              <w:rPr>
                <w:rFonts w:hint="default" w:ascii="Times New Roman" w:hAnsi="Times New Roman" w:cs="Times New Roman"/>
                <w:b w:val="0"/>
                <w:bCs/>
                <w:color w:val="auto"/>
                <w:sz w:val="21"/>
                <w:szCs w:val="21"/>
                <w:shd w:val="clear" w:color="auto" w:fill="FFFFFF"/>
                <w:lang w:val="en-US" w:eastAsia="zh-CN"/>
              </w:rPr>
              <w:t>#9</w:t>
            </w:r>
          </w:p>
        </w:tc>
        <w:tc>
          <w:tcPr>
            <w:tcW w:w="6773" w:type="dxa"/>
            <w:noWrap w:val="0"/>
            <w:vAlign w:val="top"/>
          </w:tcPr>
          <w:p w14:paraId="00F90FFE">
            <w:pPr>
              <w:pStyle w:val="2"/>
              <w:spacing w:line="240" w:lineRule="auto"/>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#7 OR #8</w:t>
            </w:r>
          </w:p>
        </w:tc>
      </w:tr>
      <w:tr w14:paraId="2E021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9" w:type="dxa"/>
            <w:noWrap w:val="0"/>
            <w:vAlign w:val="center"/>
          </w:tcPr>
          <w:p w14:paraId="3AEA0699">
            <w:pPr>
              <w:spacing w:line="240" w:lineRule="auto"/>
              <w:jc w:val="both"/>
              <w:rPr>
                <w:rFonts w:hint="default" w:ascii="Times New Roman" w:hAnsi="Times New Roman" w:cs="Times New Roman"/>
                <w:b w:val="0"/>
                <w:bCs/>
                <w:color w:val="auto"/>
                <w:sz w:val="21"/>
                <w:szCs w:val="21"/>
                <w:shd w:val="clear" w:color="auto" w:fill="FFFFFF"/>
                <w:lang w:val="en-US" w:eastAsia="zh-CN"/>
              </w:rPr>
            </w:pPr>
            <w:r>
              <w:rPr>
                <w:rFonts w:hint="default" w:ascii="Times New Roman" w:hAnsi="Times New Roman" w:cs="Times New Roman"/>
                <w:b w:val="0"/>
                <w:bCs/>
                <w:color w:val="auto"/>
                <w:sz w:val="21"/>
                <w:szCs w:val="21"/>
                <w:shd w:val="clear" w:color="auto" w:fill="FFFFFF"/>
                <w:lang w:val="en-US" w:eastAsia="zh-CN"/>
              </w:rPr>
              <w:t>#10</w:t>
            </w:r>
          </w:p>
        </w:tc>
        <w:tc>
          <w:tcPr>
            <w:tcW w:w="6773" w:type="dxa"/>
            <w:noWrap w:val="0"/>
            <w:vAlign w:val="top"/>
          </w:tcPr>
          <w:p w14:paraId="05F0D6E1">
            <w:pPr>
              <w:pStyle w:val="2"/>
              <w:spacing w:line="240" w:lineRule="auto"/>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 AND #6 AND #9</w:t>
            </w:r>
          </w:p>
        </w:tc>
      </w:tr>
      <w:tr w14:paraId="72267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49" w:type="dxa"/>
            <w:noWrap w:val="0"/>
            <w:vAlign w:val="center"/>
          </w:tcPr>
          <w:p w14:paraId="21A56BED">
            <w:pPr>
              <w:spacing w:line="240" w:lineRule="auto"/>
              <w:jc w:val="both"/>
              <w:rPr>
                <w:rFonts w:hint="default" w:ascii="Times New Roman" w:hAnsi="Times New Roman" w:cs="Times New Roman"/>
                <w:b w:val="0"/>
                <w:bCs/>
                <w:color w:val="auto"/>
                <w:sz w:val="21"/>
                <w:szCs w:val="21"/>
                <w:shd w:val="clear" w:color="auto" w:fill="FFFFFF"/>
                <w:lang w:val="en-US" w:eastAsia="zh-CN"/>
              </w:rPr>
            </w:pPr>
            <w:r>
              <w:rPr>
                <w:rFonts w:hint="default" w:ascii="Times New Roman" w:hAnsi="Times New Roman" w:cs="Times New Roman"/>
                <w:b w:val="0"/>
                <w:bCs/>
                <w:color w:val="auto"/>
                <w:sz w:val="21"/>
                <w:szCs w:val="21"/>
                <w:shd w:val="clear" w:color="auto" w:fill="FFFFFF"/>
                <w:lang w:val="en-US" w:eastAsia="zh-CN"/>
              </w:rPr>
              <w:t>Records retrieved</w:t>
            </w:r>
          </w:p>
        </w:tc>
        <w:tc>
          <w:tcPr>
            <w:tcW w:w="6773" w:type="dxa"/>
            <w:noWrap w:val="0"/>
            <w:vAlign w:val="top"/>
          </w:tcPr>
          <w:p w14:paraId="5C568312">
            <w:pPr>
              <w:pStyle w:val="2"/>
              <w:spacing w:line="240" w:lineRule="auto"/>
              <w:jc w:val="both"/>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336</w:t>
            </w:r>
          </w:p>
        </w:tc>
      </w:tr>
    </w:tbl>
    <w:p w14:paraId="3C94B665"/>
    <w:p w14:paraId="6CD67104">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outlineLvl w:val="9"/>
        <w:rPr>
          <w:rFonts w:hint="eastAsia" w:ascii="Times New Roman" w:hAnsi="Times New Roman" w:cs="Times New Roman"/>
          <w:b/>
          <w:bCs/>
          <w:i w:val="0"/>
          <w:iCs w:val="0"/>
          <w:caps w:val="0"/>
          <w:color w:val="202020"/>
          <w:spacing w:val="0"/>
          <w:kern w:val="0"/>
          <w:sz w:val="24"/>
          <w:szCs w:val="24"/>
          <w:shd w:val="clear" w:color="auto" w:fill="FFFFFF"/>
          <w:lang w:val="en-US" w:eastAsia="zh-CN" w:bidi="ar"/>
        </w:rPr>
      </w:pPr>
    </w:p>
    <w:p w14:paraId="587DB87D">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outlineLvl w:val="9"/>
        <w:rPr>
          <w:rFonts w:hint="default" w:ascii="Times New Roman" w:hAnsi="Times New Roman" w:eastAsia="HYSinMyeongJo-Medium" w:cs="Times New Roman"/>
          <w:b/>
          <w:bCs/>
          <w:sz w:val="24"/>
          <w:szCs w:val="24"/>
        </w:rPr>
      </w:pPr>
    </w:p>
    <w:p w14:paraId="1B1E7A8F">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outlineLvl w:val="9"/>
        <w:rPr>
          <w:rFonts w:hint="default" w:ascii="Times New Roman" w:hAnsi="Times New Roman" w:eastAsia="HYSinMyeongJo-Medium" w:cs="Times New Roman"/>
          <w:b/>
          <w:bCs/>
          <w:sz w:val="24"/>
          <w:szCs w:val="24"/>
        </w:rPr>
      </w:pPr>
    </w:p>
    <w:p w14:paraId="0C38C95E">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outlineLvl w:val="9"/>
        <w:rPr>
          <w:rFonts w:hint="default" w:ascii="Times New Roman" w:hAnsi="Times New Roman" w:eastAsia="HYSinMyeongJo-Medium" w:cs="Times New Roman"/>
          <w:b/>
          <w:bCs/>
          <w:sz w:val="24"/>
          <w:szCs w:val="24"/>
        </w:rPr>
      </w:pPr>
    </w:p>
    <w:p w14:paraId="0896C360">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outlineLvl w:val="9"/>
        <w:rPr>
          <w:rFonts w:hint="default" w:ascii="Times New Roman" w:hAnsi="Times New Roman" w:eastAsia="HYSinMyeongJo-Medium" w:cs="Times New Roman"/>
          <w:b/>
          <w:bCs/>
          <w:sz w:val="24"/>
          <w:szCs w:val="24"/>
        </w:rPr>
      </w:pPr>
    </w:p>
    <w:p w14:paraId="4216BA39">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outlineLvl w:val="9"/>
        <w:rPr>
          <w:rFonts w:hint="default" w:ascii="Times New Roman" w:hAnsi="Times New Roman" w:eastAsia="HYSinMyeongJo-Medium" w:cs="Times New Roman"/>
          <w:b/>
          <w:bCs/>
          <w:sz w:val="24"/>
          <w:szCs w:val="24"/>
        </w:rPr>
      </w:pPr>
    </w:p>
    <w:p w14:paraId="547D429B">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outlineLvl w:val="9"/>
        <w:rPr>
          <w:rFonts w:hint="default" w:ascii="Times New Roman" w:hAnsi="Times New Roman" w:eastAsia="HYSinMyeongJo-Medium" w:cs="Times New Roman"/>
          <w:b/>
          <w:bCs/>
          <w:sz w:val="24"/>
          <w:szCs w:val="24"/>
        </w:rPr>
      </w:pPr>
    </w:p>
    <w:p w14:paraId="28EF2DF1">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outlineLvl w:val="9"/>
        <w:rPr>
          <w:rFonts w:hint="default" w:ascii="Times New Roman" w:hAnsi="Times New Roman" w:eastAsia="HYSinMyeongJo-Medium" w:cs="Times New Roman"/>
          <w:b/>
          <w:bCs/>
          <w:sz w:val="24"/>
          <w:szCs w:val="24"/>
        </w:rPr>
      </w:pPr>
    </w:p>
    <w:p w14:paraId="2F044E2E">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outlineLvl w:val="9"/>
        <w:rPr>
          <w:rFonts w:hint="default" w:ascii="Times New Roman" w:hAnsi="Times New Roman" w:eastAsia="HYSinMyeongJo-Medium" w:cs="Times New Roman"/>
          <w:b/>
          <w:bCs/>
          <w:sz w:val="24"/>
          <w:szCs w:val="24"/>
        </w:rPr>
      </w:pPr>
    </w:p>
    <w:p w14:paraId="7D826F1A">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outlineLvl w:val="9"/>
        <w:rPr>
          <w:rFonts w:hint="default" w:ascii="Times New Roman" w:hAnsi="Times New Roman" w:eastAsia="HYSinMyeongJo-Medium" w:cs="Times New Roman"/>
          <w:b/>
          <w:bCs/>
          <w:sz w:val="24"/>
          <w:szCs w:val="24"/>
        </w:rPr>
      </w:pPr>
    </w:p>
    <w:p w14:paraId="34348848">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outlineLvl w:val="9"/>
        <w:rPr>
          <w:rFonts w:hint="default" w:ascii="Times New Roman" w:hAnsi="Times New Roman" w:eastAsia="HYSinMyeongJo-Medium" w:cs="Times New Roman"/>
          <w:b/>
          <w:bCs/>
          <w:sz w:val="24"/>
          <w:szCs w:val="24"/>
        </w:rPr>
      </w:pPr>
    </w:p>
    <w:p w14:paraId="49CEDAED">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outlineLvl w:val="9"/>
        <w:rPr>
          <w:rFonts w:hint="default" w:ascii="Times New Roman" w:hAnsi="Times New Roman" w:eastAsia="HYSinMyeongJo-Medium" w:cs="Times New Roman"/>
          <w:b/>
          <w:bCs/>
          <w:sz w:val="24"/>
          <w:szCs w:val="24"/>
        </w:rPr>
      </w:pPr>
    </w:p>
    <w:p w14:paraId="23A422DB">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outlineLvl w:val="9"/>
        <w:rPr>
          <w:rFonts w:hint="default" w:ascii="Times New Roman" w:hAnsi="Times New Roman" w:eastAsia="HYSinMyeongJo-Medium" w:cs="Times New Roman"/>
          <w:b/>
          <w:bCs/>
          <w:sz w:val="24"/>
          <w:szCs w:val="24"/>
        </w:rPr>
      </w:pPr>
    </w:p>
    <w:p w14:paraId="1CC9C1B0">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outlineLvl w:val="9"/>
        <w:rPr>
          <w:rFonts w:hint="default" w:ascii="Times New Roman" w:hAnsi="Times New Roman" w:eastAsia="HYSinMyeongJo-Medium" w:cs="Times New Roman"/>
          <w:b/>
          <w:bCs/>
          <w:sz w:val="24"/>
          <w:szCs w:val="24"/>
        </w:rPr>
      </w:pPr>
    </w:p>
    <w:p w14:paraId="3625F95D">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outlineLvl w:val="9"/>
        <w:rPr>
          <w:rFonts w:hint="default" w:ascii="Times New Roman" w:hAnsi="Times New Roman" w:eastAsia="HYSinMyeongJo-Medium" w:cs="Times New Roman"/>
          <w:b/>
          <w:bCs/>
          <w:sz w:val="24"/>
          <w:szCs w:val="24"/>
        </w:rPr>
      </w:pPr>
    </w:p>
    <w:p w14:paraId="2F996198">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outlineLvl w:val="9"/>
        <w:rPr>
          <w:rFonts w:hint="default" w:ascii="Times New Roman" w:hAnsi="Times New Roman" w:eastAsia="HYSinMyeongJo-Medium" w:cs="Times New Roman"/>
          <w:b/>
          <w:bCs/>
          <w:sz w:val="24"/>
          <w:szCs w:val="24"/>
        </w:rPr>
      </w:pPr>
    </w:p>
    <w:p w14:paraId="36EC9F6D">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outlineLvl w:val="9"/>
        <w:rPr>
          <w:rFonts w:hint="default" w:ascii="Times New Roman" w:hAnsi="Times New Roman" w:eastAsia="HYSinMyeongJo-Medium" w:cs="Times New Roman"/>
          <w:b/>
          <w:bCs/>
          <w:sz w:val="24"/>
          <w:szCs w:val="24"/>
        </w:rPr>
      </w:pPr>
    </w:p>
    <w:p w14:paraId="0DB3CAA7">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outlineLvl w:val="9"/>
        <w:rPr>
          <w:rFonts w:hint="default" w:ascii="Times New Roman" w:hAnsi="Times New Roman" w:eastAsia="HYSinMyeongJo-Medium" w:cs="Times New Roman"/>
          <w:b/>
          <w:bCs/>
          <w:sz w:val="24"/>
          <w:szCs w:val="24"/>
        </w:rPr>
      </w:pPr>
    </w:p>
    <w:p w14:paraId="612FEF1E">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outlineLvl w:val="9"/>
        <w:rPr>
          <w:rFonts w:hint="default" w:ascii="Times New Roman" w:hAnsi="Times New Roman" w:eastAsia="HYSinMyeongJo-Medium" w:cs="Times New Roman"/>
          <w:b/>
          <w:bCs/>
          <w:sz w:val="24"/>
          <w:szCs w:val="24"/>
        </w:rPr>
      </w:pPr>
    </w:p>
    <w:p w14:paraId="55B44684">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outlineLvl w:val="9"/>
        <w:rPr>
          <w:rFonts w:hint="default" w:ascii="Times New Roman" w:hAnsi="Times New Roman" w:cs="Times New Roman"/>
          <w:b w:val="0"/>
          <w:bCs w:val="0"/>
          <w:i w:val="0"/>
          <w:iCs w:val="0"/>
          <w:caps w:val="0"/>
          <w:color w:val="202020"/>
          <w:spacing w:val="0"/>
          <w:kern w:val="0"/>
          <w:sz w:val="24"/>
          <w:szCs w:val="24"/>
          <w:shd w:val="clear" w:color="auto" w:fill="FFFFFF"/>
          <w:lang w:val="en-US" w:eastAsia="zh-CN" w:bidi="ar"/>
        </w:rPr>
      </w:pPr>
      <w:r>
        <w:rPr>
          <w:rFonts w:hint="default" w:ascii="Times New Roman" w:hAnsi="Times New Roman" w:eastAsia="HYSinMyeongJo-Medium" w:cs="Times New Roman"/>
          <w:b/>
          <w:bCs/>
          <w:sz w:val="24"/>
          <w:szCs w:val="24"/>
        </w:rPr>
        <w:t xml:space="preserve">Table </w:t>
      </w:r>
      <w:r>
        <w:rPr>
          <w:rFonts w:hint="default" w:ascii="Times New Roman" w:hAnsi="Times New Roman" w:eastAsia="宋体" w:cs="Times New Roman"/>
          <w:b/>
          <w:bCs/>
          <w:sz w:val="24"/>
          <w:szCs w:val="24"/>
          <w:lang w:val="en-US" w:eastAsia="zh-CN"/>
        </w:rPr>
        <w:t>S</w:t>
      </w:r>
      <w:r>
        <w:rPr>
          <w:rFonts w:hint="default" w:ascii="Times New Roman" w:hAnsi="Times New Roman" w:eastAsia="HYSinMyeongJo-Medium" w:cs="Times New Roman"/>
          <w:b/>
          <w:bCs/>
          <w:sz w:val="24"/>
          <w:szCs w:val="24"/>
        </w:rPr>
        <w:t>3</w:t>
      </w:r>
      <w:r>
        <w:rPr>
          <w:rFonts w:hint="eastAsia" w:ascii="Times New Roman" w:hAnsi="Times New Roman" w:eastAsia="宋体" w:cs="Times New Roman"/>
          <w:b/>
          <w:bCs/>
          <w:sz w:val="24"/>
          <w:szCs w:val="24"/>
          <w:lang w:val="en-US" w:eastAsia="zh-CN"/>
        </w:rPr>
        <w:t>.</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HYSinMyeongJo-Medium" w:cs="Times New Roman"/>
          <w:sz w:val="24"/>
          <w:szCs w:val="24"/>
        </w:rPr>
        <w:t xml:space="preserve">Search strategy for </w:t>
      </w:r>
      <w:r>
        <w:rPr>
          <w:rFonts w:hint="default" w:ascii="Times New Roman" w:hAnsi="Times New Roman" w:cs="Times New Roman"/>
          <w:b w:val="0"/>
          <w:bCs w:val="0"/>
          <w:i w:val="0"/>
          <w:iCs w:val="0"/>
          <w:caps w:val="0"/>
          <w:color w:val="202020"/>
          <w:spacing w:val="0"/>
          <w:kern w:val="0"/>
          <w:sz w:val="24"/>
          <w:szCs w:val="24"/>
          <w:shd w:val="clear" w:color="auto" w:fill="FFFFFF"/>
          <w:lang w:val="en-US" w:eastAsia="zh-CN" w:bidi="ar"/>
        </w:rPr>
        <w:t>MEDLINE</w:t>
      </w:r>
      <w:r>
        <w:rPr>
          <w:rFonts w:hint="eastAsia" w:ascii="Times New Roman" w:hAnsi="Times New Roman" w:cs="Times New Roman"/>
          <w:b w:val="0"/>
          <w:bCs w:val="0"/>
          <w:i w:val="0"/>
          <w:iCs w:val="0"/>
          <w:caps w:val="0"/>
          <w:color w:val="202020"/>
          <w:spacing w:val="0"/>
          <w:kern w:val="0"/>
          <w:sz w:val="24"/>
          <w:szCs w:val="24"/>
          <w:shd w:val="clear" w:color="auto" w:fill="FFFFFF"/>
          <w:lang w:val="en-US" w:eastAsia="zh-CN" w:bidi="ar"/>
        </w:rPr>
        <w:t xml:space="preserve"> via Web of Science interface</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7"/>
        <w:gridCol w:w="6775"/>
      </w:tblGrid>
      <w:tr w14:paraId="42978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shd w:val="clear" w:color="auto" w:fill="auto"/>
            <w:vAlign w:val="top"/>
          </w:tcPr>
          <w:p w14:paraId="651589C3">
            <w:pPr>
              <w:pageBreakBefore w:val="0"/>
              <w:kinsoku/>
              <w:wordWrap/>
              <w:overflowPunct/>
              <w:topLinePunct w:val="0"/>
              <w:autoSpaceDE/>
              <w:autoSpaceDN/>
              <w:bidi w:val="0"/>
              <w:adjustRightInd/>
              <w:snapToGrid/>
              <w:spacing w:beforeAutospacing="0" w:afterAutospacing="0" w:line="240" w:lineRule="auto"/>
              <w:jc w:val="both"/>
              <w:outlineLvl w:val="9"/>
              <w:rPr>
                <w:rFonts w:hint="default" w:ascii="Times New Roman" w:hAnsi="Times New Roman" w:cs="Times New Roman" w:eastAsiaTheme="minorEastAsia"/>
                <w:b w:val="0"/>
                <w:bCs/>
                <w:color w:val="auto"/>
                <w:kern w:val="2"/>
                <w:sz w:val="21"/>
                <w:szCs w:val="21"/>
                <w:shd w:val="clear" w:color="auto" w:fill="FFFFFF"/>
                <w:lang w:val="en-US" w:eastAsia="zh-CN" w:bidi="ar-SA"/>
              </w:rPr>
            </w:pPr>
            <w:r>
              <w:rPr>
                <w:rFonts w:hint="default" w:ascii="Times New Roman" w:hAnsi="Times New Roman" w:cs="Times New Roman"/>
                <w:b w:val="0"/>
                <w:bCs/>
                <w:color w:val="auto"/>
                <w:sz w:val="21"/>
                <w:szCs w:val="21"/>
                <w:shd w:val="clear" w:color="auto" w:fill="FFFFFF"/>
                <w:lang w:val="en-US" w:eastAsia="zh-CN"/>
              </w:rPr>
              <w:t>Search number</w:t>
            </w:r>
          </w:p>
        </w:tc>
        <w:tc>
          <w:tcPr>
            <w:tcW w:w="6775" w:type="dxa"/>
            <w:shd w:val="clear" w:color="auto" w:fill="auto"/>
            <w:vAlign w:val="top"/>
          </w:tcPr>
          <w:p w14:paraId="19EDF0BA">
            <w:pPr>
              <w:pageBreakBefore w:val="0"/>
              <w:kinsoku/>
              <w:wordWrap/>
              <w:overflowPunct/>
              <w:topLinePunct w:val="0"/>
              <w:autoSpaceDE/>
              <w:autoSpaceDN/>
              <w:bidi w:val="0"/>
              <w:adjustRightInd/>
              <w:snapToGrid/>
              <w:spacing w:beforeAutospacing="0" w:afterAutospacing="0" w:line="240" w:lineRule="auto"/>
              <w:jc w:val="both"/>
              <w:outlineLvl w:val="9"/>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Segoe UI" w:cs="Times New Roman"/>
                <w:b w:val="0"/>
                <w:bCs w:val="0"/>
                <w:color w:val="auto"/>
                <w:sz w:val="21"/>
                <w:szCs w:val="21"/>
                <w:shd w:val="clear" w:color="auto" w:fill="FFFFFF"/>
                <w:lang w:val="en-US" w:eastAsia="zh-CN"/>
              </w:rPr>
              <w:t>Query</w:t>
            </w:r>
          </w:p>
        </w:tc>
      </w:tr>
      <w:tr w14:paraId="4BDBF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0C1169F2">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cs="Times New Roman"/>
                <w:b w:val="0"/>
                <w:bCs/>
                <w:color w:val="auto"/>
                <w:sz w:val="21"/>
                <w:szCs w:val="21"/>
                <w:shd w:val="clear" w:color="auto" w:fill="FFFFFF"/>
                <w:lang w:val="en-US" w:eastAsia="zh-CN"/>
              </w:rPr>
            </w:pPr>
            <w:r>
              <w:rPr>
                <w:rFonts w:hint="default" w:ascii="Times New Roman" w:hAnsi="Times New Roman" w:cs="Times New Roman"/>
                <w:color w:val="auto"/>
                <w:sz w:val="21"/>
                <w:szCs w:val="21"/>
              </w:rPr>
              <w:t>#1</w:t>
            </w:r>
          </w:p>
        </w:tc>
        <w:tc>
          <w:tcPr>
            <w:tcW w:w="6775" w:type="dxa"/>
            <w:vAlign w:val="top"/>
          </w:tcPr>
          <w:p w14:paraId="1FDFEC85">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eastAsia="Segoe UI" w:cs="Times New Roman"/>
                <w:b w:val="0"/>
                <w:bCs w:val="0"/>
                <w:color w:val="auto"/>
                <w:sz w:val="21"/>
                <w:szCs w:val="21"/>
                <w:shd w:val="clear" w:color="auto" w:fill="FFFFFF"/>
                <w:lang w:val="en-US" w:eastAsia="zh-CN"/>
              </w:rPr>
            </w:pPr>
            <w:r>
              <w:rPr>
                <w:rFonts w:hint="default" w:ascii="Times New Roman" w:hAnsi="Times New Roman" w:eastAsia="等线" w:cs="Times New Roman"/>
                <w:bCs w:val="0"/>
                <w:color w:val="auto"/>
                <w:sz w:val="21"/>
                <w:szCs w:val="21"/>
                <w:lang w:val="en-US" w:eastAsia="zh-CN" w:bidi="ar-SA"/>
              </w:rPr>
              <w:t>TS=(Aged OR "Aged, 80 and over" OR "middle aged" OR "older adult*" OR elderly OR geriatric* OR senior* OR "older person*" OR "older people" OR "older population*" OR "aging population*" OR "ageing population*" OR "older individual*" OR "older patient*" OR "older participant*" OR "middle age" OR "middle-age" OR "middle-aged")</w:t>
            </w:r>
          </w:p>
        </w:tc>
      </w:tr>
      <w:tr w14:paraId="186CC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0104284A">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cs="Times New Roman"/>
                <w:b w:val="0"/>
                <w:bCs/>
                <w:color w:val="auto"/>
                <w:sz w:val="21"/>
                <w:szCs w:val="21"/>
                <w:shd w:val="clear" w:color="auto" w:fill="FFFFFF"/>
                <w:lang w:val="en-US" w:eastAsia="zh-CN"/>
              </w:rPr>
            </w:pPr>
            <w:r>
              <w:rPr>
                <w:rFonts w:hint="default" w:ascii="Times New Roman" w:hAnsi="Times New Roman" w:cs="Times New Roman"/>
                <w:color w:val="auto"/>
                <w:sz w:val="21"/>
                <w:szCs w:val="21"/>
              </w:rPr>
              <w:t>#2</w:t>
            </w:r>
          </w:p>
        </w:tc>
        <w:tc>
          <w:tcPr>
            <w:tcW w:w="6775" w:type="dxa"/>
            <w:vAlign w:val="top"/>
          </w:tcPr>
          <w:p w14:paraId="193976DA">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eastAsia="Segoe UI" w:cs="Times New Roman"/>
                <w:b w:val="0"/>
                <w:bCs w:val="0"/>
                <w:color w:val="auto"/>
                <w:sz w:val="21"/>
                <w:szCs w:val="21"/>
                <w:shd w:val="clear" w:color="auto" w:fill="FFFFFF"/>
                <w:lang w:val="en-US" w:eastAsia="zh-CN"/>
              </w:rPr>
            </w:pPr>
            <w:r>
              <w:rPr>
                <w:rFonts w:hint="default" w:ascii="Times New Roman" w:hAnsi="Times New Roman" w:eastAsia="楷体" w:cs="Times New Roman"/>
                <w:b w:val="0"/>
                <w:bCs w:val="0"/>
                <w:color w:val="auto"/>
                <w:sz w:val="21"/>
                <w:szCs w:val="21"/>
                <w:lang w:val="en-US" w:eastAsia="zh-CN"/>
              </w:rPr>
              <w:t>TS=(meditation OR meditative OR meditat* OR mindfulness OR mindful* OR "guided meditation" OR "mindfulness meditation" OR MBSR OR MBCT OR "body scan*" OR "breath awareness" OR "breathing awareness" OR "breathing exercise*" OR breathwork OR "mindful walking" OR "mindfulness-based" OR "mindfulness training" OR relaxation OR "relaxation training" OR "relaxation therapy" OR "guided relaxation" OR "meditative relaxation" OR "compassion meditation" OR "loving-kindness" OR "nature-based mindfulness" OR "mind-body" OR "mind body" OR "mind-body exercise*" OR "mind body exercise*" OR yoga OR "tai chi" OR "tai-chi" OR taichi OR "tai ji" OR taiji OR qigong OR "qi gong" OR Baduanjin OR "Ba Duan Jin" OR "Eight-section Brocades" OR "guided imagery" OR "guided visualization" OR "guided visualisation" OR "biofeedback-assisted" OR "biofeedback assisted" OR "heart rate variability biofeedback" OR "HRV biofeedback")</w:t>
            </w:r>
          </w:p>
        </w:tc>
      </w:tr>
      <w:tr w14:paraId="05DCE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71F0AE1E">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cs="Times New Roman"/>
                <w:b w:val="0"/>
                <w:bCs/>
                <w:color w:val="auto"/>
                <w:sz w:val="21"/>
                <w:szCs w:val="21"/>
                <w:shd w:val="clear" w:color="auto" w:fill="FFFFFF"/>
                <w:lang w:val="en-US" w:eastAsia="zh-CN"/>
              </w:rPr>
            </w:pPr>
            <w:r>
              <w:rPr>
                <w:rFonts w:hint="default" w:ascii="Times New Roman" w:hAnsi="Times New Roman" w:cs="Times New Roman"/>
                <w:color w:val="auto"/>
                <w:sz w:val="21"/>
                <w:szCs w:val="21"/>
              </w:rPr>
              <w:t>#3</w:t>
            </w:r>
          </w:p>
        </w:tc>
        <w:tc>
          <w:tcPr>
            <w:tcW w:w="6775" w:type="dxa"/>
            <w:vAlign w:val="top"/>
          </w:tcPr>
          <w:p w14:paraId="27152106">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eastAsia="Segoe UI" w:cs="Times New Roman"/>
                <w:b w:val="0"/>
                <w:bCs w:val="0"/>
                <w:color w:val="auto"/>
                <w:sz w:val="21"/>
                <w:szCs w:val="21"/>
                <w:shd w:val="clear" w:color="auto" w:fill="FFFFFF"/>
                <w:lang w:val="en-US" w:eastAsia="zh-CN"/>
              </w:rPr>
            </w:pPr>
            <w:r>
              <w:rPr>
                <w:rFonts w:hint="default" w:ascii="Times New Roman" w:hAnsi="Times New Roman" w:eastAsia="等线" w:cs="Times New Roman"/>
                <w:bCs w:val="0"/>
                <w:color w:val="auto"/>
                <w:sz w:val="21"/>
                <w:szCs w:val="21"/>
              </w:rPr>
              <w:t>TS=("virtual reality" OR VR OR "immersive virtual reality" OR "immersive VR" OR "non-immersive virtual reality" OR "nonimmersive virtual reality" OR "virtual environment*" OR "head-mounted display*" OR "head mounted display*" OR HMD OR CAVE OR "360-degree video" OR "360° video" OR "360 video" OR "three-dimensional virtual environment*" OR "3D virtual environment*")</w:t>
            </w:r>
          </w:p>
        </w:tc>
      </w:tr>
      <w:tr w14:paraId="6F095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4638CE1A">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cs="Times New Roman" w:eastAsiaTheme="minorEastAsia"/>
                <w:b w:val="0"/>
                <w:bCs/>
                <w:color w:val="auto"/>
                <w:sz w:val="21"/>
                <w:szCs w:val="21"/>
                <w:shd w:val="clear" w:color="auto" w:fill="FFFFFF"/>
                <w:lang w:val="en-US" w:eastAsia="zh-CN"/>
              </w:rPr>
            </w:pPr>
            <w:r>
              <w:rPr>
                <w:rFonts w:hint="default" w:ascii="Times New Roman" w:hAnsi="Times New Roman" w:cs="Times New Roman"/>
                <w:color w:val="auto"/>
                <w:sz w:val="21"/>
                <w:szCs w:val="21"/>
              </w:rPr>
              <w:t>#</w:t>
            </w:r>
            <w:r>
              <w:rPr>
                <w:rFonts w:hint="eastAsia" w:ascii="Times New Roman" w:hAnsi="Times New Roman" w:cs="Times New Roman"/>
                <w:color w:val="auto"/>
                <w:sz w:val="21"/>
                <w:szCs w:val="21"/>
                <w:lang w:val="en-US" w:eastAsia="zh-CN"/>
              </w:rPr>
              <w:t>4</w:t>
            </w:r>
          </w:p>
        </w:tc>
        <w:tc>
          <w:tcPr>
            <w:tcW w:w="6775" w:type="dxa"/>
            <w:vAlign w:val="top"/>
          </w:tcPr>
          <w:p w14:paraId="388B4FED">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eastAsia="Segoe UI" w:cs="Times New Roman"/>
                <w:b w:val="0"/>
                <w:bCs w:val="0"/>
                <w:color w:val="auto"/>
                <w:sz w:val="21"/>
                <w:szCs w:val="21"/>
                <w:shd w:val="clear" w:color="auto" w:fill="FFFFFF"/>
                <w:lang w:val="en-US" w:eastAsia="zh-CN"/>
              </w:rPr>
            </w:pPr>
            <w:r>
              <w:rPr>
                <w:rFonts w:hint="eastAsia" w:ascii="Times New Roman" w:hAnsi="Times New Roman" w:eastAsia="等线" w:cs="Times New Roman"/>
                <w:bCs w:val="0"/>
                <w:color w:val="auto"/>
                <w:sz w:val="21"/>
                <w:szCs w:val="21"/>
                <w:lang w:val="en-US" w:eastAsia="zh-CN" w:bidi="ar-SA"/>
              </w:rPr>
              <w:t>#1 AND #2 AND #3</w:t>
            </w:r>
          </w:p>
        </w:tc>
      </w:tr>
      <w:tr w14:paraId="14E6D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24D591B5">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color w:val="auto"/>
                <w:sz w:val="21"/>
                <w:szCs w:val="21"/>
                <w:lang w:val="en-US" w:eastAsia="zh-CN"/>
              </w:rPr>
              <w:t>Records retrieved</w:t>
            </w:r>
          </w:p>
        </w:tc>
        <w:tc>
          <w:tcPr>
            <w:tcW w:w="6775" w:type="dxa"/>
            <w:vAlign w:val="top"/>
          </w:tcPr>
          <w:p w14:paraId="4EB99B81">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eastAsia="等线" w:cs="Times New Roman"/>
                <w:bCs w:val="0"/>
                <w:color w:val="auto"/>
                <w:sz w:val="21"/>
                <w:szCs w:val="21"/>
                <w:lang w:val="en-US" w:eastAsia="zh-CN" w:bidi="ar-SA"/>
              </w:rPr>
            </w:pPr>
            <w:r>
              <w:rPr>
                <w:rFonts w:hint="eastAsia" w:ascii="Times New Roman" w:hAnsi="Times New Roman" w:eastAsia="等线" w:cs="Times New Roman"/>
                <w:bCs w:val="0"/>
                <w:color w:val="auto"/>
                <w:sz w:val="21"/>
                <w:szCs w:val="21"/>
                <w:lang w:val="en-US" w:eastAsia="zh-CN" w:bidi="ar-SA"/>
              </w:rPr>
              <w:t>329</w:t>
            </w:r>
          </w:p>
        </w:tc>
      </w:tr>
    </w:tbl>
    <w:p w14:paraId="03872264">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outlineLvl w:val="9"/>
        <w:rPr>
          <w:rFonts w:hint="eastAsia" w:ascii="Times New Roman" w:hAnsi="Times New Roman" w:cs="Times New Roman"/>
          <w:b/>
          <w:bCs/>
          <w:i w:val="0"/>
          <w:iCs w:val="0"/>
          <w:caps w:val="0"/>
          <w:color w:val="202020"/>
          <w:spacing w:val="0"/>
          <w:kern w:val="0"/>
          <w:sz w:val="24"/>
          <w:szCs w:val="24"/>
          <w:shd w:val="clear" w:color="auto" w:fill="FFFFFF"/>
          <w:lang w:val="en-US" w:eastAsia="zh-CN" w:bidi="ar"/>
        </w:rPr>
      </w:pPr>
    </w:p>
    <w:p w14:paraId="6A1A7E32">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outlineLvl w:val="9"/>
        <w:rPr>
          <w:rFonts w:hint="default" w:ascii="Times New Roman" w:hAnsi="Times New Roman" w:eastAsia="HYSinMyeongJo-Medium" w:cs="Times New Roman"/>
          <w:b/>
          <w:bCs/>
          <w:sz w:val="24"/>
          <w:szCs w:val="24"/>
        </w:rPr>
      </w:pPr>
    </w:p>
    <w:p w14:paraId="20A7AA3D">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outlineLvl w:val="9"/>
        <w:rPr>
          <w:rFonts w:hint="default" w:ascii="Times New Roman" w:hAnsi="Times New Roman" w:eastAsia="HYSinMyeongJo-Medium" w:cs="Times New Roman"/>
          <w:b/>
          <w:bCs/>
          <w:sz w:val="24"/>
          <w:szCs w:val="24"/>
        </w:rPr>
      </w:pPr>
    </w:p>
    <w:p w14:paraId="1B58AD9F">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outlineLvl w:val="9"/>
        <w:rPr>
          <w:rFonts w:hint="default" w:ascii="Times New Roman" w:hAnsi="Times New Roman" w:eastAsia="HYSinMyeongJo-Medium" w:cs="Times New Roman"/>
          <w:b/>
          <w:bCs/>
          <w:sz w:val="24"/>
          <w:szCs w:val="24"/>
        </w:rPr>
      </w:pPr>
    </w:p>
    <w:p w14:paraId="0E657B7A">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outlineLvl w:val="9"/>
        <w:rPr>
          <w:rFonts w:hint="default" w:ascii="Times New Roman" w:hAnsi="Times New Roman" w:eastAsia="HYSinMyeongJo-Medium" w:cs="Times New Roman"/>
          <w:b/>
          <w:bCs/>
          <w:sz w:val="24"/>
          <w:szCs w:val="24"/>
        </w:rPr>
      </w:pPr>
    </w:p>
    <w:p w14:paraId="1405CF9C">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outlineLvl w:val="9"/>
        <w:rPr>
          <w:rFonts w:hint="default" w:ascii="Times New Roman" w:hAnsi="Times New Roman" w:eastAsia="HYSinMyeongJo-Medium" w:cs="Times New Roman"/>
          <w:b/>
          <w:bCs/>
          <w:sz w:val="24"/>
          <w:szCs w:val="24"/>
        </w:rPr>
      </w:pPr>
    </w:p>
    <w:p w14:paraId="68C0A4C9">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outlineLvl w:val="9"/>
        <w:rPr>
          <w:rFonts w:hint="default" w:ascii="Times New Roman" w:hAnsi="Times New Roman" w:eastAsia="HYSinMyeongJo-Medium" w:cs="Times New Roman"/>
          <w:b/>
          <w:bCs/>
          <w:sz w:val="24"/>
          <w:szCs w:val="24"/>
        </w:rPr>
      </w:pPr>
    </w:p>
    <w:p w14:paraId="7E188D8E">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outlineLvl w:val="9"/>
        <w:rPr>
          <w:rFonts w:hint="default" w:ascii="Times New Roman" w:hAnsi="Times New Roman" w:eastAsia="HYSinMyeongJo-Medium" w:cs="Times New Roman"/>
          <w:b/>
          <w:bCs/>
          <w:sz w:val="24"/>
          <w:szCs w:val="24"/>
        </w:rPr>
      </w:pPr>
    </w:p>
    <w:p w14:paraId="67899A86">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outlineLvl w:val="9"/>
        <w:rPr>
          <w:rFonts w:hint="default" w:ascii="Times New Roman" w:hAnsi="Times New Roman" w:eastAsia="HYSinMyeongJo-Medium" w:cs="Times New Roman"/>
          <w:b/>
          <w:bCs/>
          <w:sz w:val="24"/>
          <w:szCs w:val="24"/>
        </w:rPr>
      </w:pPr>
    </w:p>
    <w:p w14:paraId="05F51122">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outlineLvl w:val="9"/>
        <w:rPr>
          <w:rFonts w:hint="default" w:ascii="Times New Roman" w:hAnsi="Times New Roman" w:eastAsia="HYSinMyeongJo-Medium" w:cs="Times New Roman"/>
          <w:b/>
          <w:bCs/>
          <w:sz w:val="24"/>
          <w:szCs w:val="24"/>
        </w:rPr>
      </w:pPr>
    </w:p>
    <w:p w14:paraId="6DC15FB6">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outlineLvl w:val="9"/>
        <w:rPr>
          <w:rFonts w:hint="eastAsia" w:ascii="Times New Roman" w:hAnsi="Times New Roman" w:eastAsia="宋体" w:cs="Times New Roman"/>
          <w:b w:val="0"/>
          <w:bCs w:val="0"/>
          <w:i w:val="0"/>
          <w:iCs w:val="0"/>
          <w:caps w:val="0"/>
          <w:color w:val="202020"/>
          <w:spacing w:val="0"/>
          <w:kern w:val="0"/>
          <w:sz w:val="24"/>
          <w:szCs w:val="24"/>
          <w:shd w:val="clear" w:color="auto" w:fill="FFFFFF"/>
          <w:lang w:val="en-US" w:eastAsia="zh-CN" w:bidi="ar"/>
        </w:rPr>
      </w:pPr>
      <w:r>
        <w:rPr>
          <w:rFonts w:hint="default" w:ascii="Times New Roman" w:hAnsi="Times New Roman" w:eastAsia="HYSinMyeongJo-Medium" w:cs="Times New Roman"/>
          <w:b/>
          <w:bCs/>
          <w:sz w:val="24"/>
          <w:szCs w:val="24"/>
        </w:rPr>
        <w:t xml:space="preserve">Table </w:t>
      </w:r>
      <w:r>
        <w:rPr>
          <w:rFonts w:hint="default" w:ascii="Times New Roman" w:hAnsi="Times New Roman" w:eastAsia="宋体" w:cs="Times New Roman"/>
          <w:b/>
          <w:bCs/>
          <w:sz w:val="24"/>
          <w:szCs w:val="24"/>
          <w:lang w:val="en-US" w:eastAsia="zh-CN"/>
        </w:rPr>
        <w:t>S</w:t>
      </w:r>
      <w:r>
        <w:rPr>
          <w:rFonts w:hint="default" w:ascii="Times New Roman" w:hAnsi="Times New Roman" w:eastAsia="HYSinMyeongJo-Medium" w:cs="Times New Roman"/>
          <w:b/>
          <w:bCs/>
          <w:sz w:val="24"/>
          <w:szCs w:val="24"/>
        </w:rPr>
        <w:t>4</w:t>
      </w:r>
      <w:r>
        <w:rPr>
          <w:rFonts w:hint="eastAsia" w:ascii="Times New Roman" w:hAnsi="Times New Roman" w:eastAsia="宋体" w:cs="Times New Roman"/>
          <w:b/>
          <w:bCs/>
          <w:sz w:val="24"/>
          <w:szCs w:val="24"/>
          <w:lang w:val="en-US" w:eastAsia="zh-CN"/>
        </w:rPr>
        <w:t>.</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HYSinMyeongJo-Medium" w:cs="Times New Roman"/>
          <w:sz w:val="24"/>
          <w:szCs w:val="24"/>
        </w:rPr>
        <w:t>Search strategy for Embase</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7"/>
        <w:gridCol w:w="6775"/>
      </w:tblGrid>
      <w:tr w14:paraId="28BD3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shd w:val="clear" w:color="auto" w:fill="auto"/>
            <w:vAlign w:val="top"/>
          </w:tcPr>
          <w:p w14:paraId="167872FF">
            <w:pPr>
              <w:pageBreakBefore w:val="0"/>
              <w:kinsoku/>
              <w:wordWrap/>
              <w:overflowPunct/>
              <w:topLinePunct w:val="0"/>
              <w:autoSpaceDE/>
              <w:autoSpaceDN/>
              <w:bidi w:val="0"/>
              <w:adjustRightInd/>
              <w:snapToGrid/>
              <w:spacing w:beforeAutospacing="0" w:afterAutospacing="0" w:line="240" w:lineRule="auto"/>
              <w:jc w:val="both"/>
              <w:outlineLvl w:val="9"/>
              <w:rPr>
                <w:rFonts w:hint="default" w:ascii="Times New Roman" w:hAnsi="Times New Roman" w:cs="Times New Roman" w:eastAsiaTheme="minorEastAsia"/>
                <w:b w:val="0"/>
                <w:bCs/>
                <w:color w:val="auto"/>
                <w:kern w:val="2"/>
                <w:sz w:val="18"/>
                <w:szCs w:val="18"/>
                <w:shd w:val="clear" w:color="auto" w:fill="FFFFFF"/>
                <w:lang w:val="en-US" w:eastAsia="zh-CN" w:bidi="ar-SA"/>
              </w:rPr>
            </w:pPr>
            <w:r>
              <w:rPr>
                <w:rFonts w:hint="default" w:ascii="Times New Roman" w:hAnsi="Times New Roman" w:cs="Times New Roman"/>
                <w:b w:val="0"/>
                <w:bCs/>
                <w:color w:val="auto"/>
                <w:sz w:val="21"/>
                <w:szCs w:val="21"/>
                <w:shd w:val="clear" w:color="auto" w:fill="FFFFFF"/>
                <w:lang w:val="en-US" w:eastAsia="zh-CN"/>
              </w:rPr>
              <w:t>Search number</w:t>
            </w:r>
          </w:p>
        </w:tc>
        <w:tc>
          <w:tcPr>
            <w:tcW w:w="6775" w:type="dxa"/>
            <w:shd w:val="clear" w:color="auto" w:fill="auto"/>
            <w:vAlign w:val="top"/>
          </w:tcPr>
          <w:p w14:paraId="64FB76DC">
            <w:pPr>
              <w:pageBreakBefore w:val="0"/>
              <w:kinsoku/>
              <w:wordWrap/>
              <w:overflowPunct/>
              <w:topLinePunct w:val="0"/>
              <w:autoSpaceDE/>
              <w:autoSpaceDN/>
              <w:bidi w:val="0"/>
              <w:adjustRightInd/>
              <w:snapToGrid/>
              <w:spacing w:beforeAutospacing="0" w:afterAutospacing="0" w:line="240" w:lineRule="auto"/>
              <w:jc w:val="both"/>
              <w:outlineLvl w:val="9"/>
              <w:rPr>
                <w:rFonts w:hint="default" w:ascii="Times New Roman" w:hAnsi="Times New Roman" w:eastAsia="宋体" w:cs="Times New Roman"/>
                <w:color w:val="auto"/>
                <w:kern w:val="2"/>
                <w:sz w:val="18"/>
                <w:szCs w:val="18"/>
                <w:lang w:val="en-US" w:eastAsia="zh-CN" w:bidi="ar-SA"/>
              </w:rPr>
            </w:pPr>
            <w:r>
              <w:rPr>
                <w:rFonts w:hint="default" w:ascii="Times New Roman" w:hAnsi="Times New Roman" w:eastAsia="Segoe UI" w:cs="Times New Roman"/>
                <w:b w:val="0"/>
                <w:bCs w:val="0"/>
                <w:color w:val="auto"/>
                <w:sz w:val="21"/>
                <w:szCs w:val="21"/>
                <w:shd w:val="clear" w:color="auto" w:fill="FFFFFF"/>
                <w:lang w:val="en-US" w:eastAsia="zh-CN"/>
              </w:rPr>
              <w:t>Query</w:t>
            </w:r>
          </w:p>
        </w:tc>
      </w:tr>
      <w:tr w14:paraId="3FC3F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31A3B8E2">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cs="Times New Roman"/>
                <w:b w:val="0"/>
                <w:bCs/>
                <w:color w:val="auto"/>
                <w:sz w:val="21"/>
                <w:szCs w:val="21"/>
                <w:shd w:val="clear" w:color="auto" w:fill="FFFFFF"/>
                <w:lang w:val="en-US" w:eastAsia="zh-CN"/>
              </w:rPr>
            </w:pPr>
            <w:r>
              <w:rPr>
                <w:rFonts w:hint="default" w:ascii="Times New Roman" w:hAnsi="Times New Roman" w:cs="Times New Roman"/>
                <w:color w:val="auto"/>
                <w:sz w:val="21"/>
                <w:szCs w:val="21"/>
              </w:rPr>
              <w:t>#1</w:t>
            </w:r>
          </w:p>
        </w:tc>
        <w:tc>
          <w:tcPr>
            <w:tcW w:w="6775" w:type="dxa"/>
            <w:vAlign w:val="top"/>
          </w:tcPr>
          <w:p w14:paraId="43C2EE43">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eastAsia="Segoe UI" w:cs="Times New Roman"/>
                <w:b w:val="0"/>
                <w:bCs w:val="0"/>
                <w:color w:val="auto"/>
                <w:sz w:val="21"/>
                <w:szCs w:val="21"/>
                <w:shd w:val="clear" w:color="auto" w:fill="FFFFFF"/>
                <w:lang w:val="en-US" w:eastAsia="zh-CN"/>
              </w:rPr>
            </w:pPr>
            <w:r>
              <w:rPr>
                <w:rFonts w:hint="default" w:ascii="Times New Roman" w:hAnsi="Times New Roman" w:eastAsia="等线" w:cs="Times New Roman"/>
                <w:color w:val="auto"/>
                <w:szCs w:val="21"/>
              </w:rPr>
              <w:t>'aged'/exp OR 'middle aged'/exp</w:t>
            </w:r>
          </w:p>
        </w:tc>
      </w:tr>
      <w:tr w14:paraId="7AA73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7894BF9F">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cs="Times New Roman"/>
                <w:b w:val="0"/>
                <w:bCs/>
                <w:color w:val="auto"/>
                <w:sz w:val="21"/>
                <w:szCs w:val="21"/>
                <w:shd w:val="clear" w:color="auto" w:fill="FFFFFF"/>
                <w:lang w:val="en-US" w:eastAsia="zh-CN"/>
              </w:rPr>
            </w:pPr>
            <w:r>
              <w:rPr>
                <w:rFonts w:hint="default" w:ascii="Times New Roman" w:hAnsi="Times New Roman" w:cs="Times New Roman"/>
                <w:color w:val="auto"/>
                <w:sz w:val="21"/>
                <w:szCs w:val="21"/>
              </w:rPr>
              <w:t>#2</w:t>
            </w:r>
          </w:p>
        </w:tc>
        <w:tc>
          <w:tcPr>
            <w:tcW w:w="6775" w:type="dxa"/>
            <w:vAlign w:val="top"/>
          </w:tcPr>
          <w:p w14:paraId="688FBB71">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eastAsia="Segoe UI" w:cs="Times New Roman"/>
                <w:b w:val="0"/>
                <w:bCs w:val="0"/>
                <w:color w:val="auto"/>
                <w:sz w:val="21"/>
                <w:szCs w:val="21"/>
                <w:shd w:val="clear" w:color="auto" w:fill="FFFFFF"/>
                <w:lang w:val="en-US" w:eastAsia="zh-CN"/>
              </w:rPr>
            </w:pPr>
            <w:r>
              <w:rPr>
                <w:rFonts w:hint="default" w:ascii="Times New Roman" w:hAnsi="Times New Roman" w:eastAsia="楷体" w:cs="Times New Roman"/>
                <w:color w:val="auto"/>
                <w:szCs w:val="21"/>
              </w:rPr>
              <w:t>'aged, 80':ab,ti AND over:ab,ti OR 'older adult*':ab,ti OR elderly:ab,ti OR geriatric*:ab,ti OR senior*:ab,ti OR 'older person*':ab,ti OR 'older people':ab,ti OR 'older population*':ab,ti OR 'aging population*':ab,ti OR 'ageing population*':ab,ti OR 'older individual*':ab,ti OR 'older patient*':ab,ti OR 'older participant*':ab,ti OR 'middle age':ab,ti OR 'middle-age':ab,ti OR 'middle-aged':ab,ti</w:t>
            </w:r>
          </w:p>
        </w:tc>
      </w:tr>
      <w:tr w14:paraId="686D6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6CA338CD">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cs="Times New Roman"/>
                <w:b w:val="0"/>
                <w:bCs/>
                <w:color w:val="auto"/>
                <w:sz w:val="21"/>
                <w:szCs w:val="21"/>
                <w:shd w:val="clear" w:color="auto" w:fill="FFFFFF"/>
                <w:lang w:val="en-US" w:eastAsia="zh-CN"/>
              </w:rPr>
            </w:pPr>
            <w:r>
              <w:rPr>
                <w:rFonts w:hint="default" w:ascii="Times New Roman" w:hAnsi="Times New Roman" w:cs="Times New Roman"/>
                <w:color w:val="auto"/>
                <w:sz w:val="21"/>
                <w:szCs w:val="21"/>
              </w:rPr>
              <w:t>#3</w:t>
            </w:r>
          </w:p>
        </w:tc>
        <w:tc>
          <w:tcPr>
            <w:tcW w:w="6775" w:type="dxa"/>
            <w:vAlign w:val="top"/>
          </w:tcPr>
          <w:p w14:paraId="512E306F">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eastAsia="Segoe UI" w:cs="Times New Roman"/>
                <w:b w:val="0"/>
                <w:bCs w:val="0"/>
                <w:color w:val="auto"/>
                <w:sz w:val="21"/>
                <w:szCs w:val="21"/>
                <w:shd w:val="clear" w:color="auto" w:fill="FFFFFF"/>
                <w:lang w:val="en-US" w:eastAsia="zh-CN"/>
              </w:rPr>
            </w:pPr>
            <w:r>
              <w:rPr>
                <w:rFonts w:hint="default" w:ascii="Times New Roman" w:hAnsi="Times New Roman" w:eastAsia="等线" w:cs="Times New Roman"/>
                <w:bCs w:val="0"/>
                <w:color w:val="auto"/>
                <w:sz w:val="21"/>
                <w:szCs w:val="21"/>
              </w:rPr>
              <w:t>#1 OR #2</w:t>
            </w:r>
          </w:p>
        </w:tc>
      </w:tr>
      <w:tr w14:paraId="0B067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3201CD22">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cs="Times New Roman" w:eastAsiaTheme="minorEastAsia"/>
                <w:b w:val="0"/>
                <w:bCs/>
                <w:color w:val="auto"/>
                <w:sz w:val="21"/>
                <w:szCs w:val="21"/>
                <w:shd w:val="clear" w:color="auto" w:fill="FFFFFF"/>
                <w:lang w:val="en-US" w:eastAsia="zh-CN"/>
              </w:rPr>
            </w:pPr>
            <w:r>
              <w:rPr>
                <w:rFonts w:hint="default" w:ascii="Times New Roman" w:hAnsi="Times New Roman" w:cs="Times New Roman"/>
                <w:color w:val="auto"/>
                <w:sz w:val="21"/>
                <w:szCs w:val="21"/>
              </w:rPr>
              <w:t>#</w:t>
            </w:r>
            <w:r>
              <w:rPr>
                <w:rFonts w:hint="eastAsia" w:ascii="Times New Roman" w:hAnsi="Times New Roman" w:cs="Times New Roman"/>
                <w:color w:val="auto"/>
                <w:sz w:val="21"/>
                <w:szCs w:val="21"/>
                <w:lang w:val="en-US" w:eastAsia="zh-CN"/>
              </w:rPr>
              <w:t>4</w:t>
            </w:r>
          </w:p>
        </w:tc>
        <w:tc>
          <w:tcPr>
            <w:tcW w:w="6775" w:type="dxa"/>
            <w:vAlign w:val="top"/>
          </w:tcPr>
          <w:p w14:paraId="34E779E4">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eastAsia="Segoe UI" w:cs="Times New Roman"/>
                <w:b w:val="0"/>
                <w:bCs w:val="0"/>
                <w:color w:val="auto"/>
                <w:sz w:val="21"/>
                <w:szCs w:val="21"/>
                <w:shd w:val="clear" w:color="auto" w:fill="FFFFFF"/>
                <w:lang w:val="en-US" w:eastAsia="zh-CN"/>
              </w:rPr>
            </w:pPr>
            <w:r>
              <w:rPr>
                <w:rFonts w:hint="eastAsia" w:ascii="Times New Roman" w:hAnsi="Times New Roman" w:eastAsia="等线" w:cs="Times New Roman"/>
                <w:color w:val="auto"/>
                <w:szCs w:val="21"/>
              </w:rPr>
              <w:t>'mindfulness'/exp OR 'meditation'/exp OR 'yoga'/exp OR 'tai chi'/exp OR 'biofeedback'/exp</w:t>
            </w:r>
          </w:p>
        </w:tc>
      </w:tr>
      <w:tr w14:paraId="4A95F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2D1963E4">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color w:val="auto"/>
                <w:sz w:val="21"/>
                <w:szCs w:val="21"/>
                <w:lang w:val="en-US" w:eastAsia="zh-CN"/>
              </w:rPr>
              <w:t>#5</w:t>
            </w:r>
          </w:p>
        </w:tc>
        <w:tc>
          <w:tcPr>
            <w:tcW w:w="6775" w:type="dxa"/>
            <w:vAlign w:val="top"/>
          </w:tcPr>
          <w:p w14:paraId="7F53219C">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eastAsia="等线" w:cs="Times New Roman"/>
                <w:bCs w:val="0"/>
                <w:color w:val="auto"/>
                <w:sz w:val="21"/>
                <w:szCs w:val="21"/>
                <w:lang w:val="en-US" w:eastAsia="zh-CN" w:bidi="ar-SA"/>
              </w:rPr>
            </w:pPr>
            <w:r>
              <w:rPr>
                <w:rFonts w:hint="eastAsia" w:ascii="Times New Roman" w:hAnsi="Times New Roman" w:eastAsia="宋体" w:cs="Times New Roman"/>
                <w:color w:val="auto"/>
                <w:szCs w:val="21"/>
              </w:rPr>
              <w:t>meditation:ab,ti OR meditative:ab,ti OR meditat*:ab,ti OR mindfulness:ab,ti OR mindful*:ab,ti OR 'guided meditation':ab,ti OR 'mindfulness meditation':ab,ti OR mbsr:ab,ti OR mbct:ab,ti OR 'body scan*':ab,ti OR 'breath awareness':ab,ti OR 'breathing awareness':ab,ti OR 'breathing exercise*':ab,ti OR breathwork:ab,ti OR 'mindful walking':ab,ti OR 'mindfulness-based':ab,ti OR 'mindfulness training':ab,ti OR relaxation:ab,ti OR 'relaxation training':ab,ti OR 'relaxation therapy':ab,ti OR 'guided relaxation':ab,ti OR 'meditative relaxation':ab,ti OR 'compassion meditation':ab,ti OR 'loving-kindness':ab,ti OR 'nature-based mindfulness':ab,ti OR 'mind-body':ab,ti OR 'mind body':ab,ti OR 'mind-body exercise*':ab,ti OR 'mind body exercise*':ab,ti OR yoga:ab,ti OR 'tai chi':ab,ti OR 'tai-chi':ab,ti OR taichi:ab,ti OR 'tai ji':ab,ti OR taiji:ab,ti OR qigong:ab,ti OR 'qi gong':ab,ti OR baduanjin:ab,ti OR 'ba duan jin':ab,ti OR 'eight-section brocades':ab,ti OR 'guided imagery':ab,ti OR 'guided visualization':ab,ti OR 'guided visualisation':ab,ti OR 'biofeedback-assisted':ab,ti OR 'biofeedback assisted':ab,ti OR 'heart rate variability biofeedback':ab,ti OR 'hrv biofeedback':ab,ti</w:t>
            </w:r>
          </w:p>
        </w:tc>
      </w:tr>
      <w:tr w14:paraId="15B73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21C70AB6">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#6</w:t>
            </w:r>
          </w:p>
        </w:tc>
        <w:tc>
          <w:tcPr>
            <w:tcW w:w="6775" w:type="dxa"/>
            <w:vAlign w:val="top"/>
          </w:tcPr>
          <w:p w14:paraId="63E42D20">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#4 OR #5</w:t>
            </w:r>
          </w:p>
        </w:tc>
      </w:tr>
      <w:tr w14:paraId="57343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039FC56B">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#7</w:t>
            </w:r>
          </w:p>
        </w:tc>
        <w:tc>
          <w:tcPr>
            <w:tcW w:w="6775" w:type="dxa"/>
            <w:vAlign w:val="top"/>
          </w:tcPr>
          <w:p w14:paraId="19BE4225">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'virtual reality'/exp</w:t>
            </w:r>
          </w:p>
        </w:tc>
      </w:tr>
      <w:tr w14:paraId="417DF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0CA6463F">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#8</w:t>
            </w:r>
          </w:p>
        </w:tc>
        <w:tc>
          <w:tcPr>
            <w:tcW w:w="6775" w:type="dxa"/>
            <w:vAlign w:val="top"/>
          </w:tcPr>
          <w:p w14:paraId="2A9183F3">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'virtual reality':ab,ti OR vr:ab,ti OR 'immersive virtual reality':ab,ti OR 'immersive vr':ab,ti OR 'non-immersive virtual reality':ab,ti OR 'nonimmersive virtual reality':ab,ti OR 'virtual environment*':ab,ti OR 'head-mounted display*':ab,ti OR 'head mounted display*':ab,ti OR hmd:ab,ti OR cave:ab,ti OR '360-degree video':ab,ti OR '360° video':ab,ti OR '360 video':ab,ti OR 'three-dimensional virtual environment*':ab,ti OR '3d virtual environment*':ab,ti</w:t>
            </w:r>
          </w:p>
        </w:tc>
      </w:tr>
      <w:tr w14:paraId="67DEE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58D9B769">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#9</w:t>
            </w:r>
          </w:p>
        </w:tc>
        <w:tc>
          <w:tcPr>
            <w:tcW w:w="6775" w:type="dxa"/>
            <w:vAlign w:val="top"/>
          </w:tcPr>
          <w:p w14:paraId="094EFF9A">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#7 OR #8</w:t>
            </w:r>
          </w:p>
        </w:tc>
      </w:tr>
      <w:tr w14:paraId="21F74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11F88C37">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#10</w:t>
            </w:r>
          </w:p>
        </w:tc>
        <w:tc>
          <w:tcPr>
            <w:tcW w:w="6775" w:type="dxa"/>
            <w:vAlign w:val="top"/>
          </w:tcPr>
          <w:p w14:paraId="62836F30">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 AND #6 AND #9</w:t>
            </w:r>
          </w:p>
        </w:tc>
      </w:tr>
      <w:tr w14:paraId="362D6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4E9DC172">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Records retrieved</w:t>
            </w:r>
          </w:p>
        </w:tc>
        <w:tc>
          <w:tcPr>
            <w:tcW w:w="6775" w:type="dxa"/>
            <w:vAlign w:val="top"/>
          </w:tcPr>
          <w:p w14:paraId="6F846948">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648</w:t>
            </w:r>
          </w:p>
        </w:tc>
      </w:tr>
    </w:tbl>
    <w:p w14:paraId="1D967C1D"/>
    <w:p w14:paraId="52B7F708"/>
    <w:p w14:paraId="14887407">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Times New Roman" w:hAnsi="Times New Roman" w:cs="Times New Roman"/>
          <w:b w:val="0"/>
          <w:bCs w:val="0"/>
          <w:i w:val="0"/>
          <w:iCs w:val="0"/>
          <w:caps w:val="0"/>
          <w:color w:val="auto"/>
          <w:spacing w:val="0"/>
          <w:kern w:val="0"/>
          <w:sz w:val="24"/>
          <w:szCs w:val="24"/>
          <w:highlight w:val="none"/>
          <w:shd w:val="clear" w:color="auto" w:fill="FFFFFF"/>
          <w:lang w:val="en-US" w:eastAsia="zh-CN" w:bidi="ar"/>
        </w:rPr>
      </w:pPr>
      <w:r>
        <w:rPr>
          <w:rFonts w:hint="default" w:ascii="Times New Roman" w:hAnsi="Times New Roman" w:eastAsia="HYSinMyeongJo-Medium" w:cs="Times New Roman"/>
          <w:b/>
          <w:bCs/>
          <w:sz w:val="24"/>
          <w:szCs w:val="24"/>
        </w:rPr>
        <w:t xml:space="preserve">Table </w:t>
      </w:r>
      <w:r>
        <w:rPr>
          <w:rFonts w:hint="default" w:ascii="Times New Roman" w:hAnsi="Times New Roman" w:eastAsia="宋体" w:cs="Times New Roman"/>
          <w:b/>
          <w:bCs/>
          <w:sz w:val="24"/>
          <w:szCs w:val="24"/>
          <w:lang w:val="en-US" w:eastAsia="zh-CN"/>
        </w:rPr>
        <w:t>S</w:t>
      </w:r>
      <w:r>
        <w:rPr>
          <w:rFonts w:hint="default" w:ascii="Times New Roman" w:hAnsi="Times New Roman" w:eastAsia="HYSinMyeongJo-Medium" w:cs="Times New Roman"/>
          <w:b/>
          <w:bCs/>
          <w:sz w:val="24"/>
          <w:szCs w:val="24"/>
        </w:rPr>
        <w:t>5</w:t>
      </w:r>
      <w:r>
        <w:rPr>
          <w:rFonts w:hint="eastAsia" w:ascii="Times New Roman" w:hAnsi="Times New Roman" w:eastAsia="宋体" w:cs="Times New Roman"/>
          <w:b/>
          <w:bCs/>
          <w:sz w:val="24"/>
          <w:szCs w:val="24"/>
          <w:lang w:val="en-US" w:eastAsia="zh-CN"/>
        </w:rPr>
        <w:t>.</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HYSinMyeongJo-Medium" w:cs="Times New Roman"/>
          <w:sz w:val="24"/>
          <w:szCs w:val="24"/>
        </w:rPr>
        <w:t xml:space="preserve">Search strategy for </w:t>
      </w:r>
      <w:r>
        <w:rPr>
          <w:rFonts w:hint="default" w:ascii="Times New Roman" w:hAnsi="Times New Roman" w:cs="Times New Roman"/>
          <w:b w:val="0"/>
          <w:bCs w:val="0"/>
          <w:i w:val="0"/>
          <w:iCs w:val="0"/>
          <w:caps w:val="0"/>
          <w:color w:val="auto"/>
          <w:spacing w:val="0"/>
          <w:kern w:val="0"/>
          <w:sz w:val="24"/>
          <w:szCs w:val="24"/>
          <w:highlight w:val="none"/>
          <w:shd w:val="clear" w:color="auto" w:fill="FFFFFF"/>
          <w:lang w:val="en-US" w:eastAsia="zh-CN" w:bidi="ar"/>
        </w:rPr>
        <w:t>Web of Science</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7"/>
        <w:gridCol w:w="6775"/>
      </w:tblGrid>
      <w:tr w14:paraId="480B9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shd w:val="clear" w:color="auto" w:fill="auto"/>
            <w:vAlign w:val="top"/>
          </w:tcPr>
          <w:p w14:paraId="69483F80">
            <w:pPr>
              <w:pageBreakBefore w:val="0"/>
              <w:kinsoku/>
              <w:wordWrap/>
              <w:overflowPunct/>
              <w:topLinePunct w:val="0"/>
              <w:autoSpaceDE/>
              <w:autoSpaceDN/>
              <w:bidi w:val="0"/>
              <w:adjustRightInd/>
              <w:snapToGrid/>
              <w:spacing w:beforeAutospacing="0" w:afterAutospacing="0" w:line="240" w:lineRule="auto"/>
              <w:jc w:val="both"/>
              <w:outlineLvl w:val="9"/>
              <w:rPr>
                <w:rFonts w:hint="default" w:ascii="Times New Roman" w:hAnsi="Times New Roman" w:cs="Times New Roman" w:eastAsiaTheme="minorEastAsia"/>
                <w:b w:val="0"/>
                <w:bCs/>
                <w:color w:val="auto"/>
                <w:kern w:val="2"/>
                <w:sz w:val="21"/>
                <w:szCs w:val="21"/>
                <w:shd w:val="clear" w:color="auto" w:fill="FFFFFF"/>
                <w:lang w:val="en-US" w:eastAsia="zh-CN" w:bidi="ar-SA"/>
              </w:rPr>
            </w:pPr>
            <w:r>
              <w:rPr>
                <w:rFonts w:hint="default" w:ascii="Times New Roman" w:hAnsi="Times New Roman" w:cs="Times New Roman"/>
                <w:b w:val="0"/>
                <w:bCs/>
                <w:color w:val="auto"/>
                <w:sz w:val="21"/>
                <w:szCs w:val="21"/>
                <w:shd w:val="clear" w:color="auto" w:fill="FFFFFF"/>
                <w:lang w:val="en-US" w:eastAsia="zh-CN"/>
              </w:rPr>
              <w:t>Search number</w:t>
            </w:r>
          </w:p>
        </w:tc>
        <w:tc>
          <w:tcPr>
            <w:tcW w:w="6775" w:type="dxa"/>
            <w:shd w:val="clear" w:color="auto" w:fill="auto"/>
            <w:vAlign w:val="top"/>
          </w:tcPr>
          <w:p w14:paraId="6E417BEA">
            <w:pPr>
              <w:pageBreakBefore w:val="0"/>
              <w:kinsoku/>
              <w:wordWrap/>
              <w:overflowPunct/>
              <w:topLinePunct w:val="0"/>
              <w:autoSpaceDE/>
              <w:autoSpaceDN/>
              <w:bidi w:val="0"/>
              <w:adjustRightInd/>
              <w:snapToGrid/>
              <w:spacing w:beforeAutospacing="0" w:afterAutospacing="0" w:line="240" w:lineRule="auto"/>
              <w:jc w:val="both"/>
              <w:outlineLvl w:val="9"/>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Segoe UI" w:cs="Times New Roman"/>
                <w:b w:val="0"/>
                <w:bCs w:val="0"/>
                <w:color w:val="auto"/>
                <w:sz w:val="21"/>
                <w:szCs w:val="21"/>
                <w:shd w:val="clear" w:color="auto" w:fill="FFFFFF"/>
                <w:lang w:val="en-US" w:eastAsia="zh-CN"/>
              </w:rPr>
              <w:t>Query</w:t>
            </w:r>
          </w:p>
        </w:tc>
      </w:tr>
      <w:tr w14:paraId="02C57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7F1D3BFE">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cs="Times New Roman"/>
                <w:b w:val="0"/>
                <w:bCs/>
                <w:color w:val="auto"/>
                <w:sz w:val="21"/>
                <w:szCs w:val="21"/>
                <w:shd w:val="clear" w:color="auto" w:fill="FFFFFF"/>
                <w:lang w:val="en-US" w:eastAsia="zh-CN"/>
              </w:rPr>
            </w:pPr>
            <w:r>
              <w:rPr>
                <w:rFonts w:hint="default" w:ascii="Times New Roman" w:hAnsi="Times New Roman" w:cs="Times New Roman"/>
                <w:color w:val="auto"/>
                <w:sz w:val="21"/>
                <w:szCs w:val="21"/>
              </w:rPr>
              <w:t>#1</w:t>
            </w:r>
          </w:p>
        </w:tc>
        <w:tc>
          <w:tcPr>
            <w:tcW w:w="6775" w:type="dxa"/>
            <w:vAlign w:val="top"/>
          </w:tcPr>
          <w:p w14:paraId="2DF106D1">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eastAsia="Segoe UI" w:cs="Times New Roman"/>
                <w:b w:val="0"/>
                <w:bCs w:val="0"/>
                <w:color w:val="auto"/>
                <w:sz w:val="21"/>
                <w:szCs w:val="21"/>
                <w:shd w:val="clear" w:color="auto" w:fill="FFFFFF"/>
                <w:lang w:val="en-US" w:eastAsia="zh-CN"/>
              </w:rPr>
            </w:pPr>
            <w:r>
              <w:rPr>
                <w:rFonts w:hint="default" w:ascii="Times New Roman" w:hAnsi="Times New Roman" w:eastAsia="等线" w:cs="Times New Roman"/>
                <w:bCs w:val="0"/>
                <w:color w:val="auto"/>
                <w:sz w:val="21"/>
                <w:szCs w:val="21"/>
                <w:lang w:val="en-US" w:eastAsia="zh-CN" w:bidi="ar-SA"/>
              </w:rPr>
              <w:t>TS=(</w:t>
            </w:r>
            <w:r>
              <w:rPr>
                <w:rFonts w:hint="default" w:ascii="Times New Roman" w:hAnsi="Times New Roman" w:eastAsia="等线" w:cs="Times New Roman"/>
                <w:color w:val="auto"/>
                <w:sz w:val="21"/>
                <w:szCs w:val="21"/>
              </w:rPr>
              <w:t>Aged OR "Aged, 80 and over" OR "middle aged" OR "older adult*" OR elderly OR geriatric* OR senior* OR "older person*" OR "older people" OR "older population*" OR "aging population*" OR "ageing population*" OR "older individual*" OR "older patient*" OR "older participant*" OR "middle age" OR "middle-age" OR "middle-aged"</w:t>
            </w:r>
            <w:r>
              <w:rPr>
                <w:rFonts w:hint="default" w:ascii="Times New Roman" w:hAnsi="Times New Roman" w:eastAsia="等线" w:cs="Times New Roman"/>
                <w:bCs w:val="0"/>
                <w:color w:val="auto"/>
                <w:sz w:val="21"/>
                <w:szCs w:val="21"/>
                <w:lang w:val="en-US" w:eastAsia="zh-CN" w:bidi="ar-SA"/>
              </w:rPr>
              <w:t>)</w:t>
            </w:r>
          </w:p>
        </w:tc>
      </w:tr>
      <w:tr w14:paraId="0ED9C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207D139E">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cs="Times New Roman"/>
                <w:b w:val="0"/>
                <w:bCs/>
                <w:color w:val="auto"/>
                <w:sz w:val="21"/>
                <w:szCs w:val="21"/>
                <w:shd w:val="clear" w:color="auto" w:fill="FFFFFF"/>
                <w:lang w:val="en-US" w:eastAsia="zh-CN"/>
              </w:rPr>
            </w:pPr>
            <w:r>
              <w:rPr>
                <w:rFonts w:hint="default" w:ascii="Times New Roman" w:hAnsi="Times New Roman" w:cs="Times New Roman"/>
                <w:color w:val="auto"/>
                <w:sz w:val="21"/>
                <w:szCs w:val="21"/>
              </w:rPr>
              <w:t>#2</w:t>
            </w:r>
          </w:p>
        </w:tc>
        <w:tc>
          <w:tcPr>
            <w:tcW w:w="6775" w:type="dxa"/>
            <w:vAlign w:val="top"/>
          </w:tcPr>
          <w:p w14:paraId="3B9A45BE">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eastAsia="Segoe UI" w:cs="Times New Roman"/>
                <w:b w:val="0"/>
                <w:bCs w:val="0"/>
                <w:color w:val="auto"/>
                <w:sz w:val="21"/>
                <w:szCs w:val="21"/>
                <w:shd w:val="clear" w:color="auto" w:fill="FFFFFF"/>
                <w:lang w:val="en-US" w:eastAsia="zh-CN"/>
              </w:rPr>
            </w:pPr>
            <w:r>
              <w:rPr>
                <w:rFonts w:hint="default" w:ascii="Times New Roman" w:hAnsi="Times New Roman" w:eastAsia="楷体" w:cs="Times New Roman"/>
                <w:b w:val="0"/>
                <w:bCs w:val="0"/>
                <w:color w:val="auto"/>
                <w:sz w:val="21"/>
                <w:szCs w:val="21"/>
                <w:lang w:val="en-US" w:eastAsia="zh-CN"/>
              </w:rPr>
              <w:t>TS=(</w:t>
            </w:r>
            <w:r>
              <w:rPr>
                <w:rFonts w:hint="default" w:ascii="Times New Roman" w:hAnsi="Times New Roman" w:eastAsia="楷体" w:cs="Times New Roman"/>
                <w:color w:val="auto"/>
                <w:sz w:val="21"/>
                <w:szCs w:val="21"/>
              </w:rPr>
              <w:t>meditation OR meditative OR meditat* OR mindfulness OR mindful* OR "guided meditation" OR "mindfulness meditation" OR MBSR OR MBCT OR "body scan*" OR "breath awareness" OR "breathing awareness" OR "breathing exercise*" OR breathwork OR "mindful walking" OR "mindfulness-based" OR "mindfulness training" OR relaxation OR "relaxation training" OR "relaxation therapy" OR "guided relaxation" OR "meditative relaxation" OR "compassion meditation" OR "loving-kindness" OR "nature-based mindfulness" OR "mind-body" OR "mind body" OR "mind-body exercise*" OR "mind body exercise*" OR yoga OR "tai chi" OR "tai-chi" OR taichi OR "tai ji" OR taiji OR qigong OR "qi gong" OR Baduanjin OR "Ba Duan Jin" OR "Eight-section Brocades" OR "guided imagery" OR "guided visualization" OR "guided visualisation" OR "biofeedback-assisted" OR "biofeedback assisted" OR "heart rate variability biofeedback" OR "HRV biofeedback"</w:t>
            </w:r>
            <w:r>
              <w:rPr>
                <w:rFonts w:hint="default" w:ascii="Times New Roman" w:hAnsi="Times New Roman" w:eastAsia="楷体" w:cs="Times New Roman"/>
                <w:b w:val="0"/>
                <w:bCs w:val="0"/>
                <w:color w:val="auto"/>
                <w:sz w:val="21"/>
                <w:szCs w:val="21"/>
                <w:lang w:val="en-US" w:eastAsia="zh-CN"/>
              </w:rPr>
              <w:t>)</w:t>
            </w:r>
          </w:p>
        </w:tc>
      </w:tr>
      <w:tr w14:paraId="01EB9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2A0B8884">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cs="Times New Roman"/>
                <w:b w:val="0"/>
                <w:bCs/>
                <w:color w:val="auto"/>
                <w:sz w:val="21"/>
                <w:szCs w:val="21"/>
                <w:shd w:val="clear" w:color="auto" w:fill="FFFFFF"/>
                <w:lang w:val="en-US" w:eastAsia="zh-CN"/>
              </w:rPr>
            </w:pPr>
            <w:r>
              <w:rPr>
                <w:rFonts w:hint="default" w:ascii="Times New Roman" w:hAnsi="Times New Roman" w:cs="Times New Roman"/>
                <w:color w:val="auto"/>
                <w:sz w:val="21"/>
                <w:szCs w:val="21"/>
              </w:rPr>
              <w:t>#3</w:t>
            </w:r>
          </w:p>
        </w:tc>
        <w:tc>
          <w:tcPr>
            <w:tcW w:w="6775" w:type="dxa"/>
            <w:vAlign w:val="top"/>
          </w:tcPr>
          <w:p w14:paraId="11250F61">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eastAsia="Segoe UI" w:cs="Times New Roman"/>
                <w:b w:val="0"/>
                <w:bCs w:val="0"/>
                <w:color w:val="auto"/>
                <w:sz w:val="21"/>
                <w:szCs w:val="21"/>
                <w:shd w:val="clear" w:color="auto" w:fill="FFFFFF"/>
                <w:lang w:val="en-US" w:eastAsia="zh-CN"/>
              </w:rPr>
            </w:pPr>
            <w:r>
              <w:rPr>
                <w:rFonts w:hint="default" w:ascii="Times New Roman" w:hAnsi="Times New Roman" w:eastAsia="等线" w:cs="Times New Roman"/>
                <w:bCs w:val="0"/>
                <w:color w:val="auto"/>
                <w:sz w:val="21"/>
                <w:szCs w:val="21"/>
              </w:rPr>
              <w:t>TS=("virtual reality" OR VR OR "immersive virtual reality" OR "immersive VR" OR "non-immersive virtual reality" OR "nonimmersive virtual reality" OR "virtual environment*" OR "head-mounted display*" OR "head mounted display*" OR HMD OR CAVE OR "360-degree video" OR "360° video" OR "360 video" OR "three-dimensional virtual environment*" OR "3D virtual environment*")</w:t>
            </w:r>
          </w:p>
        </w:tc>
      </w:tr>
      <w:tr w14:paraId="58574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6F07128D">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cs="Times New Roman" w:eastAsiaTheme="minorEastAsia"/>
                <w:b w:val="0"/>
                <w:bCs/>
                <w:color w:val="auto"/>
                <w:sz w:val="21"/>
                <w:szCs w:val="21"/>
                <w:shd w:val="clear" w:color="auto" w:fill="FFFFFF"/>
                <w:lang w:val="en-US" w:eastAsia="zh-CN"/>
              </w:rPr>
            </w:pPr>
            <w:r>
              <w:rPr>
                <w:rFonts w:hint="default" w:ascii="Times New Roman" w:hAnsi="Times New Roman" w:cs="Times New Roman"/>
                <w:color w:val="auto"/>
                <w:sz w:val="21"/>
                <w:szCs w:val="21"/>
              </w:rPr>
              <w:t>#</w:t>
            </w:r>
            <w:r>
              <w:rPr>
                <w:rFonts w:hint="eastAsia" w:ascii="Times New Roman" w:hAnsi="Times New Roman" w:cs="Times New Roman"/>
                <w:color w:val="auto"/>
                <w:sz w:val="21"/>
                <w:szCs w:val="21"/>
                <w:lang w:val="en-US" w:eastAsia="zh-CN"/>
              </w:rPr>
              <w:t>4</w:t>
            </w:r>
          </w:p>
        </w:tc>
        <w:tc>
          <w:tcPr>
            <w:tcW w:w="6775" w:type="dxa"/>
            <w:vAlign w:val="top"/>
          </w:tcPr>
          <w:p w14:paraId="5CE66B1A">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eastAsia="Segoe UI" w:cs="Times New Roman"/>
                <w:b w:val="0"/>
                <w:bCs w:val="0"/>
                <w:color w:val="auto"/>
                <w:sz w:val="21"/>
                <w:szCs w:val="21"/>
                <w:shd w:val="clear" w:color="auto" w:fill="FFFFFF"/>
                <w:lang w:val="en-US" w:eastAsia="zh-CN"/>
              </w:rPr>
            </w:pPr>
            <w:r>
              <w:rPr>
                <w:rFonts w:hint="eastAsia" w:ascii="Times New Roman" w:hAnsi="Times New Roman" w:eastAsia="等线" w:cs="Times New Roman"/>
                <w:bCs w:val="0"/>
                <w:color w:val="auto"/>
                <w:sz w:val="21"/>
                <w:szCs w:val="21"/>
                <w:lang w:val="en-US" w:eastAsia="zh-CN" w:bidi="ar-SA"/>
              </w:rPr>
              <w:t>#1 AND #2 AND #3</w:t>
            </w:r>
          </w:p>
        </w:tc>
      </w:tr>
      <w:tr w14:paraId="23700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33823623">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color w:val="auto"/>
                <w:sz w:val="21"/>
                <w:szCs w:val="21"/>
                <w:lang w:val="en-US" w:eastAsia="zh-CN"/>
              </w:rPr>
              <w:t>Records retrieved</w:t>
            </w:r>
          </w:p>
        </w:tc>
        <w:tc>
          <w:tcPr>
            <w:tcW w:w="6775" w:type="dxa"/>
            <w:vAlign w:val="top"/>
          </w:tcPr>
          <w:p w14:paraId="73307624">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eastAsia="等线" w:cs="Times New Roman"/>
                <w:bCs w:val="0"/>
                <w:color w:val="auto"/>
                <w:sz w:val="21"/>
                <w:szCs w:val="21"/>
                <w:lang w:val="en-US" w:eastAsia="zh-CN" w:bidi="ar-SA"/>
              </w:rPr>
            </w:pPr>
            <w:r>
              <w:rPr>
                <w:rFonts w:hint="eastAsia" w:ascii="Times New Roman" w:hAnsi="Times New Roman" w:eastAsia="等线" w:cs="Times New Roman"/>
                <w:bCs w:val="0"/>
                <w:color w:val="auto"/>
                <w:sz w:val="21"/>
                <w:szCs w:val="21"/>
                <w:lang w:val="en-US" w:eastAsia="zh-CN" w:bidi="ar-SA"/>
              </w:rPr>
              <w:t>371</w:t>
            </w:r>
          </w:p>
        </w:tc>
      </w:tr>
    </w:tbl>
    <w:p w14:paraId="2C877E3B">
      <w:pPr>
        <w:rPr>
          <w:rFonts w:hint="default" w:ascii="Times New Roman" w:hAnsi="Times New Roman" w:cs="Times New Roman"/>
          <w:b w:val="0"/>
          <w:bCs w:val="0"/>
          <w:i w:val="0"/>
          <w:iCs w:val="0"/>
          <w:caps w:val="0"/>
          <w:color w:val="auto"/>
          <w:spacing w:val="0"/>
          <w:kern w:val="0"/>
          <w:sz w:val="24"/>
          <w:szCs w:val="24"/>
          <w:highlight w:val="none"/>
          <w:shd w:val="clear" w:color="auto" w:fill="FFFFFF"/>
          <w:lang w:val="en-US" w:eastAsia="zh-CN" w:bidi="ar"/>
        </w:rPr>
      </w:pPr>
    </w:p>
    <w:p w14:paraId="6E86A743">
      <w:pPr>
        <w:rPr>
          <w:rFonts w:hint="default" w:ascii="Times New Roman" w:hAnsi="Times New Roman" w:cs="Times New Roman"/>
          <w:b w:val="0"/>
          <w:bCs w:val="0"/>
          <w:i w:val="0"/>
          <w:iCs w:val="0"/>
          <w:caps w:val="0"/>
          <w:color w:val="auto"/>
          <w:spacing w:val="0"/>
          <w:kern w:val="0"/>
          <w:sz w:val="24"/>
          <w:szCs w:val="24"/>
          <w:highlight w:val="none"/>
          <w:shd w:val="clear" w:color="auto" w:fill="FFFFFF"/>
          <w:lang w:val="en-US" w:eastAsia="zh-CN" w:bidi="ar"/>
        </w:rPr>
      </w:pPr>
    </w:p>
    <w:p w14:paraId="773859F2">
      <w:pPr>
        <w:rPr>
          <w:rFonts w:hint="default" w:ascii="Times New Roman" w:hAnsi="Times New Roman" w:cs="Times New Roman"/>
          <w:b w:val="0"/>
          <w:bCs w:val="0"/>
          <w:i w:val="0"/>
          <w:iCs w:val="0"/>
          <w:caps w:val="0"/>
          <w:color w:val="auto"/>
          <w:spacing w:val="0"/>
          <w:kern w:val="0"/>
          <w:sz w:val="24"/>
          <w:szCs w:val="24"/>
          <w:highlight w:val="none"/>
          <w:shd w:val="clear" w:color="auto" w:fill="FFFFFF"/>
          <w:lang w:val="en-US" w:eastAsia="zh-CN" w:bidi="ar"/>
        </w:rPr>
      </w:pPr>
    </w:p>
    <w:p w14:paraId="3BC45A32">
      <w:pPr>
        <w:rPr>
          <w:rFonts w:hint="default" w:ascii="Times New Roman" w:hAnsi="Times New Roman" w:cs="Times New Roman"/>
          <w:b w:val="0"/>
          <w:bCs w:val="0"/>
          <w:i w:val="0"/>
          <w:iCs w:val="0"/>
          <w:caps w:val="0"/>
          <w:color w:val="auto"/>
          <w:spacing w:val="0"/>
          <w:kern w:val="0"/>
          <w:sz w:val="24"/>
          <w:szCs w:val="24"/>
          <w:highlight w:val="none"/>
          <w:shd w:val="clear" w:color="auto" w:fill="FFFFFF"/>
          <w:lang w:val="en-US" w:eastAsia="zh-CN" w:bidi="ar"/>
        </w:rPr>
      </w:pPr>
    </w:p>
    <w:p w14:paraId="4C554D06">
      <w:pPr>
        <w:rPr>
          <w:rFonts w:hint="default" w:ascii="Times New Roman" w:hAnsi="Times New Roman" w:cs="Times New Roman"/>
          <w:b w:val="0"/>
          <w:bCs w:val="0"/>
          <w:i w:val="0"/>
          <w:iCs w:val="0"/>
          <w:caps w:val="0"/>
          <w:color w:val="auto"/>
          <w:spacing w:val="0"/>
          <w:kern w:val="0"/>
          <w:sz w:val="24"/>
          <w:szCs w:val="24"/>
          <w:highlight w:val="none"/>
          <w:shd w:val="clear" w:color="auto" w:fill="FFFFFF"/>
          <w:lang w:val="en-US" w:eastAsia="zh-CN" w:bidi="ar"/>
        </w:rPr>
      </w:pPr>
    </w:p>
    <w:p w14:paraId="1CD38264">
      <w:pPr>
        <w:rPr>
          <w:rFonts w:hint="default" w:ascii="Times New Roman" w:hAnsi="Times New Roman" w:cs="Times New Roman"/>
          <w:b w:val="0"/>
          <w:bCs w:val="0"/>
          <w:i w:val="0"/>
          <w:iCs w:val="0"/>
          <w:caps w:val="0"/>
          <w:color w:val="auto"/>
          <w:spacing w:val="0"/>
          <w:kern w:val="0"/>
          <w:sz w:val="24"/>
          <w:szCs w:val="24"/>
          <w:highlight w:val="none"/>
          <w:shd w:val="clear" w:color="auto" w:fill="FFFFFF"/>
          <w:lang w:val="en-US" w:eastAsia="zh-CN" w:bidi="ar"/>
        </w:rPr>
      </w:pPr>
    </w:p>
    <w:p w14:paraId="6363300F">
      <w:pPr>
        <w:rPr>
          <w:rFonts w:hint="default" w:ascii="Times New Roman" w:hAnsi="Times New Roman" w:cs="Times New Roman"/>
          <w:b w:val="0"/>
          <w:bCs w:val="0"/>
          <w:i w:val="0"/>
          <w:iCs w:val="0"/>
          <w:caps w:val="0"/>
          <w:color w:val="auto"/>
          <w:spacing w:val="0"/>
          <w:kern w:val="0"/>
          <w:sz w:val="24"/>
          <w:szCs w:val="24"/>
          <w:highlight w:val="none"/>
          <w:shd w:val="clear" w:color="auto" w:fill="FFFFFF"/>
          <w:lang w:val="en-US" w:eastAsia="zh-CN" w:bidi="ar"/>
        </w:rPr>
      </w:pPr>
    </w:p>
    <w:p w14:paraId="7B9AAA94">
      <w:pPr>
        <w:rPr>
          <w:rFonts w:hint="default" w:ascii="Times New Roman" w:hAnsi="Times New Roman" w:cs="Times New Roman"/>
          <w:b w:val="0"/>
          <w:bCs w:val="0"/>
          <w:i w:val="0"/>
          <w:iCs w:val="0"/>
          <w:caps w:val="0"/>
          <w:color w:val="auto"/>
          <w:spacing w:val="0"/>
          <w:kern w:val="0"/>
          <w:sz w:val="24"/>
          <w:szCs w:val="24"/>
          <w:highlight w:val="none"/>
          <w:shd w:val="clear" w:color="auto" w:fill="FFFFFF"/>
          <w:lang w:val="en-US" w:eastAsia="zh-CN" w:bidi="ar"/>
        </w:rPr>
      </w:pPr>
    </w:p>
    <w:p w14:paraId="04BE6730">
      <w:pPr>
        <w:rPr>
          <w:rFonts w:hint="default" w:ascii="Times New Roman" w:hAnsi="Times New Roman" w:cs="Times New Roman"/>
          <w:b w:val="0"/>
          <w:bCs w:val="0"/>
          <w:i w:val="0"/>
          <w:iCs w:val="0"/>
          <w:caps w:val="0"/>
          <w:color w:val="auto"/>
          <w:spacing w:val="0"/>
          <w:kern w:val="0"/>
          <w:sz w:val="24"/>
          <w:szCs w:val="24"/>
          <w:highlight w:val="none"/>
          <w:shd w:val="clear" w:color="auto" w:fill="FFFFFF"/>
          <w:lang w:val="en-US" w:eastAsia="zh-CN" w:bidi="ar"/>
        </w:rPr>
      </w:pPr>
    </w:p>
    <w:p w14:paraId="0B9E4AD1">
      <w:pPr>
        <w:rPr>
          <w:rFonts w:hint="default" w:ascii="Times New Roman" w:hAnsi="Times New Roman" w:cs="Times New Roman"/>
          <w:b w:val="0"/>
          <w:bCs w:val="0"/>
          <w:i w:val="0"/>
          <w:iCs w:val="0"/>
          <w:caps w:val="0"/>
          <w:color w:val="auto"/>
          <w:spacing w:val="0"/>
          <w:kern w:val="0"/>
          <w:sz w:val="24"/>
          <w:szCs w:val="24"/>
          <w:highlight w:val="none"/>
          <w:shd w:val="clear" w:color="auto" w:fill="FFFFFF"/>
          <w:lang w:val="en-US" w:eastAsia="zh-CN" w:bidi="ar"/>
        </w:rPr>
      </w:pPr>
    </w:p>
    <w:p w14:paraId="709D5D57">
      <w:pPr>
        <w:rPr>
          <w:rFonts w:hint="default" w:ascii="Times New Roman" w:hAnsi="Times New Roman" w:cs="Times New Roman"/>
          <w:b w:val="0"/>
          <w:bCs w:val="0"/>
          <w:i w:val="0"/>
          <w:iCs w:val="0"/>
          <w:caps w:val="0"/>
          <w:color w:val="auto"/>
          <w:spacing w:val="0"/>
          <w:kern w:val="0"/>
          <w:sz w:val="24"/>
          <w:szCs w:val="24"/>
          <w:highlight w:val="none"/>
          <w:shd w:val="clear" w:color="auto" w:fill="FFFFFF"/>
          <w:lang w:val="en-US" w:eastAsia="zh-CN" w:bidi="ar"/>
        </w:rPr>
      </w:pPr>
    </w:p>
    <w:p w14:paraId="2BB2E271">
      <w:pPr>
        <w:rPr>
          <w:rFonts w:hint="default" w:ascii="Times New Roman" w:hAnsi="Times New Roman" w:cs="Times New Roman"/>
          <w:b w:val="0"/>
          <w:bCs w:val="0"/>
          <w:i w:val="0"/>
          <w:iCs w:val="0"/>
          <w:caps w:val="0"/>
          <w:color w:val="auto"/>
          <w:spacing w:val="0"/>
          <w:kern w:val="0"/>
          <w:sz w:val="24"/>
          <w:szCs w:val="24"/>
          <w:highlight w:val="none"/>
          <w:shd w:val="clear" w:color="auto" w:fill="FFFFFF"/>
          <w:lang w:val="en-US" w:eastAsia="zh-CN" w:bidi="ar"/>
        </w:rPr>
      </w:pPr>
    </w:p>
    <w:p w14:paraId="358CBDBC">
      <w:pPr>
        <w:rPr>
          <w:rFonts w:hint="default" w:ascii="Times New Roman" w:hAnsi="Times New Roman" w:cs="Times New Roman"/>
          <w:b w:val="0"/>
          <w:bCs w:val="0"/>
          <w:i w:val="0"/>
          <w:iCs w:val="0"/>
          <w:caps w:val="0"/>
          <w:color w:val="auto"/>
          <w:spacing w:val="0"/>
          <w:kern w:val="0"/>
          <w:sz w:val="24"/>
          <w:szCs w:val="24"/>
          <w:highlight w:val="none"/>
          <w:shd w:val="clear" w:color="auto" w:fill="FFFFFF"/>
          <w:lang w:val="en-US" w:eastAsia="zh-CN" w:bidi="ar"/>
        </w:rPr>
      </w:pPr>
    </w:p>
    <w:p w14:paraId="424E3240">
      <w:pPr>
        <w:rPr>
          <w:rFonts w:hint="default" w:ascii="Times New Roman" w:hAnsi="Times New Roman" w:cs="Times New Roman"/>
          <w:b w:val="0"/>
          <w:bCs w:val="0"/>
          <w:i w:val="0"/>
          <w:iCs w:val="0"/>
          <w:caps w:val="0"/>
          <w:color w:val="auto"/>
          <w:spacing w:val="0"/>
          <w:kern w:val="0"/>
          <w:sz w:val="24"/>
          <w:szCs w:val="24"/>
          <w:highlight w:val="none"/>
          <w:shd w:val="clear" w:color="auto" w:fill="FFFFFF"/>
          <w:lang w:val="en-US" w:eastAsia="zh-CN" w:bidi="ar"/>
        </w:rPr>
      </w:pPr>
    </w:p>
    <w:p w14:paraId="555B10C6">
      <w:pPr>
        <w:rPr>
          <w:rFonts w:hint="default" w:ascii="Times New Roman" w:hAnsi="Times New Roman" w:cs="Times New Roman"/>
          <w:b w:val="0"/>
          <w:bCs w:val="0"/>
          <w:i w:val="0"/>
          <w:iCs w:val="0"/>
          <w:caps w:val="0"/>
          <w:color w:val="auto"/>
          <w:spacing w:val="0"/>
          <w:kern w:val="0"/>
          <w:sz w:val="24"/>
          <w:szCs w:val="24"/>
          <w:highlight w:val="none"/>
          <w:shd w:val="clear" w:color="auto" w:fill="FFFFFF"/>
          <w:lang w:val="en-US" w:eastAsia="zh-CN" w:bidi="ar"/>
        </w:rPr>
      </w:pPr>
    </w:p>
    <w:p w14:paraId="3E217EFC">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Times New Roman" w:hAnsi="Times New Roman" w:eastAsia="宋体" w:cs="Times New Roman"/>
          <w:sz w:val="24"/>
          <w:szCs w:val="24"/>
          <w:lang w:val="en-US" w:eastAsia="zh-CN"/>
        </w:rPr>
      </w:pPr>
      <w:r>
        <w:rPr>
          <w:rFonts w:hint="default" w:ascii="Times New Roman" w:hAnsi="Times New Roman" w:eastAsia="HYSinMyeongJo-Medium" w:cs="Times New Roman"/>
          <w:b/>
          <w:bCs/>
          <w:sz w:val="24"/>
          <w:szCs w:val="24"/>
        </w:rPr>
        <w:t xml:space="preserve">Table </w:t>
      </w:r>
      <w:r>
        <w:rPr>
          <w:rFonts w:hint="default" w:ascii="Times New Roman" w:hAnsi="Times New Roman" w:eastAsia="宋体" w:cs="Times New Roman"/>
          <w:b/>
          <w:bCs/>
          <w:sz w:val="24"/>
          <w:szCs w:val="24"/>
          <w:lang w:val="en-US" w:eastAsia="zh-CN"/>
        </w:rPr>
        <w:t>S6</w:t>
      </w:r>
      <w:r>
        <w:rPr>
          <w:rFonts w:hint="eastAsia" w:ascii="Times New Roman" w:hAnsi="Times New Roman" w:eastAsia="宋体" w:cs="Times New Roman"/>
          <w:b/>
          <w:bCs/>
          <w:sz w:val="24"/>
          <w:szCs w:val="24"/>
          <w:lang w:val="en-US" w:eastAsia="zh-CN"/>
        </w:rPr>
        <w:t>.</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HYSinMyeongJo-Medium" w:cs="Times New Roman"/>
          <w:sz w:val="24"/>
          <w:szCs w:val="24"/>
        </w:rPr>
        <w:t xml:space="preserve">Search strategy for </w:t>
      </w:r>
      <w:r>
        <w:rPr>
          <w:rFonts w:hint="eastAsia" w:ascii="Times New Roman" w:hAnsi="Times New Roman" w:eastAsia="宋体" w:cs="Times New Roman"/>
          <w:sz w:val="24"/>
          <w:szCs w:val="24"/>
          <w:lang w:val="en-US" w:eastAsia="zh-CN"/>
        </w:rPr>
        <w:t>Scopus</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7"/>
        <w:gridCol w:w="6775"/>
      </w:tblGrid>
      <w:tr w14:paraId="66375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shd w:val="clear" w:color="auto" w:fill="auto"/>
            <w:vAlign w:val="top"/>
          </w:tcPr>
          <w:p w14:paraId="6DDF5BA6">
            <w:pPr>
              <w:pageBreakBefore w:val="0"/>
              <w:kinsoku/>
              <w:wordWrap/>
              <w:overflowPunct/>
              <w:topLinePunct w:val="0"/>
              <w:autoSpaceDE/>
              <w:autoSpaceDN/>
              <w:bidi w:val="0"/>
              <w:adjustRightInd/>
              <w:snapToGrid/>
              <w:spacing w:beforeAutospacing="0" w:afterAutospacing="0" w:line="240" w:lineRule="auto"/>
              <w:jc w:val="both"/>
              <w:outlineLvl w:val="9"/>
              <w:rPr>
                <w:rFonts w:hint="default" w:ascii="Times New Roman" w:hAnsi="Times New Roman" w:cs="Times New Roman" w:eastAsiaTheme="minorEastAsia"/>
                <w:b w:val="0"/>
                <w:bCs/>
                <w:color w:val="auto"/>
                <w:kern w:val="2"/>
                <w:sz w:val="21"/>
                <w:szCs w:val="21"/>
                <w:shd w:val="clear" w:color="auto" w:fill="FFFFFF"/>
                <w:lang w:val="en-US" w:eastAsia="zh-CN" w:bidi="ar-SA"/>
              </w:rPr>
            </w:pPr>
            <w:r>
              <w:rPr>
                <w:rFonts w:hint="default" w:ascii="Times New Roman" w:hAnsi="Times New Roman" w:cs="Times New Roman"/>
                <w:b w:val="0"/>
                <w:bCs/>
                <w:color w:val="auto"/>
                <w:sz w:val="21"/>
                <w:szCs w:val="21"/>
                <w:shd w:val="clear" w:color="auto" w:fill="FFFFFF"/>
                <w:lang w:val="en-US" w:eastAsia="zh-CN"/>
              </w:rPr>
              <w:t>Search number</w:t>
            </w:r>
          </w:p>
        </w:tc>
        <w:tc>
          <w:tcPr>
            <w:tcW w:w="6775" w:type="dxa"/>
            <w:shd w:val="clear" w:color="auto" w:fill="auto"/>
            <w:vAlign w:val="top"/>
          </w:tcPr>
          <w:p w14:paraId="4DB36CD8">
            <w:pPr>
              <w:pageBreakBefore w:val="0"/>
              <w:kinsoku/>
              <w:wordWrap/>
              <w:overflowPunct/>
              <w:topLinePunct w:val="0"/>
              <w:autoSpaceDE/>
              <w:autoSpaceDN/>
              <w:bidi w:val="0"/>
              <w:adjustRightInd/>
              <w:snapToGrid/>
              <w:spacing w:beforeAutospacing="0" w:afterAutospacing="0" w:line="240" w:lineRule="auto"/>
              <w:jc w:val="both"/>
              <w:outlineLvl w:val="9"/>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Segoe UI" w:cs="Times New Roman"/>
                <w:b w:val="0"/>
                <w:bCs w:val="0"/>
                <w:color w:val="auto"/>
                <w:sz w:val="21"/>
                <w:szCs w:val="21"/>
                <w:shd w:val="clear" w:color="auto" w:fill="FFFFFF"/>
                <w:lang w:val="en-US" w:eastAsia="zh-CN"/>
              </w:rPr>
              <w:t>Query</w:t>
            </w:r>
          </w:p>
        </w:tc>
      </w:tr>
      <w:tr w14:paraId="682E1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1747" w:type="dxa"/>
            <w:vAlign w:val="top"/>
          </w:tcPr>
          <w:p w14:paraId="283F30CC">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cs="Times New Roman"/>
                <w:b w:val="0"/>
                <w:bCs/>
                <w:color w:val="auto"/>
                <w:sz w:val="21"/>
                <w:szCs w:val="21"/>
                <w:shd w:val="clear" w:color="auto" w:fill="FFFFFF"/>
                <w:lang w:val="en-US" w:eastAsia="zh-CN"/>
              </w:rPr>
            </w:pPr>
            <w:r>
              <w:rPr>
                <w:rFonts w:hint="default" w:ascii="Times New Roman" w:hAnsi="Times New Roman" w:cs="Times New Roman"/>
                <w:color w:val="auto"/>
                <w:sz w:val="21"/>
                <w:szCs w:val="21"/>
              </w:rPr>
              <w:t>#1</w:t>
            </w:r>
          </w:p>
        </w:tc>
        <w:tc>
          <w:tcPr>
            <w:tcW w:w="6775" w:type="dxa"/>
            <w:vAlign w:val="top"/>
          </w:tcPr>
          <w:p w14:paraId="53C7F888">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eastAsia="Segoe UI" w:cs="Times New Roman"/>
                <w:b w:val="0"/>
                <w:bCs w:val="0"/>
                <w:color w:val="auto"/>
                <w:sz w:val="21"/>
                <w:szCs w:val="21"/>
                <w:highlight w:val="none"/>
                <w:shd w:val="clear" w:color="auto" w:fill="FFFFFF"/>
                <w:lang w:val="en-US" w:eastAsia="zh-CN"/>
              </w:rPr>
            </w:pPr>
            <w:r>
              <w:rPr>
                <w:rFonts w:hint="default" w:ascii="Times New Roman" w:hAnsi="Times New Roman" w:eastAsia="Georgia" w:cs="Times New Roman"/>
                <w:color w:val="212121"/>
                <w:kern w:val="44"/>
                <w:sz w:val="21"/>
                <w:szCs w:val="21"/>
                <w:highlight w:val="none"/>
                <w:shd w:val="clear" w:color="auto" w:fill="FFFFFF"/>
                <w:lang w:val="en-US" w:eastAsia="zh-CN" w:bidi="ar"/>
              </w:rPr>
              <w:t>Aged OR "Aged, 80 and over"</w:t>
            </w:r>
            <w:r>
              <w:rPr>
                <w:rFonts w:hint="eastAsia" w:ascii="Times New Roman" w:hAnsi="Times New Roman" w:eastAsia="Georgia" w:cs="Times New Roman"/>
                <w:color w:val="212121"/>
                <w:kern w:val="44"/>
                <w:sz w:val="21"/>
                <w:szCs w:val="21"/>
                <w:highlight w:val="none"/>
                <w:shd w:val="clear" w:color="auto" w:fill="FFFFFF"/>
                <w:lang w:val="en-US" w:eastAsia="zh-CN" w:bidi="ar"/>
              </w:rPr>
              <w:t xml:space="preserve"> OR </w:t>
            </w:r>
            <w:r>
              <w:rPr>
                <w:rFonts w:hint="eastAsia" w:ascii="Times New Roman" w:hAnsi="Times New Roman" w:eastAsia="Georgia" w:cs="Times New Roman"/>
                <w:color w:val="212121"/>
                <w:kern w:val="44"/>
                <w:sz w:val="21"/>
                <w:szCs w:val="21"/>
                <w:highlight w:val="none"/>
                <w:shd w:val="clear" w:color="auto" w:fill="FFFFFF"/>
                <w:lang w:bidi="ar"/>
              </w:rPr>
              <w:t xml:space="preserve">"middle aged" </w:t>
            </w:r>
            <w:r>
              <w:rPr>
                <w:rFonts w:hint="default" w:ascii="Times New Roman" w:hAnsi="Times New Roman" w:eastAsia="Georgia" w:cs="Times New Roman"/>
                <w:color w:val="212121"/>
                <w:kern w:val="44"/>
                <w:sz w:val="21"/>
                <w:szCs w:val="21"/>
                <w:highlight w:val="none"/>
                <w:shd w:val="clear" w:color="auto" w:fill="FFFFFF"/>
                <w:lang w:val="en-US" w:eastAsia="zh-CN" w:bidi="ar"/>
              </w:rPr>
              <w:t>OR "older adult*" OR elderly OR geriatric* OR senior* OR "older person*" OR "older people" OR "older population*" OR "aging population*" OR "ageing population*" OR "older individual*" OR "older patient*" OR "older participant*"</w:t>
            </w:r>
            <w:r>
              <w:rPr>
                <w:rFonts w:hint="eastAsia" w:ascii="Times New Roman" w:hAnsi="Times New Roman" w:eastAsia="Georgia" w:cs="Times New Roman"/>
                <w:color w:val="212121"/>
                <w:kern w:val="44"/>
                <w:sz w:val="21"/>
                <w:szCs w:val="21"/>
                <w:highlight w:val="none"/>
                <w:shd w:val="clear" w:color="auto" w:fill="FFFFFF"/>
                <w:lang w:val="en-US" w:eastAsia="zh-CN" w:bidi="ar"/>
              </w:rPr>
              <w:t xml:space="preserve"> OR </w:t>
            </w:r>
            <w:r>
              <w:rPr>
                <w:rFonts w:hint="eastAsia" w:ascii="Times New Roman" w:hAnsi="Times New Roman" w:eastAsia="Georgia" w:cs="Times New Roman"/>
                <w:color w:val="212121"/>
                <w:kern w:val="44"/>
                <w:sz w:val="21"/>
                <w:szCs w:val="21"/>
                <w:highlight w:val="none"/>
                <w:shd w:val="clear" w:color="auto" w:fill="FFFFFF"/>
                <w:lang w:bidi="ar"/>
              </w:rPr>
              <w:t>"middle age" OR "middle-age"</w:t>
            </w:r>
            <w:r>
              <w:rPr>
                <w:rFonts w:hint="eastAsia" w:ascii="Times New Roman" w:hAnsi="Times New Roman" w:eastAsia="宋体" w:cs="Times New Roman"/>
                <w:color w:val="212121"/>
                <w:kern w:val="44"/>
                <w:sz w:val="21"/>
                <w:szCs w:val="21"/>
                <w:highlight w:val="none"/>
                <w:shd w:val="clear" w:color="auto" w:fill="FFFFFF"/>
                <w:lang w:eastAsia="zh-CN" w:bidi="ar"/>
              </w:rPr>
              <w:t xml:space="preserve"> </w:t>
            </w:r>
            <w:r>
              <w:rPr>
                <w:rFonts w:hint="eastAsia" w:ascii="Times New Roman" w:hAnsi="Times New Roman" w:eastAsia="Georgia" w:cs="Times New Roman"/>
                <w:color w:val="212121"/>
                <w:kern w:val="44"/>
                <w:sz w:val="21"/>
                <w:szCs w:val="21"/>
                <w:highlight w:val="none"/>
                <w:shd w:val="clear" w:color="auto" w:fill="FFFFFF"/>
                <w:lang w:bidi="ar"/>
              </w:rPr>
              <w:t>OR "middle-aged"</w:t>
            </w:r>
          </w:p>
        </w:tc>
      </w:tr>
      <w:tr w14:paraId="14454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20EDDFD1">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cs="Times New Roman"/>
                <w:b w:val="0"/>
                <w:bCs/>
                <w:color w:val="auto"/>
                <w:sz w:val="21"/>
                <w:szCs w:val="21"/>
                <w:shd w:val="clear" w:color="auto" w:fill="FFFFFF"/>
                <w:lang w:val="en-US" w:eastAsia="zh-CN"/>
              </w:rPr>
            </w:pPr>
            <w:r>
              <w:rPr>
                <w:rFonts w:hint="default" w:ascii="Times New Roman" w:hAnsi="Times New Roman" w:cs="Times New Roman"/>
                <w:color w:val="auto"/>
                <w:sz w:val="21"/>
                <w:szCs w:val="21"/>
              </w:rPr>
              <w:t>#2</w:t>
            </w:r>
          </w:p>
        </w:tc>
        <w:tc>
          <w:tcPr>
            <w:tcW w:w="6775" w:type="dxa"/>
            <w:vAlign w:val="top"/>
          </w:tcPr>
          <w:p w14:paraId="017395D3">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eastAsia="Segoe UI" w:cs="Times New Roman"/>
                <w:b w:val="0"/>
                <w:bCs w:val="0"/>
                <w:color w:val="auto"/>
                <w:sz w:val="21"/>
                <w:szCs w:val="21"/>
                <w:shd w:val="clear" w:color="auto" w:fill="FFFFFF"/>
                <w:lang w:val="en-US" w:eastAsia="zh-CN"/>
              </w:rPr>
            </w:pPr>
            <w:r>
              <w:rPr>
                <w:rFonts w:hint="default" w:ascii="Times New Roman" w:hAnsi="Times New Roman" w:cs="Times New Roman"/>
                <w:b w:val="0"/>
                <w:bCs w:val="0"/>
                <w:i w:val="0"/>
                <w:iCs w:val="0"/>
                <w:caps w:val="0"/>
                <w:color w:val="202020"/>
                <w:spacing w:val="0"/>
                <w:kern w:val="0"/>
                <w:sz w:val="21"/>
                <w:szCs w:val="21"/>
                <w:shd w:val="clear" w:color="auto" w:fill="FFFFFF"/>
                <w:vertAlign w:val="baseline"/>
                <w:lang w:val="en-US" w:eastAsia="zh-CN" w:bidi="ar"/>
              </w:rPr>
              <w:t>meditation OR meditative OR meditat* OR mindfulness OR mindful* OR "guided meditation" OR "mindfulness meditation" OR MBSR OR MBCT OR "body scan*" OR "breath awareness" OR "breathing awareness" OR "breathing exercise*" OR breathwork OR "mindful walking" OR "mindfulness-based" OR "mindfulness training" OR relaxation OR "relaxation training" OR "relaxation therapy" OR "guided relaxation" OR "meditative relaxation" OR "compassion meditation" OR "loving-kindness" OR "nature-based mindfulness" OR "mind-body" OR "mind body" OR "mind-body exercise*" OR "mind body exercise*" OR yoga OR "tai chi" OR "tai-chi" OR taichi OR "tai ji" OR taiji OR qigong OR "qi gong" OR Baduanjin OR "Ba Duan Jin" OR "Eight-section Brocades"</w:t>
            </w:r>
            <w:r>
              <w:rPr>
                <w:rFonts w:hint="eastAsia" w:ascii="Times New Roman" w:hAnsi="Times New Roman" w:cs="Times New Roman"/>
                <w:b w:val="0"/>
                <w:bCs w:val="0"/>
                <w:i w:val="0"/>
                <w:iCs w:val="0"/>
                <w:caps w:val="0"/>
                <w:color w:val="202020"/>
                <w:spacing w:val="0"/>
                <w:kern w:val="0"/>
                <w:sz w:val="21"/>
                <w:szCs w:val="21"/>
                <w:shd w:val="clear" w:color="auto" w:fill="FFFFFF"/>
                <w:vertAlign w:val="baseline"/>
                <w:lang w:val="en-US" w:eastAsia="zh-CN" w:bidi="ar"/>
              </w:rPr>
              <w:t xml:space="preserve"> OR </w:t>
            </w:r>
            <w:r>
              <w:rPr>
                <w:rFonts w:hint="eastAsia" w:ascii="Times New Roman" w:hAnsi="Times New Roman" w:cs="Times New Roman"/>
                <w:color w:val="202020"/>
                <w:kern w:val="0"/>
                <w:sz w:val="21"/>
                <w:szCs w:val="21"/>
                <w:shd w:val="clear" w:color="auto" w:fill="FFFFFF"/>
                <w:lang w:bidi="ar"/>
              </w:rPr>
              <w:t>"guided imagery" OR "guided visualization" OR "guided visualisation" OR</w:t>
            </w:r>
            <w:r>
              <w:rPr>
                <w:rFonts w:hint="eastAsia" w:ascii="Times New Roman" w:hAnsi="Times New Roman" w:cs="Times New Roman"/>
                <w:color w:val="202020"/>
                <w:kern w:val="0"/>
                <w:sz w:val="21"/>
                <w:szCs w:val="21"/>
                <w:shd w:val="clear" w:color="auto" w:fill="FFFFFF"/>
                <w:lang w:eastAsia="zh-CN" w:bidi="ar"/>
              </w:rPr>
              <w:t xml:space="preserve"> </w:t>
            </w:r>
            <w:r>
              <w:rPr>
                <w:rFonts w:hint="eastAsia" w:ascii="Times New Roman" w:hAnsi="Times New Roman" w:cs="Times New Roman"/>
                <w:color w:val="202020"/>
                <w:kern w:val="0"/>
                <w:sz w:val="21"/>
                <w:szCs w:val="21"/>
                <w:shd w:val="clear" w:color="auto" w:fill="FFFFFF"/>
                <w:lang w:bidi="ar"/>
              </w:rPr>
              <w:t>"biofeedback-assisted" OR "biofeedback assisted" OR "heart rate variability biofeedback" OR "HRV biofeedback"</w:t>
            </w:r>
          </w:p>
        </w:tc>
      </w:tr>
      <w:tr w14:paraId="6641E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0BCAEC04">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cs="Times New Roman"/>
                <w:b w:val="0"/>
                <w:bCs/>
                <w:color w:val="auto"/>
                <w:sz w:val="21"/>
                <w:szCs w:val="21"/>
                <w:shd w:val="clear" w:color="auto" w:fill="FFFFFF"/>
                <w:lang w:val="en-US" w:eastAsia="zh-CN"/>
              </w:rPr>
            </w:pPr>
            <w:r>
              <w:rPr>
                <w:rFonts w:hint="default" w:ascii="Times New Roman" w:hAnsi="Times New Roman" w:cs="Times New Roman"/>
                <w:color w:val="auto"/>
                <w:sz w:val="21"/>
                <w:szCs w:val="21"/>
              </w:rPr>
              <w:t>#3</w:t>
            </w:r>
          </w:p>
        </w:tc>
        <w:tc>
          <w:tcPr>
            <w:tcW w:w="6775" w:type="dxa"/>
            <w:vAlign w:val="top"/>
          </w:tcPr>
          <w:p w14:paraId="5CA1CF01">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eastAsia="Segoe UI" w:cs="Times New Roman"/>
                <w:b w:val="0"/>
                <w:bCs w:val="0"/>
                <w:color w:val="auto"/>
                <w:sz w:val="21"/>
                <w:szCs w:val="21"/>
                <w:shd w:val="clear" w:color="auto" w:fill="FFFFFF"/>
                <w:lang w:val="en-US" w:eastAsia="zh-CN"/>
              </w:rPr>
            </w:pPr>
            <w:r>
              <w:rPr>
                <w:rFonts w:hint="default" w:ascii="Times New Roman" w:hAnsi="Times New Roman" w:eastAsia="等线" w:cs="Times New Roman"/>
                <w:bCs w:val="0"/>
                <w:color w:val="auto"/>
                <w:sz w:val="21"/>
                <w:szCs w:val="21"/>
              </w:rPr>
              <w:t>"virtual reality" OR VR OR "immersive virtual reality" OR "immersive VR" OR "non-immersive virtual reality" OR "nonimmersive virtual reality" OR "virtual environment*" OR "head-mounted display*" OR "head mounted display*" OR HMD OR CAVE OR "360-degree video" OR "360° video" OR "360 video" OR "three-dimensional virtual environment*" OR "3D virtual environment*"</w:t>
            </w:r>
          </w:p>
        </w:tc>
      </w:tr>
      <w:tr w14:paraId="347FC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73CF4032">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cs="Times New Roman" w:eastAsiaTheme="minorEastAsia"/>
                <w:b w:val="0"/>
                <w:bCs/>
                <w:color w:val="auto"/>
                <w:sz w:val="21"/>
                <w:szCs w:val="21"/>
                <w:shd w:val="clear" w:color="auto" w:fill="FFFFFF"/>
                <w:lang w:val="en-US" w:eastAsia="zh-CN"/>
              </w:rPr>
            </w:pPr>
            <w:r>
              <w:rPr>
                <w:rFonts w:hint="default" w:ascii="Times New Roman" w:hAnsi="Times New Roman" w:cs="Times New Roman"/>
                <w:color w:val="auto"/>
                <w:sz w:val="21"/>
                <w:szCs w:val="21"/>
              </w:rPr>
              <w:t>#</w:t>
            </w:r>
            <w:r>
              <w:rPr>
                <w:rFonts w:hint="eastAsia" w:ascii="Times New Roman" w:hAnsi="Times New Roman" w:cs="Times New Roman"/>
                <w:color w:val="auto"/>
                <w:sz w:val="21"/>
                <w:szCs w:val="21"/>
                <w:lang w:val="en-US" w:eastAsia="zh-CN"/>
              </w:rPr>
              <w:t>4</w:t>
            </w:r>
          </w:p>
        </w:tc>
        <w:tc>
          <w:tcPr>
            <w:tcW w:w="6775" w:type="dxa"/>
            <w:vAlign w:val="top"/>
          </w:tcPr>
          <w:p w14:paraId="222586AE">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eastAsia="Segoe UI" w:cs="Times New Roman"/>
                <w:b w:val="0"/>
                <w:bCs w:val="0"/>
                <w:color w:val="auto"/>
                <w:sz w:val="21"/>
                <w:szCs w:val="21"/>
                <w:shd w:val="clear" w:color="auto" w:fill="FFFFFF"/>
                <w:lang w:val="en-US" w:eastAsia="zh-CN"/>
              </w:rPr>
            </w:pPr>
            <w:r>
              <w:rPr>
                <w:rFonts w:hint="eastAsia" w:ascii="Times New Roman" w:hAnsi="Times New Roman" w:eastAsia="等线" w:cs="Times New Roman"/>
                <w:bCs w:val="0"/>
                <w:color w:val="auto"/>
                <w:sz w:val="21"/>
                <w:szCs w:val="21"/>
                <w:lang w:val="en-US" w:eastAsia="zh-CN" w:bidi="ar-SA"/>
              </w:rPr>
              <w:t>#1 AND #2 AND #3</w:t>
            </w:r>
          </w:p>
        </w:tc>
      </w:tr>
      <w:tr w14:paraId="1E8F2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445F496F">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color w:val="auto"/>
                <w:sz w:val="21"/>
                <w:szCs w:val="21"/>
                <w:lang w:val="en-US" w:eastAsia="zh-CN"/>
              </w:rPr>
              <w:t>Records retrieved</w:t>
            </w:r>
          </w:p>
        </w:tc>
        <w:tc>
          <w:tcPr>
            <w:tcW w:w="6775" w:type="dxa"/>
            <w:vAlign w:val="top"/>
          </w:tcPr>
          <w:p w14:paraId="2ADEECE7">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eastAsia="等线" w:cs="Times New Roman"/>
                <w:bCs w:val="0"/>
                <w:color w:val="auto"/>
                <w:sz w:val="21"/>
                <w:szCs w:val="21"/>
                <w:lang w:val="en-US" w:eastAsia="zh-CN" w:bidi="ar-SA"/>
              </w:rPr>
            </w:pPr>
            <w:r>
              <w:rPr>
                <w:rFonts w:hint="eastAsia" w:ascii="Times New Roman" w:hAnsi="Times New Roman" w:eastAsia="等线" w:cs="Times New Roman"/>
                <w:bCs w:val="0"/>
                <w:color w:val="auto"/>
                <w:sz w:val="21"/>
                <w:szCs w:val="21"/>
                <w:lang w:val="en-US" w:eastAsia="zh-CN" w:bidi="ar-SA"/>
              </w:rPr>
              <w:t>543</w:t>
            </w:r>
          </w:p>
        </w:tc>
      </w:tr>
    </w:tbl>
    <w:p w14:paraId="6F6418A8">
      <w:pPr>
        <w:rPr>
          <w:rFonts w:hint="default" w:ascii="Times New Roman" w:hAnsi="Times New Roman" w:eastAsia="宋体" w:cs="Times New Roman"/>
          <w:sz w:val="24"/>
          <w:szCs w:val="24"/>
          <w:lang w:val="en-US" w:eastAsia="zh-CN"/>
        </w:rPr>
      </w:pPr>
    </w:p>
    <w:p w14:paraId="66B8DB43">
      <w:pPr>
        <w:rPr>
          <w:rFonts w:hint="default" w:ascii="Times New Roman" w:hAnsi="Times New Roman" w:eastAsia="宋体" w:cs="Times New Roman"/>
          <w:sz w:val="24"/>
          <w:szCs w:val="24"/>
          <w:lang w:val="en-US" w:eastAsia="zh-CN"/>
        </w:rPr>
      </w:pPr>
    </w:p>
    <w:p w14:paraId="45F38DDB">
      <w:pPr>
        <w:rPr>
          <w:rFonts w:hint="default" w:ascii="Times New Roman" w:hAnsi="Times New Roman" w:eastAsia="宋体" w:cs="Times New Roman"/>
          <w:sz w:val="24"/>
          <w:szCs w:val="24"/>
          <w:lang w:val="en-US" w:eastAsia="zh-CN"/>
        </w:rPr>
      </w:pPr>
    </w:p>
    <w:p w14:paraId="205D805A">
      <w:pPr>
        <w:rPr>
          <w:rFonts w:hint="default" w:ascii="Times New Roman" w:hAnsi="Times New Roman" w:eastAsia="宋体" w:cs="Times New Roman"/>
          <w:sz w:val="24"/>
          <w:szCs w:val="24"/>
          <w:lang w:val="en-US" w:eastAsia="zh-CN"/>
        </w:rPr>
      </w:pPr>
    </w:p>
    <w:p w14:paraId="2F5E6ECB">
      <w:pPr>
        <w:rPr>
          <w:rFonts w:hint="default" w:ascii="Times New Roman" w:hAnsi="Times New Roman" w:eastAsia="宋体" w:cs="Times New Roman"/>
          <w:sz w:val="24"/>
          <w:szCs w:val="24"/>
          <w:lang w:val="en-US" w:eastAsia="zh-CN"/>
        </w:rPr>
      </w:pPr>
    </w:p>
    <w:p w14:paraId="28AF4735">
      <w:pPr>
        <w:rPr>
          <w:rFonts w:hint="default" w:ascii="Times New Roman" w:hAnsi="Times New Roman" w:eastAsia="宋体" w:cs="Times New Roman"/>
          <w:sz w:val="24"/>
          <w:szCs w:val="24"/>
          <w:lang w:val="en-US" w:eastAsia="zh-CN"/>
        </w:rPr>
      </w:pPr>
    </w:p>
    <w:p w14:paraId="45E39988">
      <w:pPr>
        <w:rPr>
          <w:rFonts w:hint="default" w:ascii="Times New Roman" w:hAnsi="Times New Roman" w:eastAsia="宋体" w:cs="Times New Roman"/>
          <w:sz w:val="24"/>
          <w:szCs w:val="24"/>
          <w:lang w:val="en-US" w:eastAsia="zh-CN"/>
        </w:rPr>
      </w:pPr>
    </w:p>
    <w:p w14:paraId="37D5DF4E">
      <w:pPr>
        <w:rPr>
          <w:rFonts w:hint="default" w:ascii="Times New Roman" w:hAnsi="Times New Roman" w:eastAsia="宋体" w:cs="Times New Roman"/>
          <w:sz w:val="24"/>
          <w:szCs w:val="24"/>
          <w:lang w:val="en-US" w:eastAsia="zh-CN"/>
        </w:rPr>
      </w:pPr>
    </w:p>
    <w:p w14:paraId="7596A54B">
      <w:pPr>
        <w:rPr>
          <w:rFonts w:hint="default" w:ascii="Times New Roman" w:hAnsi="Times New Roman" w:eastAsia="宋体" w:cs="Times New Roman"/>
          <w:sz w:val="24"/>
          <w:szCs w:val="24"/>
          <w:lang w:val="en-US" w:eastAsia="zh-CN"/>
        </w:rPr>
      </w:pPr>
    </w:p>
    <w:p w14:paraId="21E2D220">
      <w:pPr>
        <w:rPr>
          <w:rFonts w:hint="default" w:ascii="Times New Roman" w:hAnsi="Times New Roman" w:eastAsia="宋体" w:cs="Times New Roman"/>
          <w:sz w:val="24"/>
          <w:szCs w:val="24"/>
          <w:lang w:val="en-US" w:eastAsia="zh-CN"/>
        </w:rPr>
      </w:pPr>
    </w:p>
    <w:p w14:paraId="77E5AC88">
      <w:pPr>
        <w:rPr>
          <w:rFonts w:hint="default" w:ascii="Times New Roman" w:hAnsi="Times New Roman" w:eastAsia="宋体" w:cs="Times New Roman"/>
          <w:sz w:val="24"/>
          <w:szCs w:val="24"/>
          <w:lang w:val="en-US" w:eastAsia="zh-CN"/>
        </w:rPr>
      </w:pPr>
    </w:p>
    <w:p w14:paraId="5D9DAECC">
      <w:pPr>
        <w:rPr>
          <w:rFonts w:hint="default" w:ascii="Times New Roman" w:hAnsi="Times New Roman" w:eastAsia="宋体" w:cs="Times New Roman"/>
          <w:sz w:val="24"/>
          <w:szCs w:val="24"/>
          <w:lang w:val="en-US" w:eastAsia="zh-CN"/>
        </w:rPr>
      </w:pPr>
    </w:p>
    <w:p w14:paraId="6634CF90">
      <w:pPr>
        <w:rPr>
          <w:rFonts w:hint="default" w:ascii="Times New Roman" w:hAnsi="Times New Roman" w:eastAsia="宋体" w:cs="Times New Roman"/>
          <w:sz w:val="24"/>
          <w:szCs w:val="24"/>
          <w:lang w:val="en-US" w:eastAsia="zh-CN"/>
        </w:rPr>
      </w:pPr>
    </w:p>
    <w:p w14:paraId="4D88DCD2">
      <w:pPr>
        <w:rPr>
          <w:rFonts w:hint="default" w:ascii="Times New Roman" w:hAnsi="Times New Roman" w:eastAsia="宋体" w:cs="Times New Roman"/>
          <w:sz w:val="24"/>
          <w:szCs w:val="24"/>
          <w:lang w:val="en-US" w:eastAsia="zh-CN"/>
        </w:rPr>
      </w:pPr>
    </w:p>
    <w:p w14:paraId="118697B4">
      <w:pPr>
        <w:rPr>
          <w:rFonts w:hint="default" w:ascii="Times New Roman" w:hAnsi="Times New Roman" w:eastAsia="宋体" w:cs="Times New Roman"/>
          <w:sz w:val="24"/>
          <w:szCs w:val="24"/>
          <w:lang w:val="en-US" w:eastAsia="zh-CN"/>
        </w:rPr>
      </w:pPr>
    </w:p>
    <w:p w14:paraId="21DA92D2">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Times New Roman" w:hAnsi="Times New Roman" w:eastAsia="宋体" w:cs="Times New Roman"/>
          <w:sz w:val="24"/>
          <w:szCs w:val="24"/>
          <w:lang w:val="en-US" w:eastAsia="zh-CN"/>
        </w:rPr>
      </w:pPr>
      <w:r>
        <w:rPr>
          <w:rFonts w:hint="default" w:ascii="Times New Roman" w:hAnsi="Times New Roman" w:eastAsia="HYSinMyeongJo-Medium" w:cs="Times New Roman"/>
          <w:b/>
          <w:bCs/>
          <w:sz w:val="24"/>
          <w:szCs w:val="24"/>
        </w:rPr>
        <w:t xml:space="preserve">Table </w:t>
      </w:r>
      <w:r>
        <w:rPr>
          <w:rFonts w:hint="default" w:ascii="Times New Roman" w:hAnsi="Times New Roman" w:eastAsia="宋体" w:cs="Times New Roman"/>
          <w:b/>
          <w:bCs/>
          <w:sz w:val="24"/>
          <w:szCs w:val="24"/>
          <w:lang w:val="en-US" w:eastAsia="zh-CN"/>
        </w:rPr>
        <w:t>S</w:t>
      </w:r>
      <w:r>
        <w:rPr>
          <w:rFonts w:hint="eastAsia" w:ascii="Times New Roman" w:hAnsi="Times New Roman" w:eastAsia="宋体" w:cs="Times New Roman"/>
          <w:b/>
          <w:bCs/>
          <w:sz w:val="24"/>
          <w:szCs w:val="24"/>
          <w:lang w:val="en-US" w:eastAsia="zh-CN"/>
        </w:rPr>
        <w:t>7.</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HYSinMyeongJo-Medium" w:cs="Times New Roman"/>
          <w:sz w:val="24"/>
          <w:szCs w:val="24"/>
        </w:rPr>
        <w:t>Search strategy for Cochrane Library</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7"/>
        <w:gridCol w:w="6775"/>
      </w:tblGrid>
      <w:tr w14:paraId="4FD1B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shd w:val="clear" w:color="auto" w:fill="auto"/>
            <w:vAlign w:val="top"/>
          </w:tcPr>
          <w:p w14:paraId="49690217">
            <w:pPr>
              <w:pageBreakBefore w:val="0"/>
              <w:kinsoku/>
              <w:wordWrap/>
              <w:overflowPunct/>
              <w:topLinePunct w:val="0"/>
              <w:autoSpaceDE/>
              <w:autoSpaceDN/>
              <w:bidi w:val="0"/>
              <w:adjustRightInd/>
              <w:snapToGrid/>
              <w:spacing w:beforeAutospacing="0" w:afterAutospacing="0" w:line="240" w:lineRule="auto"/>
              <w:jc w:val="both"/>
              <w:outlineLvl w:val="9"/>
              <w:rPr>
                <w:rFonts w:hint="default" w:ascii="Times New Roman" w:hAnsi="Times New Roman" w:cs="Times New Roman" w:eastAsiaTheme="minorEastAsia"/>
                <w:b w:val="0"/>
                <w:bCs/>
                <w:color w:val="auto"/>
                <w:kern w:val="2"/>
                <w:sz w:val="20"/>
                <w:szCs w:val="20"/>
                <w:shd w:val="clear" w:color="auto" w:fill="FFFFFF"/>
                <w:lang w:val="en-US" w:eastAsia="zh-CN" w:bidi="ar-SA"/>
              </w:rPr>
            </w:pPr>
            <w:r>
              <w:rPr>
                <w:rFonts w:hint="default" w:ascii="Times New Roman" w:hAnsi="Times New Roman" w:cs="Times New Roman"/>
                <w:b w:val="0"/>
                <w:bCs/>
                <w:color w:val="auto"/>
                <w:sz w:val="20"/>
                <w:szCs w:val="20"/>
                <w:shd w:val="clear" w:color="auto" w:fill="FFFFFF"/>
                <w:lang w:val="en-US" w:eastAsia="zh-CN"/>
              </w:rPr>
              <w:t>Search number</w:t>
            </w:r>
          </w:p>
        </w:tc>
        <w:tc>
          <w:tcPr>
            <w:tcW w:w="6775" w:type="dxa"/>
            <w:shd w:val="clear" w:color="auto" w:fill="auto"/>
            <w:vAlign w:val="top"/>
          </w:tcPr>
          <w:p w14:paraId="721896FC">
            <w:pPr>
              <w:pageBreakBefore w:val="0"/>
              <w:kinsoku/>
              <w:wordWrap/>
              <w:overflowPunct/>
              <w:topLinePunct w:val="0"/>
              <w:autoSpaceDE/>
              <w:autoSpaceDN/>
              <w:bidi w:val="0"/>
              <w:adjustRightInd/>
              <w:snapToGrid/>
              <w:spacing w:beforeAutospacing="0" w:afterAutospacing="0" w:line="240" w:lineRule="auto"/>
              <w:jc w:val="both"/>
              <w:outlineLvl w:val="9"/>
              <w:rPr>
                <w:rFonts w:hint="default" w:ascii="Times New Roman" w:hAnsi="Times New Roman" w:eastAsia="宋体" w:cs="Times New Roman"/>
                <w:color w:val="auto"/>
                <w:kern w:val="2"/>
                <w:sz w:val="20"/>
                <w:szCs w:val="20"/>
                <w:lang w:val="en-US" w:eastAsia="zh-CN" w:bidi="ar-SA"/>
              </w:rPr>
            </w:pPr>
            <w:r>
              <w:rPr>
                <w:rFonts w:hint="default" w:ascii="Times New Roman" w:hAnsi="Times New Roman" w:eastAsia="Segoe UI" w:cs="Times New Roman"/>
                <w:b w:val="0"/>
                <w:bCs w:val="0"/>
                <w:color w:val="auto"/>
                <w:sz w:val="20"/>
                <w:szCs w:val="20"/>
                <w:shd w:val="clear" w:color="auto" w:fill="FFFFFF"/>
                <w:lang w:val="en-US" w:eastAsia="zh-CN"/>
              </w:rPr>
              <w:t>Query</w:t>
            </w:r>
          </w:p>
        </w:tc>
      </w:tr>
      <w:tr w14:paraId="7DC07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63F48D27">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cs="Times New Roman"/>
                <w:b w:val="0"/>
                <w:bCs/>
                <w:color w:val="auto"/>
                <w:sz w:val="20"/>
                <w:szCs w:val="20"/>
                <w:shd w:val="clear" w:color="auto" w:fill="FFFFFF"/>
                <w:lang w:val="en-US" w:eastAsia="zh-CN"/>
              </w:rPr>
            </w:pPr>
            <w:r>
              <w:rPr>
                <w:rFonts w:hint="default" w:ascii="Times New Roman" w:hAnsi="Times New Roman" w:cs="Times New Roman"/>
                <w:color w:val="auto"/>
                <w:sz w:val="20"/>
                <w:szCs w:val="20"/>
              </w:rPr>
              <w:t>#1</w:t>
            </w:r>
          </w:p>
        </w:tc>
        <w:tc>
          <w:tcPr>
            <w:tcW w:w="6775" w:type="dxa"/>
            <w:vAlign w:val="top"/>
          </w:tcPr>
          <w:p w14:paraId="0534F491">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eastAsia="Segoe UI" w:cs="Times New Roman"/>
                <w:b w:val="0"/>
                <w:bCs w:val="0"/>
                <w:color w:val="auto"/>
                <w:sz w:val="20"/>
                <w:szCs w:val="20"/>
                <w:shd w:val="clear" w:color="auto" w:fill="FFFFFF"/>
                <w:lang w:val="en-US" w:eastAsia="zh-CN"/>
              </w:rPr>
            </w:pPr>
            <w:r>
              <w:rPr>
                <w:rFonts w:hint="default" w:ascii="Times New Roman" w:hAnsi="Times New Roman" w:eastAsia="等线" w:cs="Times New Roman"/>
                <w:bCs w:val="0"/>
                <w:color w:val="auto"/>
                <w:sz w:val="20"/>
                <w:szCs w:val="20"/>
                <w:lang w:val="en-US" w:eastAsia="zh-CN" w:bidi="ar-SA"/>
              </w:rPr>
              <w:t>MeSH descriptor: [Aged] explode all trees</w:t>
            </w:r>
          </w:p>
        </w:tc>
      </w:tr>
      <w:tr w14:paraId="23796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7C292577">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cs="Times New Roman"/>
                <w:color w:val="auto"/>
                <w:sz w:val="20"/>
                <w:szCs w:val="20"/>
              </w:rPr>
            </w:pPr>
            <w:r>
              <w:rPr>
                <w:rFonts w:hint="default" w:ascii="Times New Roman" w:hAnsi="Times New Roman" w:cs="Times New Roman"/>
                <w:color w:val="auto"/>
                <w:sz w:val="20"/>
                <w:szCs w:val="20"/>
              </w:rPr>
              <w:t>#2</w:t>
            </w:r>
          </w:p>
        </w:tc>
        <w:tc>
          <w:tcPr>
            <w:tcW w:w="6775" w:type="dxa"/>
            <w:vAlign w:val="top"/>
          </w:tcPr>
          <w:p w14:paraId="7E0185C2">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eastAsia="楷体" w:cs="Times New Roman"/>
                <w:b w:val="0"/>
                <w:bCs w:val="0"/>
                <w:color w:val="auto"/>
                <w:sz w:val="20"/>
                <w:szCs w:val="20"/>
                <w:lang w:val="en-US" w:eastAsia="zh-CN"/>
              </w:rPr>
            </w:pPr>
            <w:r>
              <w:rPr>
                <w:rFonts w:hint="default" w:ascii="Times New Roman" w:hAnsi="Times New Roman" w:eastAsia="楷体" w:cs="Times New Roman"/>
                <w:b w:val="0"/>
                <w:bCs w:val="0"/>
                <w:color w:val="auto"/>
                <w:sz w:val="20"/>
                <w:szCs w:val="20"/>
                <w:lang w:val="en-US" w:eastAsia="zh-CN"/>
              </w:rPr>
              <w:t>MeSH descriptor: [Middle Aged] explode all trees</w:t>
            </w:r>
          </w:p>
        </w:tc>
      </w:tr>
      <w:tr w14:paraId="41E55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32B833F8">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cs="Times New Roman"/>
                <w:b w:val="0"/>
                <w:bCs/>
                <w:color w:val="auto"/>
                <w:sz w:val="20"/>
                <w:szCs w:val="20"/>
                <w:shd w:val="clear" w:color="auto" w:fill="FFFFFF"/>
                <w:lang w:val="en-US" w:eastAsia="zh-CN"/>
              </w:rPr>
            </w:pPr>
            <w:r>
              <w:rPr>
                <w:rFonts w:hint="default" w:ascii="Times New Roman" w:hAnsi="Times New Roman" w:cs="Times New Roman"/>
                <w:color w:val="auto"/>
                <w:sz w:val="20"/>
                <w:szCs w:val="20"/>
              </w:rPr>
              <w:t>#3</w:t>
            </w:r>
          </w:p>
        </w:tc>
        <w:tc>
          <w:tcPr>
            <w:tcW w:w="6775" w:type="dxa"/>
            <w:vAlign w:val="top"/>
          </w:tcPr>
          <w:p w14:paraId="41C40B5B">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eastAsia="Segoe UI" w:cs="Times New Roman"/>
                <w:b w:val="0"/>
                <w:bCs w:val="0"/>
                <w:color w:val="auto"/>
                <w:sz w:val="20"/>
                <w:szCs w:val="20"/>
                <w:shd w:val="clear" w:color="auto" w:fill="FFFFFF"/>
                <w:lang w:val="en-US" w:eastAsia="zh-CN"/>
              </w:rPr>
            </w:pPr>
            <w:r>
              <w:rPr>
                <w:rFonts w:hint="default" w:ascii="Times New Roman" w:hAnsi="Times New Roman" w:eastAsia="楷体" w:cs="Times New Roman"/>
                <w:b w:val="0"/>
                <w:bCs w:val="0"/>
                <w:color w:val="auto"/>
                <w:sz w:val="20"/>
                <w:szCs w:val="20"/>
                <w:lang w:val="en-US" w:eastAsia="zh-CN"/>
              </w:rPr>
              <w:t>(Aged OR Elderly OR Aging OR Seniors OR Senescence OR "biological aging" OR "aging biological" OR "aged, 80 and over" OR "oldest old" OR Elders OR Elder OR Elder* OR Geriatric OR Older OR "Older Adult" OR "Older Adults" OR "Older People" OR "Older Persons" OR "Older Individuals" OR Old OR "Old Population" OR "Old Age" OR "Old Adult" OR "Old Adults" OR "Aging Population" OR "Aging Adults" OR "middle age" OR "middle-age" OR "middle-aged"):ti,ab,kw</w:t>
            </w:r>
          </w:p>
        </w:tc>
      </w:tr>
      <w:tr w14:paraId="69676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shd w:val="clear" w:color="auto" w:fill="auto"/>
            <w:vAlign w:val="top"/>
          </w:tcPr>
          <w:p w14:paraId="0A24A6D1">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cs="Times New Roman" w:eastAsiaTheme="minorEastAsia"/>
                <w:b w:val="0"/>
                <w:bCs/>
                <w:color w:val="auto"/>
                <w:kern w:val="2"/>
                <w:sz w:val="20"/>
                <w:szCs w:val="20"/>
                <w:shd w:val="clear" w:color="auto" w:fill="FFFFFF"/>
                <w:lang w:val="en-US" w:eastAsia="zh-CN" w:bidi="ar-SA"/>
              </w:rPr>
            </w:pPr>
            <w:r>
              <w:rPr>
                <w:rFonts w:hint="default" w:ascii="Times New Roman" w:hAnsi="Times New Roman" w:cs="Times New Roman"/>
                <w:color w:val="auto"/>
                <w:sz w:val="20"/>
                <w:szCs w:val="20"/>
              </w:rPr>
              <w:t>#</w:t>
            </w:r>
            <w:r>
              <w:rPr>
                <w:rFonts w:hint="default" w:ascii="Times New Roman" w:hAnsi="Times New Roman" w:cs="Times New Roman"/>
                <w:color w:val="auto"/>
                <w:sz w:val="20"/>
                <w:szCs w:val="20"/>
                <w:lang w:val="en-US" w:eastAsia="zh-CN"/>
              </w:rPr>
              <w:t>4</w:t>
            </w:r>
          </w:p>
        </w:tc>
        <w:tc>
          <w:tcPr>
            <w:tcW w:w="6775" w:type="dxa"/>
            <w:vAlign w:val="top"/>
          </w:tcPr>
          <w:p w14:paraId="7FFBFB69">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eastAsia="等线" w:cs="Times New Roman"/>
                <w:b w:val="0"/>
                <w:bCs w:val="0"/>
                <w:color w:val="auto"/>
                <w:sz w:val="20"/>
                <w:szCs w:val="20"/>
                <w:shd w:val="clear" w:color="auto" w:fill="FFFFFF"/>
                <w:lang w:val="en-US" w:eastAsia="zh-CN"/>
              </w:rPr>
            </w:pPr>
            <w:r>
              <w:rPr>
                <w:rFonts w:hint="default" w:ascii="Times New Roman" w:hAnsi="Times New Roman" w:eastAsia="等线" w:cs="Times New Roman"/>
                <w:bCs w:val="0"/>
                <w:color w:val="auto"/>
                <w:sz w:val="20"/>
                <w:szCs w:val="20"/>
              </w:rPr>
              <w:t>#1 OR #2 OR #3</w:t>
            </w:r>
          </w:p>
        </w:tc>
      </w:tr>
      <w:tr w14:paraId="5AF91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shd w:val="clear" w:color="auto" w:fill="auto"/>
            <w:vAlign w:val="top"/>
          </w:tcPr>
          <w:p w14:paraId="48B5D7ED">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cs="Times New Roman" w:eastAsiaTheme="minorEastAsia"/>
                <w:b w:val="0"/>
                <w:bCs/>
                <w:color w:val="auto"/>
                <w:kern w:val="2"/>
                <w:sz w:val="20"/>
                <w:szCs w:val="20"/>
                <w:shd w:val="clear" w:color="auto" w:fill="FFFFFF"/>
                <w:lang w:val="en-US" w:eastAsia="zh-CN" w:bidi="ar-SA"/>
              </w:rPr>
            </w:pPr>
            <w:r>
              <w:rPr>
                <w:rFonts w:hint="default" w:ascii="Times New Roman" w:hAnsi="Times New Roman" w:cs="Times New Roman"/>
                <w:color w:val="auto"/>
                <w:sz w:val="20"/>
                <w:szCs w:val="20"/>
                <w:lang w:val="en-US" w:eastAsia="zh-CN"/>
              </w:rPr>
              <w:t>#5</w:t>
            </w:r>
          </w:p>
        </w:tc>
        <w:tc>
          <w:tcPr>
            <w:tcW w:w="6775" w:type="dxa"/>
            <w:vAlign w:val="top"/>
          </w:tcPr>
          <w:p w14:paraId="59F79456">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eastAsia="Segoe UI" w:cs="Times New Roman"/>
                <w:b w:val="0"/>
                <w:bCs w:val="0"/>
                <w:color w:val="auto"/>
                <w:sz w:val="20"/>
                <w:szCs w:val="20"/>
                <w:shd w:val="clear" w:color="auto" w:fill="FFFFFF"/>
                <w:lang w:val="en-US" w:eastAsia="zh-CN"/>
              </w:rPr>
            </w:pPr>
            <w:r>
              <w:rPr>
                <w:rFonts w:hint="default" w:ascii="Times New Roman" w:hAnsi="Times New Roman" w:eastAsia="等线" w:cs="Times New Roman"/>
                <w:bCs w:val="0"/>
                <w:color w:val="auto"/>
                <w:sz w:val="20"/>
                <w:szCs w:val="20"/>
                <w:lang w:val="en-US" w:eastAsia="zh-CN" w:bidi="ar-SA"/>
              </w:rPr>
              <w:t>MeSH descriptor: [Mindfulness] explode all trees</w:t>
            </w:r>
          </w:p>
        </w:tc>
      </w:tr>
      <w:tr w14:paraId="5A448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shd w:val="clear" w:color="auto" w:fill="auto"/>
            <w:vAlign w:val="top"/>
          </w:tcPr>
          <w:p w14:paraId="54F863BE">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cs="Times New Roman" w:eastAsiaTheme="minorEastAsia"/>
                <w:color w:val="auto"/>
                <w:kern w:val="2"/>
                <w:sz w:val="20"/>
                <w:szCs w:val="20"/>
                <w:lang w:val="en-US" w:eastAsia="zh-CN" w:bidi="ar-SA"/>
              </w:rPr>
            </w:pPr>
            <w:r>
              <w:rPr>
                <w:rFonts w:hint="default" w:ascii="Times New Roman" w:hAnsi="Times New Roman" w:cs="Times New Roman"/>
                <w:color w:val="auto"/>
                <w:sz w:val="20"/>
                <w:szCs w:val="20"/>
                <w:lang w:val="en-US" w:eastAsia="zh-CN"/>
              </w:rPr>
              <w:t>#6</w:t>
            </w:r>
          </w:p>
        </w:tc>
        <w:tc>
          <w:tcPr>
            <w:tcW w:w="6775" w:type="dxa"/>
            <w:vAlign w:val="top"/>
          </w:tcPr>
          <w:p w14:paraId="32137710">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eastAsia="等线" w:cs="Times New Roman"/>
                <w:bCs w:val="0"/>
                <w:color w:val="auto"/>
                <w:sz w:val="20"/>
                <w:szCs w:val="20"/>
                <w:lang w:val="en-US" w:eastAsia="zh-CN" w:bidi="ar-SA"/>
              </w:rPr>
            </w:pPr>
            <w:r>
              <w:rPr>
                <w:rFonts w:hint="default" w:ascii="Times New Roman" w:hAnsi="Times New Roman" w:eastAsia="宋体" w:cs="Times New Roman"/>
                <w:color w:val="auto"/>
                <w:sz w:val="20"/>
                <w:szCs w:val="20"/>
                <w:lang w:val="en-US" w:eastAsia="zh-CN"/>
              </w:rPr>
              <w:t>MeSH descriptor: [Meditation] explode all trees</w:t>
            </w:r>
          </w:p>
        </w:tc>
      </w:tr>
      <w:tr w14:paraId="4145E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shd w:val="clear" w:color="auto" w:fill="auto"/>
            <w:vAlign w:val="top"/>
          </w:tcPr>
          <w:p w14:paraId="277C374E">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cs="Times New Roman" w:eastAsiaTheme="minorEastAsia"/>
                <w:color w:val="auto"/>
                <w:kern w:val="2"/>
                <w:sz w:val="20"/>
                <w:szCs w:val="20"/>
                <w:lang w:val="en-US" w:eastAsia="zh-CN" w:bidi="ar-SA"/>
              </w:rPr>
            </w:pPr>
            <w:r>
              <w:rPr>
                <w:rFonts w:hint="default" w:ascii="Times New Roman" w:hAnsi="Times New Roman" w:cs="Times New Roman"/>
                <w:color w:val="auto"/>
                <w:sz w:val="20"/>
                <w:szCs w:val="20"/>
                <w:lang w:val="en-US" w:eastAsia="zh-CN"/>
              </w:rPr>
              <w:t>#7</w:t>
            </w:r>
          </w:p>
        </w:tc>
        <w:tc>
          <w:tcPr>
            <w:tcW w:w="6775" w:type="dxa"/>
            <w:vAlign w:val="top"/>
          </w:tcPr>
          <w:p w14:paraId="4A2D81BD">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eastAsia="宋体" w:cs="Times New Roman"/>
                <w:color w:val="auto"/>
                <w:sz w:val="20"/>
                <w:szCs w:val="20"/>
                <w:lang w:val="en-US" w:eastAsia="zh-CN"/>
              </w:rPr>
            </w:pPr>
            <w:r>
              <w:rPr>
                <w:rFonts w:hint="default" w:ascii="Times New Roman" w:hAnsi="Times New Roman" w:eastAsia="宋体" w:cs="Times New Roman"/>
                <w:color w:val="auto"/>
                <w:sz w:val="20"/>
                <w:szCs w:val="20"/>
                <w:lang w:val="en-US" w:eastAsia="zh-CN"/>
              </w:rPr>
              <w:t>MeSH descriptor: [Mind-Body Therapies] explode all trees</w:t>
            </w:r>
          </w:p>
        </w:tc>
      </w:tr>
      <w:tr w14:paraId="2E089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shd w:val="clear" w:color="auto" w:fill="auto"/>
            <w:vAlign w:val="top"/>
          </w:tcPr>
          <w:p w14:paraId="56C16B5E">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cs="Times New Roman" w:eastAsiaTheme="minorEastAsia"/>
                <w:color w:val="auto"/>
                <w:kern w:val="2"/>
                <w:sz w:val="20"/>
                <w:szCs w:val="20"/>
                <w:lang w:val="en-US" w:eastAsia="zh-CN" w:bidi="ar-SA"/>
              </w:rPr>
            </w:pPr>
            <w:r>
              <w:rPr>
                <w:rFonts w:hint="default" w:ascii="Times New Roman" w:hAnsi="Times New Roman" w:cs="Times New Roman"/>
                <w:color w:val="auto"/>
                <w:sz w:val="20"/>
                <w:szCs w:val="20"/>
                <w:lang w:val="en-US" w:eastAsia="zh-CN"/>
              </w:rPr>
              <w:t>#8</w:t>
            </w:r>
          </w:p>
        </w:tc>
        <w:tc>
          <w:tcPr>
            <w:tcW w:w="6775" w:type="dxa"/>
            <w:vAlign w:val="top"/>
          </w:tcPr>
          <w:p w14:paraId="1B4FEA05">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eastAsia="宋体" w:cs="Times New Roman"/>
                <w:color w:val="auto"/>
                <w:sz w:val="20"/>
                <w:szCs w:val="20"/>
                <w:lang w:val="en-US" w:eastAsia="zh-CN"/>
              </w:rPr>
            </w:pPr>
            <w:r>
              <w:rPr>
                <w:rFonts w:hint="default" w:ascii="Times New Roman" w:hAnsi="Times New Roman" w:eastAsia="宋体" w:cs="Times New Roman"/>
                <w:color w:val="auto"/>
                <w:sz w:val="20"/>
                <w:szCs w:val="20"/>
                <w:lang w:val="en-US" w:eastAsia="zh-CN"/>
              </w:rPr>
              <w:t>MeSH descriptor: [Yoga] explode all trees</w:t>
            </w:r>
          </w:p>
        </w:tc>
      </w:tr>
      <w:tr w14:paraId="3A8F7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shd w:val="clear" w:color="auto" w:fill="auto"/>
            <w:vAlign w:val="top"/>
          </w:tcPr>
          <w:p w14:paraId="2A60C7B4">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cs="Times New Roman" w:eastAsiaTheme="minorEastAsia"/>
                <w:color w:val="auto"/>
                <w:kern w:val="2"/>
                <w:sz w:val="20"/>
                <w:szCs w:val="20"/>
                <w:lang w:val="en-US" w:eastAsia="zh-CN" w:bidi="ar-SA"/>
              </w:rPr>
            </w:pPr>
            <w:r>
              <w:rPr>
                <w:rFonts w:hint="default" w:ascii="Times New Roman" w:hAnsi="Times New Roman" w:cs="Times New Roman"/>
                <w:color w:val="auto"/>
                <w:sz w:val="20"/>
                <w:szCs w:val="20"/>
                <w:lang w:val="en-US" w:eastAsia="zh-CN"/>
              </w:rPr>
              <w:t>#9</w:t>
            </w:r>
          </w:p>
        </w:tc>
        <w:tc>
          <w:tcPr>
            <w:tcW w:w="6775" w:type="dxa"/>
            <w:vAlign w:val="top"/>
          </w:tcPr>
          <w:p w14:paraId="54BA5BED">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eastAsia="宋体" w:cs="Times New Roman"/>
                <w:color w:val="auto"/>
                <w:sz w:val="20"/>
                <w:szCs w:val="20"/>
                <w:lang w:val="en-US" w:eastAsia="zh-CN"/>
              </w:rPr>
            </w:pPr>
            <w:r>
              <w:rPr>
                <w:rFonts w:hint="default" w:ascii="Times New Roman" w:hAnsi="Times New Roman" w:eastAsia="宋体" w:cs="Times New Roman"/>
                <w:color w:val="auto"/>
                <w:sz w:val="20"/>
                <w:szCs w:val="20"/>
                <w:lang w:val="en-US" w:eastAsia="zh-CN"/>
              </w:rPr>
              <w:t>MeSH descriptor: [Tai Ji] explode all trees</w:t>
            </w:r>
          </w:p>
        </w:tc>
      </w:tr>
      <w:tr w14:paraId="036DA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shd w:val="clear" w:color="auto" w:fill="auto"/>
            <w:vAlign w:val="top"/>
          </w:tcPr>
          <w:p w14:paraId="314B3BA5">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cs="Times New Roman" w:eastAsiaTheme="minorEastAsia"/>
                <w:color w:val="auto"/>
                <w:kern w:val="2"/>
                <w:sz w:val="20"/>
                <w:szCs w:val="20"/>
                <w:lang w:val="en-US" w:eastAsia="zh-CN" w:bidi="ar-SA"/>
              </w:rPr>
            </w:pPr>
            <w:r>
              <w:rPr>
                <w:rFonts w:hint="default" w:ascii="Times New Roman" w:hAnsi="Times New Roman" w:cs="Times New Roman"/>
                <w:color w:val="auto"/>
                <w:sz w:val="20"/>
                <w:szCs w:val="20"/>
                <w:lang w:val="en-US" w:eastAsia="zh-CN"/>
              </w:rPr>
              <w:t>#10</w:t>
            </w:r>
          </w:p>
        </w:tc>
        <w:tc>
          <w:tcPr>
            <w:tcW w:w="6775" w:type="dxa"/>
            <w:vAlign w:val="top"/>
          </w:tcPr>
          <w:p w14:paraId="480E7663">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eastAsia="宋体" w:cs="Times New Roman"/>
                <w:color w:val="auto"/>
                <w:sz w:val="20"/>
                <w:szCs w:val="20"/>
                <w:lang w:val="en-US" w:eastAsia="zh-CN"/>
              </w:rPr>
            </w:pPr>
            <w:r>
              <w:rPr>
                <w:rFonts w:hint="default" w:ascii="Times New Roman" w:hAnsi="Times New Roman" w:eastAsia="宋体" w:cs="Times New Roman"/>
                <w:color w:val="auto"/>
                <w:sz w:val="20"/>
                <w:szCs w:val="20"/>
                <w:lang w:val="en-US" w:eastAsia="zh-CN"/>
              </w:rPr>
              <w:t>MeSH descriptor: [Biofeedback, Psychology] explode all trees</w:t>
            </w:r>
          </w:p>
        </w:tc>
      </w:tr>
      <w:tr w14:paraId="6A119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shd w:val="clear" w:color="auto" w:fill="auto"/>
            <w:vAlign w:val="top"/>
          </w:tcPr>
          <w:p w14:paraId="4AD3CD3C">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cs="Times New Roman" w:eastAsiaTheme="minorEastAsia"/>
                <w:color w:val="auto"/>
                <w:kern w:val="2"/>
                <w:sz w:val="20"/>
                <w:szCs w:val="20"/>
                <w:lang w:val="en-US" w:eastAsia="zh-CN" w:bidi="ar-SA"/>
              </w:rPr>
            </w:pPr>
            <w:r>
              <w:rPr>
                <w:rFonts w:hint="default" w:ascii="Times New Roman" w:hAnsi="Times New Roman" w:cs="Times New Roman"/>
                <w:color w:val="auto"/>
                <w:sz w:val="20"/>
                <w:szCs w:val="20"/>
                <w:lang w:val="en-US" w:eastAsia="zh-CN"/>
              </w:rPr>
              <w:t>#11</w:t>
            </w:r>
          </w:p>
        </w:tc>
        <w:tc>
          <w:tcPr>
            <w:tcW w:w="6775" w:type="dxa"/>
            <w:vAlign w:val="top"/>
          </w:tcPr>
          <w:p w14:paraId="768290ED">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eastAsia="宋体" w:cs="Times New Roman"/>
                <w:color w:val="auto"/>
                <w:sz w:val="20"/>
                <w:szCs w:val="20"/>
                <w:lang w:val="en-US" w:eastAsia="zh-CN"/>
              </w:rPr>
            </w:pPr>
            <w:r>
              <w:rPr>
                <w:rFonts w:hint="default" w:ascii="Times New Roman" w:hAnsi="Times New Roman" w:eastAsia="宋体" w:cs="Times New Roman"/>
                <w:color w:val="auto"/>
                <w:sz w:val="20"/>
                <w:szCs w:val="20"/>
                <w:lang w:val="en-US" w:eastAsia="zh-CN"/>
              </w:rPr>
              <w:t>(meditation OR meditative OR meditat* OR mindfulness OR mindful* OR "guided meditation" OR "mindfulness meditation" OR MBSR OR MBCT OR (body NEXT scan*) OR "breath awareness" OR "breathing awareness" OR (breathing NEXT exercise*) OR breathwork OR "mindful walking" OR "mindfulness-based" OR "mindfulness training" OR relaxation OR "relaxation training" OR "relaxation therapy" OR "guided relaxation" OR "meditative relaxation" OR "compassion meditation" OR "loving-kindness" OR "nature-based mindfulness" OR "mind-body" OR "mind body" OR (mind-body NEXT exercise*) OR (mind NEXT body NEXT exercise*) OR yoga OR "tai chi" OR "tai-chi" OR taichi OR "tai ji" OR taiji OR qigong OR "qi gong" OR Baduanjin OR "Ba Duan Jin" OR "Eight-section Brocades" OR "guided imagery" OR "guided visualization" OR "guided visualisation" OR "biofeedback-assisted" OR "biofeedback assisted" OR "heart rate variability biofeedback" OR "HRV biofeedback"):ti,ab,kw</w:t>
            </w:r>
          </w:p>
        </w:tc>
      </w:tr>
      <w:tr w14:paraId="3B81D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shd w:val="clear" w:color="auto" w:fill="auto"/>
            <w:vAlign w:val="top"/>
          </w:tcPr>
          <w:p w14:paraId="30FA0B0B">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cs="Times New Roman" w:eastAsiaTheme="minorEastAsia"/>
                <w:color w:val="auto"/>
                <w:kern w:val="2"/>
                <w:sz w:val="20"/>
                <w:szCs w:val="20"/>
                <w:lang w:val="en-US" w:eastAsia="zh-CN" w:bidi="ar-SA"/>
              </w:rPr>
            </w:pPr>
            <w:r>
              <w:rPr>
                <w:rFonts w:hint="default" w:ascii="Times New Roman" w:hAnsi="Times New Roman" w:cs="Times New Roman"/>
                <w:color w:val="auto"/>
                <w:sz w:val="20"/>
                <w:szCs w:val="20"/>
                <w:lang w:val="en-US" w:eastAsia="zh-CN"/>
              </w:rPr>
              <w:t>#12</w:t>
            </w:r>
          </w:p>
        </w:tc>
        <w:tc>
          <w:tcPr>
            <w:tcW w:w="6775" w:type="dxa"/>
            <w:vAlign w:val="top"/>
          </w:tcPr>
          <w:p w14:paraId="49B5CEE8">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eastAsia="宋体" w:cs="Times New Roman"/>
                <w:color w:val="auto"/>
                <w:sz w:val="20"/>
                <w:szCs w:val="20"/>
                <w:lang w:val="en-US" w:eastAsia="zh-CN"/>
              </w:rPr>
            </w:pPr>
            <w:r>
              <w:rPr>
                <w:rFonts w:hint="default" w:ascii="Times New Roman" w:hAnsi="Times New Roman" w:eastAsia="宋体" w:cs="Times New Roman"/>
                <w:color w:val="auto"/>
                <w:sz w:val="20"/>
                <w:szCs w:val="20"/>
                <w:lang w:val="en-US" w:eastAsia="zh-CN"/>
              </w:rPr>
              <w:t>#5 OR #6 OR #7 OR #8 OR #9 OR #10 OR #11</w:t>
            </w:r>
          </w:p>
        </w:tc>
      </w:tr>
      <w:tr w14:paraId="78E49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shd w:val="clear" w:color="auto" w:fill="auto"/>
            <w:vAlign w:val="top"/>
          </w:tcPr>
          <w:p w14:paraId="30DDAFE8">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cs="Times New Roman" w:eastAsiaTheme="minorEastAsia"/>
                <w:color w:val="auto"/>
                <w:kern w:val="2"/>
                <w:sz w:val="20"/>
                <w:szCs w:val="20"/>
                <w:lang w:val="en-US" w:eastAsia="zh-CN" w:bidi="ar-SA"/>
              </w:rPr>
            </w:pPr>
            <w:r>
              <w:rPr>
                <w:rFonts w:hint="default" w:ascii="Times New Roman" w:hAnsi="Times New Roman" w:cs="Times New Roman"/>
                <w:color w:val="auto"/>
                <w:sz w:val="20"/>
                <w:szCs w:val="20"/>
                <w:lang w:val="en-US" w:eastAsia="zh-CN"/>
              </w:rPr>
              <w:t>#13</w:t>
            </w:r>
          </w:p>
        </w:tc>
        <w:tc>
          <w:tcPr>
            <w:tcW w:w="6775" w:type="dxa"/>
            <w:vAlign w:val="top"/>
          </w:tcPr>
          <w:p w14:paraId="1BE4AD2C">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eastAsia="宋体" w:cs="Times New Roman"/>
                <w:color w:val="auto"/>
                <w:sz w:val="20"/>
                <w:szCs w:val="20"/>
                <w:lang w:val="en-US" w:eastAsia="zh-CN"/>
              </w:rPr>
            </w:pPr>
            <w:r>
              <w:rPr>
                <w:rFonts w:hint="default" w:ascii="Times New Roman" w:hAnsi="Times New Roman" w:eastAsia="宋体" w:cs="Times New Roman"/>
                <w:color w:val="auto"/>
                <w:sz w:val="20"/>
                <w:szCs w:val="20"/>
                <w:lang w:val="en-US" w:eastAsia="zh-CN"/>
              </w:rPr>
              <w:t>MeSH descriptor: [Virtual Reality] explode all trees</w:t>
            </w:r>
          </w:p>
        </w:tc>
      </w:tr>
      <w:tr w14:paraId="6F615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shd w:val="clear" w:color="auto" w:fill="auto"/>
            <w:vAlign w:val="top"/>
          </w:tcPr>
          <w:p w14:paraId="28FD8432">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cs="Times New Roman" w:eastAsiaTheme="minorEastAsia"/>
                <w:color w:val="auto"/>
                <w:kern w:val="2"/>
                <w:sz w:val="20"/>
                <w:szCs w:val="20"/>
                <w:lang w:val="en-US" w:eastAsia="zh-CN" w:bidi="ar-SA"/>
              </w:rPr>
            </w:pPr>
            <w:r>
              <w:rPr>
                <w:rFonts w:hint="default" w:ascii="Times New Roman" w:hAnsi="Times New Roman" w:cs="Times New Roman"/>
                <w:color w:val="auto"/>
                <w:sz w:val="20"/>
                <w:szCs w:val="20"/>
                <w:lang w:val="en-US" w:eastAsia="zh-CN"/>
              </w:rPr>
              <w:t>#14</w:t>
            </w:r>
          </w:p>
        </w:tc>
        <w:tc>
          <w:tcPr>
            <w:tcW w:w="6775" w:type="dxa"/>
            <w:vAlign w:val="top"/>
          </w:tcPr>
          <w:p w14:paraId="5D212562">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eastAsia="宋体" w:cs="Times New Roman"/>
                <w:color w:val="auto"/>
                <w:sz w:val="20"/>
                <w:szCs w:val="20"/>
                <w:lang w:val="en-US" w:eastAsia="zh-CN"/>
              </w:rPr>
            </w:pPr>
            <w:r>
              <w:rPr>
                <w:rFonts w:hint="default" w:ascii="Times New Roman" w:hAnsi="Times New Roman" w:eastAsia="宋体" w:cs="Times New Roman"/>
                <w:color w:val="auto"/>
                <w:sz w:val="20"/>
                <w:szCs w:val="20"/>
                <w:lang w:val="en-US" w:eastAsia="zh-CN"/>
              </w:rPr>
              <w:t>("virtual reality" OR VR OR "immersive virtual reality" OR "immersive VR" OR "non-immersive virtual reality" OR "nonimmersive virtual reality" OR (virtual NEXT environment*) OR (head-mounted NEXT display*) OR (head NEXT mounted NEXT display*) OR HMD OR CAVE OR "360-degree video" OR "360° video" OR "360 video" OR (three-dimensional NEXT virtual NEXT environment*) OR (3D NEXT virtual NEXT environment*)):ti,ab,kw</w:t>
            </w:r>
          </w:p>
        </w:tc>
      </w:tr>
      <w:tr w14:paraId="235B9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shd w:val="clear" w:color="auto" w:fill="auto"/>
            <w:vAlign w:val="top"/>
          </w:tcPr>
          <w:p w14:paraId="33903D62">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cs="Times New Roman" w:eastAsiaTheme="minorEastAsia"/>
                <w:color w:val="auto"/>
                <w:kern w:val="2"/>
                <w:sz w:val="20"/>
                <w:szCs w:val="20"/>
                <w:lang w:val="en-US" w:eastAsia="zh-CN" w:bidi="ar-SA"/>
              </w:rPr>
            </w:pPr>
            <w:r>
              <w:rPr>
                <w:rFonts w:hint="default" w:ascii="Times New Roman" w:hAnsi="Times New Roman" w:cs="Times New Roman"/>
                <w:color w:val="auto"/>
                <w:sz w:val="20"/>
                <w:szCs w:val="20"/>
                <w:lang w:val="en-US" w:eastAsia="zh-CN"/>
              </w:rPr>
              <w:t>#15</w:t>
            </w:r>
          </w:p>
        </w:tc>
        <w:tc>
          <w:tcPr>
            <w:tcW w:w="6775" w:type="dxa"/>
            <w:vAlign w:val="top"/>
          </w:tcPr>
          <w:p w14:paraId="755E6DED">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eastAsia="宋体" w:cs="Times New Roman"/>
                <w:color w:val="auto"/>
                <w:sz w:val="20"/>
                <w:szCs w:val="20"/>
                <w:lang w:val="en-US" w:eastAsia="zh-CN"/>
              </w:rPr>
            </w:pPr>
            <w:r>
              <w:rPr>
                <w:rFonts w:hint="default" w:ascii="Times New Roman" w:hAnsi="Times New Roman" w:eastAsia="宋体" w:cs="Times New Roman"/>
                <w:color w:val="auto"/>
                <w:sz w:val="20"/>
                <w:szCs w:val="20"/>
                <w:lang w:val="en-US" w:eastAsia="zh-CN"/>
              </w:rPr>
              <w:t>#13 OR #14</w:t>
            </w:r>
          </w:p>
        </w:tc>
      </w:tr>
      <w:tr w14:paraId="18D8A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2405C5AF">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cs="Times New Roman"/>
                <w:color w:val="auto"/>
                <w:sz w:val="20"/>
                <w:szCs w:val="20"/>
                <w:lang w:val="en-US" w:eastAsia="zh-CN"/>
              </w:rPr>
            </w:pPr>
            <w:r>
              <w:rPr>
                <w:rFonts w:hint="default" w:ascii="Times New Roman" w:hAnsi="Times New Roman" w:cs="Times New Roman"/>
                <w:color w:val="auto"/>
                <w:sz w:val="20"/>
                <w:szCs w:val="20"/>
                <w:lang w:val="en-US" w:eastAsia="zh-CN"/>
              </w:rPr>
              <w:t>#16</w:t>
            </w:r>
          </w:p>
        </w:tc>
        <w:tc>
          <w:tcPr>
            <w:tcW w:w="6775" w:type="dxa"/>
            <w:vAlign w:val="top"/>
          </w:tcPr>
          <w:p w14:paraId="49313C8D">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eastAsia="宋体" w:cs="Times New Roman"/>
                <w:color w:val="auto"/>
                <w:sz w:val="20"/>
                <w:szCs w:val="20"/>
                <w:lang w:val="en-US" w:eastAsia="zh-CN"/>
              </w:rPr>
            </w:pPr>
            <w:r>
              <w:rPr>
                <w:rFonts w:hint="default" w:ascii="Times New Roman" w:hAnsi="Times New Roman" w:eastAsia="宋体" w:cs="Times New Roman"/>
                <w:color w:val="auto"/>
                <w:sz w:val="20"/>
                <w:szCs w:val="20"/>
                <w:lang w:val="en-US" w:eastAsia="zh-CN"/>
              </w:rPr>
              <w:t>#4 AND #12 AND #15</w:t>
            </w:r>
          </w:p>
        </w:tc>
      </w:tr>
      <w:tr w14:paraId="7BEC4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0F5F6B9C">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cs="Times New Roman"/>
                <w:color w:val="auto"/>
                <w:sz w:val="20"/>
                <w:szCs w:val="20"/>
                <w:lang w:val="en-US" w:eastAsia="zh-CN"/>
              </w:rPr>
            </w:pPr>
            <w:r>
              <w:rPr>
                <w:rFonts w:hint="default" w:ascii="Times New Roman" w:hAnsi="Times New Roman" w:cs="Times New Roman"/>
                <w:color w:val="auto"/>
                <w:sz w:val="20"/>
                <w:szCs w:val="20"/>
                <w:lang w:val="en-US" w:eastAsia="zh-CN"/>
              </w:rPr>
              <w:t>Records retrieved</w:t>
            </w:r>
          </w:p>
        </w:tc>
        <w:tc>
          <w:tcPr>
            <w:tcW w:w="6775" w:type="dxa"/>
            <w:vAlign w:val="top"/>
          </w:tcPr>
          <w:p w14:paraId="329AC4EE">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eastAsia="宋体" w:cs="Times New Roman"/>
                <w:color w:val="auto"/>
                <w:sz w:val="20"/>
                <w:szCs w:val="20"/>
                <w:lang w:val="en-US" w:eastAsia="zh-CN"/>
              </w:rPr>
            </w:pPr>
            <w:r>
              <w:rPr>
                <w:rFonts w:hint="default" w:ascii="Times New Roman" w:hAnsi="Times New Roman" w:eastAsia="宋体" w:cs="Times New Roman"/>
                <w:color w:val="auto"/>
                <w:sz w:val="20"/>
                <w:szCs w:val="20"/>
                <w:lang w:val="en-US" w:eastAsia="zh-CN"/>
              </w:rPr>
              <w:t>357</w:t>
            </w:r>
          </w:p>
        </w:tc>
      </w:tr>
    </w:tbl>
    <w:p w14:paraId="36F2D1BB">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b w:val="0"/>
          <w:bCs w:val="0"/>
          <w:i w:val="0"/>
          <w:iCs w:val="0"/>
          <w:caps w:val="0"/>
          <w:color w:val="202020"/>
          <w:spacing w:val="0"/>
          <w:kern w:val="0"/>
          <w:sz w:val="24"/>
          <w:szCs w:val="24"/>
          <w:shd w:val="clear" w:color="auto" w:fill="FFFFFF"/>
          <w:lang w:val="en-US" w:eastAsia="zh-CN" w:bidi="ar"/>
        </w:rPr>
      </w:pPr>
      <w:r>
        <w:rPr>
          <w:rFonts w:hint="default" w:ascii="Times New Roman" w:hAnsi="Times New Roman" w:eastAsia="HYSinMyeongJo-Medium" w:cs="Times New Roman"/>
          <w:b/>
          <w:bCs/>
          <w:sz w:val="24"/>
          <w:szCs w:val="24"/>
        </w:rPr>
        <w:t xml:space="preserve">Table </w:t>
      </w:r>
      <w:r>
        <w:rPr>
          <w:rFonts w:hint="default" w:ascii="Times New Roman" w:hAnsi="Times New Roman" w:eastAsia="宋体" w:cs="Times New Roman"/>
          <w:b/>
          <w:bCs/>
          <w:sz w:val="24"/>
          <w:szCs w:val="24"/>
          <w:lang w:val="en-US" w:eastAsia="zh-CN"/>
        </w:rPr>
        <w:t>S</w:t>
      </w:r>
      <w:r>
        <w:rPr>
          <w:rFonts w:hint="eastAsia" w:ascii="Times New Roman" w:hAnsi="Times New Roman" w:eastAsia="宋体" w:cs="Times New Roman"/>
          <w:b/>
          <w:bCs/>
          <w:sz w:val="24"/>
          <w:szCs w:val="24"/>
          <w:lang w:val="en-US" w:eastAsia="zh-CN"/>
        </w:rPr>
        <w:t>8.</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HYSinMyeongJo-Medium" w:cs="Times New Roman"/>
          <w:sz w:val="24"/>
          <w:szCs w:val="24"/>
        </w:rPr>
        <w:t xml:space="preserve">Search strategy for </w:t>
      </w:r>
      <w:r>
        <w:rPr>
          <w:rFonts w:hint="eastAsia" w:ascii="Times New Roman" w:hAnsi="Times New Roman" w:eastAsia="宋体" w:cs="Times New Roman"/>
          <w:sz w:val="24"/>
          <w:szCs w:val="24"/>
          <w:lang w:val="en-US" w:eastAsia="zh-CN"/>
        </w:rPr>
        <w:t xml:space="preserve">APA </w:t>
      </w:r>
      <w:r>
        <w:rPr>
          <w:rFonts w:hint="default" w:ascii="Times New Roman" w:hAnsi="Times New Roman" w:cs="Times New Roman"/>
          <w:b w:val="0"/>
          <w:bCs w:val="0"/>
          <w:i w:val="0"/>
          <w:iCs w:val="0"/>
          <w:caps w:val="0"/>
          <w:color w:val="202020"/>
          <w:spacing w:val="0"/>
          <w:kern w:val="0"/>
          <w:sz w:val="24"/>
          <w:szCs w:val="24"/>
          <w:shd w:val="clear" w:color="auto" w:fill="FFFFFF"/>
          <w:lang w:val="en-US" w:eastAsia="zh-CN" w:bidi="ar"/>
        </w:rPr>
        <w:t>PsycINFO</w:t>
      </w:r>
      <w:r>
        <w:rPr>
          <w:rFonts w:hint="eastAsia" w:ascii="Times New Roman" w:hAnsi="Times New Roman" w:cs="Times New Roman"/>
          <w:b w:val="0"/>
          <w:bCs w:val="0"/>
          <w:i w:val="0"/>
          <w:iCs w:val="0"/>
          <w:caps w:val="0"/>
          <w:color w:val="202020"/>
          <w:spacing w:val="0"/>
          <w:kern w:val="0"/>
          <w:sz w:val="24"/>
          <w:szCs w:val="24"/>
          <w:shd w:val="clear" w:color="auto" w:fill="FFFFFF"/>
          <w:lang w:val="en-US" w:eastAsia="zh-CN" w:bidi="ar"/>
        </w:rPr>
        <w:t xml:space="preserve"> via EBSCOhost</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7"/>
        <w:gridCol w:w="6775"/>
      </w:tblGrid>
      <w:tr w14:paraId="4F196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jc w:val="center"/>
        </w:trPr>
        <w:tc>
          <w:tcPr>
            <w:tcW w:w="1747" w:type="dxa"/>
            <w:shd w:val="clear" w:color="auto" w:fill="auto"/>
            <w:vAlign w:val="top"/>
          </w:tcPr>
          <w:p w14:paraId="11BB7A58">
            <w:pPr>
              <w:pageBreakBefore w:val="0"/>
              <w:kinsoku/>
              <w:wordWrap/>
              <w:overflowPunct/>
              <w:topLinePunct w:val="0"/>
              <w:autoSpaceDE/>
              <w:autoSpaceDN/>
              <w:bidi w:val="0"/>
              <w:adjustRightInd/>
              <w:snapToGrid/>
              <w:spacing w:beforeAutospacing="0" w:afterAutospacing="0" w:line="240" w:lineRule="auto"/>
              <w:jc w:val="both"/>
              <w:outlineLvl w:val="9"/>
              <w:rPr>
                <w:rFonts w:hint="default" w:ascii="Times New Roman" w:hAnsi="Times New Roman" w:cs="Times New Roman" w:eastAsiaTheme="minorEastAsia"/>
                <w:b w:val="0"/>
                <w:bCs/>
                <w:color w:val="auto"/>
                <w:kern w:val="2"/>
                <w:sz w:val="21"/>
                <w:szCs w:val="21"/>
                <w:shd w:val="clear" w:color="auto" w:fill="FFFFFF"/>
                <w:lang w:val="en-US" w:eastAsia="zh-CN" w:bidi="ar-SA"/>
              </w:rPr>
            </w:pPr>
            <w:r>
              <w:rPr>
                <w:rFonts w:hint="default" w:ascii="Times New Roman" w:hAnsi="Times New Roman" w:cs="Times New Roman"/>
                <w:b w:val="0"/>
                <w:bCs/>
                <w:color w:val="auto"/>
                <w:sz w:val="21"/>
                <w:szCs w:val="21"/>
                <w:shd w:val="clear" w:color="auto" w:fill="FFFFFF"/>
                <w:lang w:val="en-US" w:eastAsia="zh-CN"/>
              </w:rPr>
              <w:t>Search number</w:t>
            </w:r>
          </w:p>
        </w:tc>
        <w:tc>
          <w:tcPr>
            <w:tcW w:w="6775" w:type="dxa"/>
            <w:shd w:val="clear" w:color="auto" w:fill="auto"/>
            <w:vAlign w:val="top"/>
          </w:tcPr>
          <w:p w14:paraId="5DD4D852">
            <w:pPr>
              <w:pageBreakBefore w:val="0"/>
              <w:kinsoku/>
              <w:wordWrap/>
              <w:overflowPunct/>
              <w:topLinePunct w:val="0"/>
              <w:autoSpaceDE/>
              <w:autoSpaceDN/>
              <w:bidi w:val="0"/>
              <w:adjustRightInd/>
              <w:snapToGrid/>
              <w:spacing w:beforeAutospacing="0" w:afterAutospacing="0" w:line="240" w:lineRule="auto"/>
              <w:jc w:val="both"/>
              <w:outlineLvl w:val="9"/>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Segoe UI" w:cs="Times New Roman"/>
                <w:b w:val="0"/>
                <w:bCs w:val="0"/>
                <w:color w:val="auto"/>
                <w:sz w:val="21"/>
                <w:szCs w:val="21"/>
                <w:shd w:val="clear" w:color="auto" w:fill="FFFFFF"/>
                <w:lang w:val="en-US" w:eastAsia="zh-CN"/>
              </w:rPr>
              <w:t>Query</w:t>
            </w:r>
          </w:p>
        </w:tc>
      </w:tr>
      <w:tr w14:paraId="1C3A3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2E613575">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cs="Times New Roman"/>
                <w:b w:val="0"/>
                <w:bCs/>
                <w:color w:val="auto"/>
                <w:sz w:val="21"/>
                <w:szCs w:val="21"/>
                <w:shd w:val="clear" w:color="auto" w:fill="FFFFFF"/>
                <w:lang w:val="en-US" w:eastAsia="zh-CN"/>
              </w:rPr>
            </w:pPr>
            <w:r>
              <w:rPr>
                <w:rFonts w:hint="default" w:ascii="Times New Roman" w:hAnsi="Times New Roman" w:cs="Times New Roman"/>
                <w:color w:val="auto"/>
                <w:sz w:val="21"/>
                <w:szCs w:val="21"/>
              </w:rPr>
              <w:t>#1</w:t>
            </w:r>
          </w:p>
        </w:tc>
        <w:tc>
          <w:tcPr>
            <w:tcW w:w="6775" w:type="dxa"/>
            <w:vAlign w:val="top"/>
          </w:tcPr>
          <w:p w14:paraId="28E0E527">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eastAsia="Segoe UI" w:cs="Times New Roman"/>
                <w:b w:val="0"/>
                <w:bCs w:val="0"/>
                <w:color w:val="auto"/>
                <w:sz w:val="21"/>
                <w:szCs w:val="21"/>
                <w:shd w:val="clear" w:color="auto" w:fill="FFFFFF"/>
                <w:lang w:val="en-US" w:eastAsia="zh-CN"/>
              </w:rPr>
            </w:pPr>
            <w:r>
              <w:rPr>
                <w:rFonts w:hint="default" w:ascii="Times New Roman" w:hAnsi="Times New Roman" w:eastAsia="等线" w:cs="Times New Roman"/>
                <w:bCs w:val="0"/>
                <w:color w:val="auto"/>
                <w:sz w:val="21"/>
                <w:szCs w:val="21"/>
                <w:lang w:val="en-US" w:eastAsia="zh-CN" w:bidi="ar-SA"/>
              </w:rPr>
              <w:t>XB=(</w:t>
            </w:r>
            <w:r>
              <w:rPr>
                <w:rFonts w:hint="default" w:ascii="Times New Roman" w:hAnsi="Times New Roman" w:eastAsia="等线" w:cs="Times New Roman"/>
                <w:color w:val="auto"/>
                <w:sz w:val="21"/>
                <w:szCs w:val="21"/>
              </w:rPr>
              <w:t>Aged OR "Aged, 80 and over" OR "middle aged" OR "older adult*" OR elderly OR geriatric* OR senior* OR "older person*" OR "older people" OR "older population*" OR "aging population*" OR "ageing population*" OR "older individual*" OR "older patient*" OR "older participant*" OR "middle age" OR "middle-age" OR "middle-aged"</w:t>
            </w:r>
            <w:r>
              <w:rPr>
                <w:rFonts w:hint="default" w:ascii="Times New Roman" w:hAnsi="Times New Roman" w:eastAsia="等线" w:cs="Times New Roman"/>
                <w:bCs w:val="0"/>
                <w:color w:val="auto"/>
                <w:sz w:val="21"/>
                <w:szCs w:val="21"/>
                <w:lang w:val="en-US" w:eastAsia="zh-CN" w:bidi="ar-SA"/>
              </w:rPr>
              <w:t>)</w:t>
            </w:r>
          </w:p>
        </w:tc>
      </w:tr>
      <w:tr w14:paraId="20FE0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1A01FC1B">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cs="Times New Roman"/>
                <w:b w:val="0"/>
                <w:bCs/>
                <w:color w:val="auto"/>
                <w:sz w:val="21"/>
                <w:szCs w:val="21"/>
                <w:shd w:val="clear" w:color="auto" w:fill="FFFFFF"/>
                <w:lang w:val="en-US" w:eastAsia="zh-CN"/>
              </w:rPr>
            </w:pPr>
            <w:r>
              <w:rPr>
                <w:rFonts w:hint="default" w:ascii="Times New Roman" w:hAnsi="Times New Roman" w:cs="Times New Roman"/>
                <w:color w:val="auto"/>
                <w:sz w:val="21"/>
                <w:szCs w:val="21"/>
              </w:rPr>
              <w:t>#2</w:t>
            </w:r>
          </w:p>
        </w:tc>
        <w:tc>
          <w:tcPr>
            <w:tcW w:w="6775" w:type="dxa"/>
            <w:vAlign w:val="top"/>
          </w:tcPr>
          <w:p w14:paraId="305FC2ED">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eastAsia="Segoe UI" w:cs="Times New Roman"/>
                <w:b w:val="0"/>
                <w:bCs w:val="0"/>
                <w:color w:val="auto"/>
                <w:sz w:val="21"/>
                <w:szCs w:val="21"/>
                <w:shd w:val="clear" w:color="auto" w:fill="FFFFFF"/>
                <w:lang w:val="en-US" w:eastAsia="zh-CN"/>
              </w:rPr>
            </w:pPr>
            <w:r>
              <w:rPr>
                <w:rFonts w:hint="default" w:ascii="Times New Roman" w:hAnsi="Times New Roman" w:eastAsia="楷体" w:cs="Times New Roman"/>
                <w:b w:val="0"/>
                <w:bCs w:val="0"/>
                <w:color w:val="auto"/>
                <w:sz w:val="21"/>
                <w:szCs w:val="21"/>
                <w:lang w:val="en-US" w:eastAsia="zh-CN"/>
              </w:rPr>
              <w:t>XB=(</w:t>
            </w:r>
            <w:r>
              <w:rPr>
                <w:rFonts w:hint="default" w:ascii="Times New Roman" w:hAnsi="Times New Roman" w:eastAsia="楷体" w:cs="Times New Roman"/>
                <w:color w:val="auto"/>
                <w:sz w:val="21"/>
                <w:szCs w:val="21"/>
              </w:rPr>
              <w:t>meditation OR meditative OR meditat* OR mindfulness OR mindful* OR "guided meditation" OR "mindfulness meditation" OR MBSR OR MBCT OR "body scan*" OR "breath awareness" OR "breathing awareness" OR "breathing exercise*" OR breathwork OR "mindful walking" OR "mindfulness-based" OR "mindfulness training" OR relaxation OR "relaxation training" OR "relaxation therapy" OR "guided relaxation" OR "meditative relaxation" OR "compassion meditation" OR "loving-kindness" OR "nature-based mindfulness" OR "mind-body" OR "mind body" OR "mind-body exercise*" OR "mind body exercise*" OR yoga OR "tai chi" OR "tai-chi" OR taichi OR "tai ji" OR taiji OR qigong OR "qi gong" OR Baduanjin OR "Ba Duan Jin" OR "Eight-section Brocades" OR "guided imagery" OR "guided visualization" OR "guided visualisation" OR "biofeedback-assisted" OR "biofeedback assisted" OR "heart rate variability biofeedback" OR "HRV biofeedback"</w:t>
            </w:r>
            <w:r>
              <w:rPr>
                <w:rFonts w:hint="default" w:ascii="Times New Roman" w:hAnsi="Times New Roman" w:eastAsia="楷体" w:cs="Times New Roman"/>
                <w:b w:val="0"/>
                <w:bCs w:val="0"/>
                <w:color w:val="auto"/>
                <w:sz w:val="21"/>
                <w:szCs w:val="21"/>
                <w:lang w:val="en-US" w:eastAsia="zh-CN"/>
              </w:rPr>
              <w:t>)</w:t>
            </w:r>
          </w:p>
        </w:tc>
      </w:tr>
      <w:tr w14:paraId="4FAB6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7994C0C5">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cs="Times New Roman"/>
                <w:b w:val="0"/>
                <w:bCs/>
                <w:color w:val="auto"/>
                <w:sz w:val="21"/>
                <w:szCs w:val="21"/>
                <w:shd w:val="clear" w:color="auto" w:fill="FFFFFF"/>
                <w:lang w:val="en-US" w:eastAsia="zh-CN"/>
              </w:rPr>
            </w:pPr>
            <w:r>
              <w:rPr>
                <w:rFonts w:hint="default" w:ascii="Times New Roman" w:hAnsi="Times New Roman" w:cs="Times New Roman"/>
                <w:color w:val="auto"/>
                <w:sz w:val="21"/>
                <w:szCs w:val="21"/>
              </w:rPr>
              <w:t>#3</w:t>
            </w:r>
          </w:p>
        </w:tc>
        <w:tc>
          <w:tcPr>
            <w:tcW w:w="6775" w:type="dxa"/>
            <w:vAlign w:val="top"/>
          </w:tcPr>
          <w:p w14:paraId="46DD43F9">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eastAsia="Segoe UI" w:cs="Times New Roman"/>
                <w:b w:val="0"/>
                <w:bCs w:val="0"/>
                <w:color w:val="auto"/>
                <w:sz w:val="21"/>
                <w:szCs w:val="21"/>
                <w:shd w:val="clear" w:color="auto" w:fill="FFFFFF"/>
                <w:lang w:val="en-US" w:eastAsia="zh-CN"/>
              </w:rPr>
            </w:pPr>
            <w:r>
              <w:rPr>
                <w:rFonts w:hint="default" w:ascii="Times New Roman" w:hAnsi="Times New Roman" w:eastAsia="等线" w:cs="Times New Roman"/>
                <w:bCs w:val="0"/>
                <w:color w:val="auto"/>
                <w:sz w:val="21"/>
                <w:szCs w:val="21"/>
              </w:rPr>
              <w:t>XB=("virtual reality" OR VR OR "immersive virtual reality" OR "immersive VR" OR "non-immersive virtual reality" OR "nonimmersive virtual reality" OR "virtual environment*" OR "head-mounted display*" OR "head mounted display*" OR HMD OR CAVE OR "360-degree video" OR "360° video" OR "360 video" OR "three-dimensional virtual environment*" OR "3D virtual environment*")</w:t>
            </w:r>
          </w:p>
        </w:tc>
      </w:tr>
      <w:tr w14:paraId="19A24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0CBB5CF6">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cs="Times New Roman" w:eastAsiaTheme="minorEastAsia"/>
                <w:b w:val="0"/>
                <w:bCs/>
                <w:color w:val="auto"/>
                <w:sz w:val="21"/>
                <w:szCs w:val="21"/>
                <w:shd w:val="clear" w:color="auto" w:fill="FFFFFF"/>
                <w:lang w:val="en-US" w:eastAsia="zh-CN"/>
              </w:rPr>
            </w:pPr>
            <w:r>
              <w:rPr>
                <w:rFonts w:hint="default" w:ascii="Times New Roman" w:hAnsi="Times New Roman" w:cs="Times New Roman"/>
                <w:color w:val="auto"/>
                <w:sz w:val="21"/>
                <w:szCs w:val="21"/>
              </w:rPr>
              <w:t>#</w:t>
            </w:r>
            <w:r>
              <w:rPr>
                <w:rFonts w:hint="eastAsia" w:ascii="Times New Roman" w:hAnsi="Times New Roman" w:cs="Times New Roman"/>
                <w:color w:val="auto"/>
                <w:sz w:val="21"/>
                <w:szCs w:val="21"/>
                <w:lang w:val="en-US" w:eastAsia="zh-CN"/>
              </w:rPr>
              <w:t>4</w:t>
            </w:r>
          </w:p>
        </w:tc>
        <w:tc>
          <w:tcPr>
            <w:tcW w:w="6775" w:type="dxa"/>
            <w:vAlign w:val="top"/>
          </w:tcPr>
          <w:p w14:paraId="36004FDB">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eastAsia="Segoe UI" w:cs="Times New Roman"/>
                <w:b w:val="0"/>
                <w:bCs w:val="0"/>
                <w:color w:val="auto"/>
                <w:sz w:val="21"/>
                <w:szCs w:val="21"/>
                <w:shd w:val="clear" w:color="auto" w:fill="FFFFFF"/>
                <w:lang w:val="en-US" w:eastAsia="zh-CN"/>
              </w:rPr>
            </w:pPr>
            <w:r>
              <w:rPr>
                <w:rFonts w:hint="eastAsia" w:ascii="Times New Roman" w:hAnsi="Times New Roman" w:eastAsia="等线" w:cs="Times New Roman"/>
                <w:bCs w:val="0"/>
                <w:color w:val="auto"/>
                <w:sz w:val="21"/>
                <w:szCs w:val="21"/>
                <w:lang w:val="en-US" w:eastAsia="zh-CN" w:bidi="ar-SA"/>
              </w:rPr>
              <w:t>#1 AND #2 AND #3</w:t>
            </w:r>
          </w:p>
        </w:tc>
      </w:tr>
      <w:tr w14:paraId="02C59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35EA8680">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color w:val="auto"/>
                <w:sz w:val="21"/>
                <w:szCs w:val="21"/>
                <w:lang w:val="en-US" w:eastAsia="zh-CN"/>
              </w:rPr>
              <w:t>Records retrieved</w:t>
            </w:r>
          </w:p>
        </w:tc>
        <w:tc>
          <w:tcPr>
            <w:tcW w:w="6775" w:type="dxa"/>
            <w:vAlign w:val="top"/>
          </w:tcPr>
          <w:p w14:paraId="5DA45780">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eastAsia="等线" w:cs="Times New Roman"/>
                <w:bCs w:val="0"/>
                <w:color w:val="auto"/>
                <w:sz w:val="21"/>
                <w:szCs w:val="21"/>
                <w:lang w:val="en-US" w:eastAsia="zh-CN" w:bidi="ar-SA"/>
              </w:rPr>
            </w:pPr>
            <w:r>
              <w:rPr>
                <w:rFonts w:hint="eastAsia" w:ascii="Times New Roman" w:hAnsi="Times New Roman" w:eastAsia="等线" w:cs="Times New Roman"/>
                <w:bCs w:val="0"/>
                <w:color w:val="auto"/>
                <w:sz w:val="21"/>
                <w:szCs w:val="21"/>
                <w:lang w:val="en-US" w:eastAsia="zh-CN" w:bidi="ar-SA"/>
              </w:rPr>
              <w:t>43</w:t>
            </w:r>
          </w:p>
        </w:tc>
      </w:tr>
    </w:tbl>
    <w:p w14:paraId="7F6706E5">
      <w:pPr>
        <w:rPr>
          <w:rFonts w:hint="default" w:ascii="Times New Roman" w:hAnsi="Times New Roman" w:cs="Times New Roman"/>
          <w:b w:val="0"/>
          <w:bCs w:val="0"/>
          <w:i w:val="0"/>
          <w:iCs w:val="0"/>
          <w:caps w:val="0"/>
          <w:color w:val="202020"/>
          <w:spacing w:val="0"/>
          <w:kern w:val="0"/>
          <w:sz w:val="24"/>
          <w:szCs w:val="24"/>
          <w:shd w:val="clear" w:color="auto" w:fill="FFFFFF"/>
          <w:lang w:val="en-US" w:eastAsia="zh-CN" w:bidi="ar"/>
        </w:rPr>
      </w:pPr>
    </w:p>
    <w:p w14:paraId="09DA1324">
      <w:pPr>
        <w:rPr>
          <w:rFonts w:hint="default" w:ascii="Times New Roman" w:hAnsi="Times New Roman" w:cs="Times New Roman"/>
          <w:b w:val="0"/>
          <w:bCs w:val="0"/>
          <w:i w:val="0"/>
          <w:iCs w:val="0"/>
          <w:caps w:val="0"/>
          <w:color w:val="202020"/>
          <w:spacing w:val="0"/>
          <w:kern w:val="0"/>
          <w:sz w:val="24"/>
          <w:szCs w:val="24"/>
          <w:shd w:val="clear" w:color="auto" w:fill="FFFFFF"/>
          <w:lang w:val="en-US" w:eastAsia="zh-CN" w:bidi="ar"/>
        </w:rPr>
      </w:pPr>
    </w:p>
    <w:p w14:paraId="1DA49715">
      <w:pPr>
        <w:rPr>
          <w:rFonts w:hint="default" w:ascii="Times New Roman" w:hAnsi="Times New Roman" w:cs="Times New Roman"/>
          <w:b w:val="0"/>
          <w:bCs w:val="0"/>
          <w:i w:val="0"/>
          <w:iCs w:val="0"/>
          <w:caps w:val="0"/>
          <w:color w:val="202020"/>
          <w:spacing w:val="0"/>
          <w:kern w:val="0"/>
          <w:sz w:val="24"/>
          <w:szCs w:val="24"/>
          <w:shd w:val="clear" w:color="auto" w:fill="FFFFFF"/>
          <w:lang w:val="en-US" w:eastAsia="zh-CN" w:bidi="ar"/>
        </w:rPr>
      </w:pPr>
    </w:p>
    <w:p w14:paraId="72644616">
      <w:pPr>
        <w:rPr>
          <w:rFonts w:hint="default" w:ascii="Times New Roman" w:hAnsi="Times New Roman" w:cs="Times New Roman"/>
          <w:b w:val="0"/>
          <w:bCs w:val="0"/>
          <w:i w:val="0"/>
          <w:iCs w:val="0"/>
          <w:caps w:val="0"/>
          <w:color w:val="202020"/>
          <w:spacing w:val="0"/>
          <w:kern w:val="0"/>
          <w:sz w:val="24"/>
          <w:szCs w:val="24"/>
          <w:shd w:val="clear" w:color="auto" w:fill="FFFFFF"/>
          <w:lang w:val="en-US" w:eastAsia="zh-CN" w:bidi="ar"/>
        </w:rPr>
      </w:pPr>
    </w:p>
    <w:p w14:paraId="10D13650">
      <w:pPr>
        <w:rPr>
          <w:rFonts w:hint="default" w:ascii="Times New Roman" w:hAnsi="Times New Roman" w:cs="Times New Roman"/>
          <w:b w:val="0"/>
          <w:bCs w:val="0"/>
          <w:i w:val="0"/>
          <w:iCs w:val="0"/>
          <w:caps w:val="0"/>
          <w:color w:val="202020"/>
          <w:spacing w:val="0"/>
          <w:kern w:val="0"/>
          <w:sz w:val="24"/>
          <w:szCs w:val="24"/>
          <w:shd w:val="clear" w:color="auto" w:fill="FFFFFF"/>
          <w:lang w:val="en-US" w:eastAsia="zh-CN" w:bidi="ar"/>
        </w:rPr>
      </w:pPr>
    </w:p>
    <w:p w14:paraId="463537CE">
      <w:pPr>
        <w:rPr>
          <w:rFonts w:hint="default" w:ascii="Times New Roman" w:hAnsi="Times New Roman" w:cs="Times New Roman"/>
          <w:b w:val="0"/>
          <w:bCs w:val="0"/>
          <w:i w:val="0"/>
          <w:iCs w:val="0"/>
          <w:caps w:val="0"/>
          <w:color w:val="202020"/>
          <w:spacing w:val="0"/>
          <w:kern w:val="0"/>
          <w:sz w:val="24"/>
          <w:szCs w:val="24"/>
          <w:shd w:val="clear" w:color="auto" w:fill="FFFFFF"/>
          <w:lang w:val="en-US" w:eastAsia="zh-CN" w:bidi="ar"/>
        </w:rPr>
      </w:pPr>
    </w:p>
    <w:p w14:paraId="1768E282">
      <w:pPr>
        <w:rPr>
          <w:rFonts w:hint="default" w:ascii="Times New Roman" w:hAnsi="Times New Roman" w:cs="Times New Roman"/>
          <w:b w:val="0"/>
          <w:bCs w:val="0"/>
          <w:i w:val="0"/>
          <w:iCs w:val="0"/>
          <w:caps w:val="0"/>
          <w:color w:val="202020"/>
          <w:spacing w:val="0"/>
          <w:kern w:val="0"/>
          <w:sz w:val="24"/>
          <w:szCs w:val="24"/>
          <w:shd w:val="clear" w:color="auto" w:fill="FFFFFF"/>
          <w:lang w:val="en-US" w:eastAsia="zh-CN" w:bidi="ar"/>
        </w:rPr>
      </w:pPr>
    </w:p>
    <w:p w14:paraId="3452029C">
      <w:pPr>
        <w:rPr>
          <w:rFonts w:hint="default" w:ascii="Times New Roman" w:hAnsi="Times New Roman" w:cs="Times New Roman"/>
          <w:b w:val="0"/>
          <w:bCs w:val="0"/>
          <w:i w:val="0"/>
          <w:iCs w:val="0"/>
          <w:caps w:val="0"/>
          <w:color w:val="202020"/>
          <w:spacing w:val="0"/>
          <w:kern w:val="0"/>
          <w:sz w:val="24"/>
          <w:szCs w:val="24"/>
          <w:shd w:val="clear" w:color="auto" w:fill="FFFFFF"/>
          <w:lang w:val="en-US" w:eastAsia="zh-CN" w:bidi="ar"/>
        </w:rPr>
      </w:pPr>
    </w:p>
    <w:p w14:paraId="34066AE6">
      <w:pPr>
        <w:rPr>
          <w:rFonts w:hint="default" w:ascii="Times New Roman" w:hAnsi="Times New Roman" w:cs="Times New Roman"/>
          <w:b w:val="0"/>
          <w:bCs w:val="0"/>
          <w:i w:val="0"/>
          <w:iCs w:val="0"/>
          <w:caps w:val="0"/>
          <w:color w:val="202020"/>
          <w:spacing w:val="0"/>
          <w:kern w:val="0"/>
          <w:sz w:val="24"/>
          <w:szCs w:val="24"/>
          <w:shd w:val="clear" w:color="auto" w:fill="FFFFFF"/>
          <w:lang w:val="en-US" w:eastAsia="zh-CN" w:bidi="ar"/>
        </w:rPr>
      </w:pPr>
    </w:p>
    <w:p w14:paraId="3320618C">
      <w:pPr>
        <w:rPr>
          <w:rFonts w:hint="default" w:ascii="Times New Roman" w:hAnsi="Times New Roman" w:cs="Times New Roman"/>
          <w:b w:val="0"/>
          <w:bCs w:val="0"/>
          <w:i w:val="0"/>
          <w:iCs w:val="0"/>
          <w:caps w:val="0"/>
          <w:color w:val="202020"/>
          <w:spacing w:val="0"/>
          <w:kern w:val="0"/>
          <w:sz w:val="24"/>
          <w:szCs w:val="24"/>
          <w:shd w:val="clear" w:color="auto" w:fill="FFFFFF"/>
          <w:lang w:val="en-US" w:eastAsia="zh-CN" w:bidi="ar"/>
        </w:rPr>
      </w:pPr>
    </w:p>
    <w:p w14:paraId="37B46DE6">
      <w:pPr>
        <w:rPr>
          <w:rFonts w:hint="default" w:ascii="Times New Roman" w:hAnsi="Times New Roman" w:cs="Times New Roman"/>
          <w:b w:val="0"/>
          <w:bCs w:val="0"/>
          <w:i w:val="0"/>
          <w:iCs w:val="0"/>
          <w:caps w:val="0"/>
          <w:color w:val="202020"/>
          <w:spacing w:val="0"/>
          <w:kern w:val="0"/>
          <w:sz w:val="24"/>
          <w:szCs w:val="24"/>
          <w:shd w:val="clear" w:color="auto" w:fill="FFFFFF"/>
          <w:lang w:val="en-US" w:eastAsia="zh-CN" w:bidi="ar"/>
        </w:rPr>
      </w:pPr>
    </w:p>
    <w:p w14:paraId="046AC873">
      <w:pPr>
        <w:rPr>
          <w:rFonts w:hint="default" w:ascii="Times New Roman" w:hAnsi="Times New Roman" w:cs="Times New Roman"/>
          <w:b w:val="0"/>
          <w:bCs w:val="0"/>
          <w:i w:val="0"/>
          <w:iCs w:val="0"/>
          <w:caps w:val="0"/>
          <w:color w:val="202020"/>
          <w:spacing w:val="0"/>
          <w:kern w:val="0"/>
          <w:sz w:val="24"/>
          <w:szCs w:val="24"/>
          <w:shd w:val="clear" w:color="auto" w:fill="FFFFFF"/>
          <w:lang w:val="en-US" w:eastAsia="zh-CN" w:bidi="ar"/>
        </w:rPr>
      </w:pPr>
    </w:p>
    <w:p w14:paraId="39E07B2F">
      <w:pPr>
        <w:rPr>
          <w:rFonts w:hint="default" w:ascii="Times New Roman" w:hAnsi="Times New Roman" w:cs="Times New Roman"/>
          <w:b w:val="0"/>
          <w:bCs w:val="0"/>
          <w:i w:val="0"/>
          <w:iCs w:val="0"/>
          <w:caps w:val="0"/>
          <w:color w:val="202020"/>
          <w:spacing w:val="0"/>
          <w:kern w:val="0"/>
          <w:sz w:val="24"/>
          <w:szCs w:val="24"/>
          <w:shd w:val="clear" w:color="auto" w:fill="FFFFFF"/>
          <w:lang w:val="en-US" w:eastAsia="zh-CN" w:bidi="ar"/>
        </w:rPr>
      </w:pPr>
    </w:p>
    <w:p w14:paraId="0F4B410E">
      <w:pPr>
        <w:rPr>
          <w:rFonts w:hint="default" w:ascii="Times New Roman" w:hAnsi="Times New Roman" w:cs="Times New Roman"/>
          <w:b w:val="0"/>
          <w:bCs w:val="0"/>
          <w:i w:val="0"/>
          <w:iCs w:val="0"/>
          <w:caps w:val="0"/>
          <w:color w:val="202020"/>
          <w:spacing w:val="0"/>
          <w:kern w:val="0"/>
          <w:sz w:val="24"/>
          <w:szCs w:val="24"/>
          <w:shd w:val="clear" w:color="auto" w:fill="FFFFFF"/>
          <w:lang w:val="en-US" w:eastAsia="zh-CN" w:bidi="ar"/>
        </w:rPr>
      </w:pPr>
    </w:p>
    <w:p w14:paraId="10EBC534">
      <w:pPr>
        <w:rPr>
          <w:rFonts w:hint="default" w:ascii="Times New Roman" w:hAnsi="Times New Roman" w:cs="Times New Roman"/>
          <w:b w:val="0"/>
          <w:bCs w:val="0"/>
          <w:i w:val="0"/>
          <w:iCs w:val="0"/>
          <w:caps w:val="0"/>
          <w:color w:val="202020"/>
          <w:spacing w:val="0"/>
          <w:kern w:val="0"/>
          <w:sz w:val="24"/>
          <w:szCs w:val="24"/>
          <w:shd w:val="clear" w:color="auto" w:fill="FFFFFF"/>
          <w:lang w:val="en-US" w:eastAsia="zh-CN" w:bidi="ar"/>
        </w:rPr>
      </w:pPr>
    </w:p>
    <w:p w14:paraId="092DDAC2">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b w:val="0"/>
          <w:bCs w:val="0"/>
          <w:i w:val="0"/>
          <w:iCs w:val="0"/>
          <w:caps w:val="0"/>
          <w:color w:val="202020"/>
          <w:spacing w:val="0"/>
          <w:kern w:val="0"/>
          <w:sz w:val="24"/>
          <w:szCs w:val="24"/>
          <w:shd w:val="clear" w:color="auto" w:fill="FFFFFF"/>
          <w:lang w:val="en-US" w:eastAsia="zh-CN" w:bidi="ar"/>
        </w:rPr>
      </w:pPr>
      <w:r>
        <w:rPr>
          <w:rFonts w:hint="default" w:ascii="Times New Roman" w:hAnsi="Times New Roman" w:eastAsia="HYSinMyeongJo-Medium" w:cs="Times New Roman"/>
          <w:b/>
          <w:bCs/>
          <w:sz w:val="24"/>
          <w:szCs w:val="24"/>
        </w:rPr>
        <w:t xml:space="preserve">Table </w:t>
      </w:r>
      <w:r>
        <w:rPr>
          <w:rFonts w:hint="default" w:ascii="Times New Roman" w:hAnsi="Times New Roman" w:eastAsia="宋体" w:cs="Times New Roman"/>
          <w:b/>
          <w:bCs/>
          <w:sz w:val="24"/>
          <w:szCs w:val="24"/>
          <w:lang w:val="en-US" w:eastAsia="zh-CN"/>
        </w:rPr>
        <w:t>S</w:t>
      </w:r>
      <w:r>
        <w:rPr>
          <w:rFonts w:hint="eastAsia" w:ascii="Times New Roman" w:hAnsi="Times New Roman" w:eastAsia="宋体" w:cs="Times New Roman"/>
          <w:b/>
          <w:bCs/>
          <w:sz w:val="24"/>
          <w:szCs w:val="24"/>
          <w:lang w:val="en-US" w:eastAsia="zh-CN"/>
        </w:rPr>
        <w:t>9.</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HYSinMyeongJo-Medium" w:cs="Times New Roman"/>
          <w:sz w:val="24"/>
          <w:szCs w:val="24"/>
        </w:rPr>
        <w:t xml:space="preserve">Search strategy for </w:t>
      </w:r>
      <w:r>
        <w:rPr>
          <w:rFonts w:hint="eastAsia" w:ascii="Times New Roman" w:hAnsi="Times New Roman" w:eastAsia="宋体" w:cs="Times New Roman"/>
          <w:sz w:val="24"/>
          <w:szCs w:val="24"/>
          <w:lang w:val="en-US" w:eastAsia="zh-CN"/>
        </w:rPr>
        <w:t>CINAHL via EBSCOhost</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7"/>
        <w:gridCol w:w="6775"/>
      </w:tblGrid>
      <w:tr w14:paraId="3C41E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shd w:val="clear" w:color="auto" w:fill="auto"/>
            <w:vAlign w:val="top"/>
          </w:tcPr>
          <w:p w14:paraId="72968F58">
            <w:pPr>
              <w:pageBreakBefore w:val="0"/>
              <w:kinsoku/>
              <w:wordWrap/>
              <w:overflowPunct/>
              <w:topLinePunct w:val="0"/>
              <w:autoSpaceDE/>
              <w:autoSpaceDN/>
              <w:bidi w:val="0"/>
              <w:adjustRightInd/>
              <w:snapToGrid/>
              <w:spacing w:beforeAutospacing="0" w:afterAutospacing="0" w:line="240" w:lineRule="auto"/>
              <w:jc w:val="both"/>
              <w:outlineLvl w:val="9"/>
              <w:rPr>
                <w:rFonts w:hint="default" w:ascii="Times New Roman" w:hAnsi="Times New Roman" w:cs="Times New Roman" w:eastAsiaTheme="minorEastAsia"/>
                <w:b w:val="0"/>
                <w:bCs/>
                <w:color w:val="auto"/>
                <w:kern w:val="2"/>
                <w:sz w:val="21"/>
                <w:szCs w:val="21"/>
                <w:shd w:val="clear" w:color="auto" w:fill="FFFFFF"/>
                <w:lang w:val="en-US" w:eastAsia="zh-CN" w:bidi="ar-SA"/>
              </w:rPr>
            </w:pPr>
            <w:r>
              <w:rPr>
                <w:rFonts w:hint="default" w:ascii="Times New Roman" w:hAnsi="Times New Roman" w:cs="Times New Roman"/>
                <w:b w:val="0"/>
                <w:bCs/>
                <w:color w:val="auto"/>
                <w:sz w:val="21"/>
                <w:szCs w:val="21"/>
                <w:shd w:val="clear" w:color="auto" w:fill="FFFFFF"/>
                <w:lang w:val="en-US" w:eastAsia="zh-CN"/>
              </w:rPr>
              <w:t>Search number</w:t>
            </w:r>
          </w:p>
        </w:tc>
        <w:tc>
          <w:tcPr>
            <w:tcW w:w="6775" w:type="dxa"/>
            <w:shd w:val="clear" w:color="auto" w:fill="auto"/>
            <w:vAlign w:val="top"/>
          </w:tcPr>
          <w:p w14:paraId="7FC2D3B4">
            <w:pPr>
              <w:pageBreakBefore w:val="0"/>
              <w:kinsoku/>
              <w:wordWrap/>
              <w:overflowPunct/>
              <w:topLinePunct w:val="0"/>
              <w:autoSpaceDE/>
              <w:autoSpaceDN/>
              <w:bidi w:val="0"/>
              <w:adjustRightInd/>
              <w:snapToGrid/>
              <w:spacing w:beforeAutospacing="0" w:afterAutospacing="0" w:line="240" w:lineRule="auto"/>
              <w:jc w:val="both"/>
              <w:outlineLvl w:val="9"/>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Segoe UI" w:cs="Times New Roman"/>
                <w:b w:val="0"/>
                <w:bCs w:val="0"/>
                <w:color w:val="auto"/>
                <w:sz w:val="21"/>
                <w:szCs w:val="21"/>
                <w:shd w:val="clear" w:color="auto" w:fill="FFFFFF"/>
                <w:lang w:val="en-US" w:eastAsia="zh-CN"/>
              </w:rPr>
              <w:t>Query</w:t>
            </w:r>
          </w:p>
        </w:tc>
      </w:tr>
      <w:tr w14:paraId="2648A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3117ECE4">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cs="Times New Roman"/>
                <w:b w:val="0"/>
                <w:bCs/>
                <w:color w:val="auto"/>
                <w:sz w:val="21"/>
                <w:szCs w:val="21"/>
                <w:shd w:val="clear" w:color="auto" w:fill="FFFFFF"/>
                <w:lang w:val="en-US" w:eastAsia="zh-CN"/>
              </w:rPr>
            </w:pPr>
            <w:r>
              <w:rPr>
                <w:rFonts w:hint="default" w:ascii="Times New Roman" w:hAnsi="Times New Roman" w:cs="Times New Roman"/>
                <w:color w:val="auto"/>
                <w:sz w:val="21"/>
                <w:szCs w:val="21"/>
              </w:rPr>
              <w:t>#1</w:t>
            </w:r>
          </w:p>
        </w:tc>
        <w:tc>
          <w:tcPr>
            <w:tcW w:w="6775" w:type="dxa"/>
            <w:vAlign w:val="top"/>
          </w:tcPr>
          <w:p w14:paraId="5D953F09">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eastAsia="Segoe UI" w:cs="Times New Roman"/>
                <w:b w:val="0"/>
                <w:bCs w:val="0"/>
                <w:color w:val="auto"/>
                <w:sz w:val="21"/>
                <w:szCs w:val="21"/>
                <w:shd w:val="clear" w:color="auto" w:fill="FFFFFF"/>
                <w:lang w:val="en-US" w:eastAsia="zh-CN"/>
              </w:rPr>
            </w:pPr>
            <w:r>
              <w:rPr>
                <w:rFonts w:hint="default" w:ascii="Times New Roman" w:hAnsi="Times New Roman" w:eastAsia="等线" w:cs="Times New Roman"/>
                <w:bCs w:val="0"/>
                <w:color w:val="auto"/>
                <w:sz w:val="21"/>
                <w:szCs w:val="21"/>
                <w:lang w:val="en-US" w:eastAsia="zh-CN" w:bidi="ar-SA"/>
              </w:rPr>
              <w:t>XB=(</w:t>
            </w:r>
            <w:r>
              <w:rPr>
                <w:rFonts w:hint="default" w:ascii="Times New Roman" w:hAnsi="Times New Roman" w:eastAsia="等线" w:cs="Times New Roman"/>
                <w:color w:val="auto"/>
                <w:sz w:val="21"/>
                <w:szCs w:val="21"/>
              </w:rPr>
              <w:t>Aged OR "Aged, 80 and over" OR "middle aged" OR "older adult*" OR elderly OR geriatric* OR senior* OR "older person*" OR "older people" OR "older population*" OR "aging population*" OR "ageing population*" OR "older individual*" OR "older patient*" OR "older participant*" OR "middle age" OR "middle-age" OR "middle-aged"</w:t>
            </w:r>
            <w:r>
              <w:rPr>
                <w:rFonts w:hint="default" w:ascii="Times New Roman" w:hAnsi="Times New Roman" w:eastAsia="等线" w:cs="Times New Roman"/>
                <w:bCs w:val="0"/>
                <w:color w:val="auto"/>
                <w:sz w:val="21"/>
                <w:szCs w:val="21"/>
                <w:lang w:val="en-US" w:eastAsia="zh-CN" w:bidi="ar-SA"/>
              </w:rPr>
              <w:t>)</w:t>
            </w:r>
          </w:p>
        </w:tc>
      </w:tr>
      <w:tr w14:paraId="7D573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08350997">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cs="Times New Roman"/>
                <w:b w:val="0"/>
                <w:bCs/>
                <w:color w:val="auto"/>
                <w:sz w:val="21"/>
                <w:szCs w:val="21"/>
                <w:shd w:val="clear" w:color="auto" w:fill="FFFFFF"/>
                <w:lang w:val="en-US" w:eastAsia="zh-CN"/>
              </w:rPr>
            </w:pPr>
            <w:r>
              <w:rPr>
                <w:rFonts w:hint="default" w:ascii="Times New Roman" w:hAnsi="Times New Roman" w:cs="Times New Roman"/>
                <w:color w:val="auto"/>
                <w:sz w:val="21"/>
                <w:szCs w:val="21"/>
              </w:rPr>
              <w:t>#2</w:t>
            </w:r>
          </w:p>
        </w:tc>
        <w:tc>
          <w:tcPr>
            <w:tcW w:w="6775" w:type="dxa"/>
            <w:vAlign w:val="top"/>
          </w:tcPr>
          <w:p w14:paraId="02298634">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eastAsia="Segoe UI" w:cs="Times New Roman"/>
                <w:b w:val="0"/>
                <w:bCs w:val="0"/>
                <w:color w:val="auto"/>
                <w:sz w:val="21"/>
                <w:szCs w:val="21"/>
                <w:shd w:val="clear" w:color="auto" w:fill="FFFFFF"/>
                <w:lang w:val="en-US" w:eastAsia="zh-CN"/>
              </w:rPr>
            </w:pPr>
            <w:r>
              <w:rPr>
                <w:rFonts w:hint="default" w:ascii="Times New Roman" w:hAnsi="Times New Roman" w:eastAsia="楷体" w:cs="Times New Roman"/>
                <w:b w:val="0"/>
                <w:bCs w:val="0"/>
                <w:color w:val="auto"/>
                <w:sz w:val="21"/>
                <w:szCs w:val="21"/>
                <w:lang w:val="en-US" w:eastAsia="zh-CN"/>
              </w:rPr>
              <w:t>XB=(</w:t>
            </w:r>
            <w:r>
              <w:rPr>
                <w:rFonts w:hint="default" w:ascii="Times New Roman" w:hAnsi="Times New Roman" w:eastAsia="楷体" w:cs="Times New Roman"/>
                <w:color w:val="auto"/>
                <w:sz w:val="21"/>
                <w:szCs w:val="21"/>
              </w:rPr>
              <w:t>meditation OR meditative OR meditat* OR mindfulness OR mindful* OR "guided meditation" OR "mindfulness meditation" OR MBSR OR MBCT OR "body scan*" OR "breath awareness" OR "breathing awareness" OR "breathing exercise*" OR breathwork OR "mindful walking" OR "mindfulness-based" OR "mindfulness training" OR relaxation OR "relaxation training" OR "relaxation therapy" OR "guided relaxation" OR "meditative relaxation" OR "compassion meditation" OR "loving-kindness" OR "nature-based mindfulness" OR "mind-body" OR "mind body" OR "mind-body exercise*" OR "mind body exercise*" OR yoga OR "tai chi" OR "tai-chi" OR taichi OR "tai ji" OR taiji OR qigong OR "qi gong" OR Baduanjin OR "Ba Duan Jin" OR "Eight-section Brocades" OR "guided imagery" OR "guided visualization" OR "guided visualisation" OR "biofeedback-assisted" OR "biofeedback assisted" OR "heart rate variability biofeedback" OR "HRV biofeedback"</w:t>
            </w:r>
            <w:r>
              <w:rPr>
                <w:rFonts w:hint="default" w:ascii="Times New Roman" w:hAnsi="Times New Roman" w:eastAsia="楷体" w:cs="Times New Roman"/>
                <w:b w:val="0"/>
                <w:bCs w:val="0"/>
                <w:color w:val="auto"/>
                <w:sz w:val="21"/>
                <w:szCs w:val="21"/>
                <w:lang w:val="en-US" w:eastAsia="zh-CN"/>
              </w:rPr>
              <w:t>)</w:t>
            </w:r>
          </w:p>
        </w:tc>
      </w:tr>
      <w:tr w14:paraId="2F469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24D57565">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cs="Times New Roman"/>
                <w:b w:val="0"/>
                <w:bCs/>
                <w:color w:val="auto"/>
                <w:sz w:val="21"/>
                <w:szCs w:val="21"/>
                <w:shd w:val="clear" w:color="auto" w:fill="FFFFFF"/>
                <w:lang w:val="en-US" w:eastAsia="zh-CN"/>
              </w:rPr>
            </w:pPr>
            <w:r>
              <w:rPr>
                <w:rFonts w:hint="default" w:ascii="Times New Roman" w:hAnsi="Times New Roman" w:cs="Times New Roman"/>
                <w:color w:val="auto"/>
                <w:sz w:val="21"/>
                <w:szCs w:val="21"/>
              </w:rPr>
              <w:t>#3</w:t>
            </w:r>
          </w:p>
        </w:tc>
        <w:tc>
          <w:tcPr>
            <w:tcW w:w="6775" w:type="dxa"/>
            <w:vAlign w:val="top"/>
          </w:tcPr>
          <w:p w14:paraId="061090B0">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eastAsia="Segoe UI" w:cs="Times New Roman"/>
                <w:b w:val="0"/>
                <w:bCs w:val="0"/>
                <w:color w:val="auto"/>
                <w:sz w:val="21"/>
                <w:szCs w:val="21"/>
                <w:shd w:val="clear" w:color="auto" w:fill="FFFFFF"/>
                <w:lang w:val="en-US" w:eastAsia="zh-CN"/>
              </w:rPr>
            </w:pPr>
            <w:r>
              <w:rPr>
                <w:rFonts w:hint="default" w:ascii="Times New Roman" w:hAnsi="Times New Roman" w:eastAsia="等线" w:cs="Times New Roman"/>
                <w:bCs w:val="0"/>
                <w:color w:val="auto"/>
                <w:sz w:val="21"/>
                <w:szCs w:val="21"/>
              </w:rPr>
              <w:t>XB=("virtual reality" OR VR OR "immersive virtual reality" OR "immersive VR" OR "non-immersive virtual reality" OR "nonimmersive virtual reality" OR "virtual environment*" OR "head-mounted display*" OR "head mounted display*" OR HMD OR CAVE OR "360-degree video" OR "360° video" OR "360 video" OR "three-dimensional virtual environment*" OR "3D virtual environment*")</w:t>
            </w:r>
          </w:p>
        </w:tc>
      </w:tr>
      <w:tr w14:paraId="673A7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1173BF6D">
            <w:pPr>
              <w:pageBreakBefore w:val="0"/>
              <w:kinsoku/>
              <w:wordWrap/>
              <w:overflowPunct/>
              <w:topLinePunct w:val="0"/>
              <w:autoSpaceDE/>
              <w:autoSpaceDN/>
              <w:bidi w:val="0"/>
              <w:adjustRightInd/>
              <w:snapToGrid/>
              <w:spacing w:beforeAutospacing="0" w:afterAutospacing="0" w:line="240" w:lineRule="auto"/>
              <w:outlineLvl w:val="9"/>
              <w:rPr>
                <w:rFonts w:hint="eastAsia" w:ascii="Times New Roman" w:hAnsi="Times New Roman" w:cs="Times New Roman" w:eastAsiaTheme="minorEastAsia"/>
                <w:b w:val="0"/>
                <w:bCs/>
                <w:color w:val="auto"/>
                <w:sz w:val="21"/>
                <w:szCs w:val="21"/>
                <w:shd w:val="clear" w:color="auto" w:fill="FFFFFF"/>
                <w:lang w:val="en-US" w:eastAsia="zh-CN"/>
              </w:rPr>
            </w:pPr>
            <w:r>
              <w:rPr>
                <w:rFonts w:hint="default" w:ascii="Times New Roman" w:hAnsi="Times New Roman" w:cs="Times New Roman"/>
                <w:color w:val="auto"/>
                <w:sz w:val="21"/>
                <w:szCs w:val="21"/>
              </w:rPr>
              <w:t>#</w:t>
            </w:r>
            <w:r>
              <w:rPr>
                <w:rFonts w:hint="eastAsia" w:ascii="Times New Roman" w:hAnsi="Times New Roman" w:cs="Times New Roman"/>
                <w:color w:val="auto"/>
                <w:sz w:val="21"/>
                <w:szCs w:val="21"/>
                <w:lang w:val="en-US" w:eastAsia="zh-CN"/>
              </w:rPr>
              <w:t>4</w:t>
            </w:r>
          </w:p>
        </w:tc>
        <w:tc>
          <w:tcPr>
            <w:tcW w:w="6775" w:type="dxa"/>
            <w:vAlign w:val="top"/>
          </w:tcPr>
          <w:p w14:paraId="0C68D163">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eastAsia="Segoe UI" w:cs="Times New Roman"/>
                <w:b w:val="0"/>
                <w:bCs w:val="0"/>
                <w:color w:val="auto"/>
                <w:sz w:val="21"/>
                <w:szCs w:val="21"/>
                <w:shd w:val="clear" w:color="auto" w:fill="FFFFFF"/>
                <w:lang w:val="en-US" w:eastAsia="zh-CN"/>
              </w:rPr>
            </w:pPr>
            <w:r>
              <w:rPr>
                <w:rFonts w:hint="eastAsia" w:ascii="Times New Roman" w:hAnsi="Times New Roman" w:eastAsia="等线" w:cs="Times New Roman"/>
                <w:bCs w:val="0"/>
                <w:color w:val="auto"/>
                <w:sz w:val="21"/>
                <w:szCs w:val="21"/>
                <w:lang w:val="en-US" w:eastAsia="zh-CN" w:bidi="ar-SA"/>
              </w:rPr>
              <w:t>#1 AND #2 AND #3</w:t>
            </w:r>
          </w:p>
        </w:tc>
      </w:tr>
      <w:tr w14:paraId="56597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747" w:type="dxa"/>
            <w:vAlign w:val="top"/>
          </w:tcPr>
          <w:p w14:paraId="68CEDADE">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cs="Times New Roman" w:eastAsiaTheme="minorEastAsia"/>
                <w:color w:val="auto"/>
                <w:sz w:val="21"/>
                <w:szCs w:val="21"/>
                <w:lang w:val="en-US" w:eastAsia="zh-CN"/>
              </w:rPr>
            </w:pPr>
            <w:r>
              <w:rPr>
                <w:rFonts w:hint="eastAsia" w:ascii="Times New Roman" w:hAnsi="Times New Roman" w:cs="Times New Roman"/>
                <w:color w:val="auto"/>
                <w:sz w:val="21"/>
                <w:szCs w:val="21"/>
                <w:lang w:val="en-US" w:eastAsia="zh-CN"/>
              </w:rPr>
              <w:t>Records retrieved</w:t>
            </w:r>
          </w:p>
        </w:tc>
        <w:tc>
          <w:tcPr>
            <w:tcW w:w="6775" w:type="dxa"/>
            <w:vAlign w:val="top"/>
          </w:tcPr>
          <w:p w14:paraId="0D5C44C6">
            <w:pPr>
              <w:pageBreakBefore w:val="0"/>
              <w:kinsoku/>
              <w:wordWrap/>
              <w:overflowPunct/>
              <w:topLinePunct w:val="0"/>
              <w:autoSpaceDE/>
              <w:autoSpaceDN/>
              <w:bidi w:val="0"/>
              <w:adjustRightInd/>
              <w:snapToGrid/>
              <w:spacing w:beforeAutospacing="0" w:afterAutospacing="0" w:line="240" w:lineRule="auto"/>
              <w:outlineLvl w:val="9"/>
              <w:rPr>
                <w:rFonts w:hint="default" w:ascii="Times New Roman" w:hAnsi="Times New Roman" w:eastAsia="等线" w:cs="Times New Roman"/>
                <w:bCs w:val="0"/>
                <w:color w:val="auto"/>
                <w:sz w:val="21"/>
                <w:szCs w:val="21"/>
                <w:lang w:val="en-US" w:eastAsia="zh-CN" w:bidi="ar-SA"/>
              </w:rPr>
            </w:pPr>
            <w:r>
              <w:rPr>
                <w:rFonts w:hint="eastAsia" w:ascii="Times New Roman" w:hAnsi="Times New Roman" w:eastAsia="等线" w:cs="Times New Roman"/>
                <w:bCs w:val="0"/>
                <w:color w:val="auto"/>
                <w:sz w:val="21"/>
                <w:szCs w:val="21"/>
                <w:lang w:val="en-US" w:eastAsia="zh-CN" w:bidi="ar-SA"/>
              </w:rPr>
              <w:t>34</w:t>
            </w:r>
          </w:p>
        </w:tc>
      </w:tr>
    </w:tbl>
    <w:p w14:paraId="0FE07E5F">
      <w:pPr>
        <w:rPr>
          <w:rFonts w:hint="default" w:ascii="Times New Roman" w:hAnsi="Times New Roman" w:cs="Times New Roman"/>
          <w:b w:val="0"/>
          <w:bCs w:val="0"/>
          <w:i w:val="0"/>
          <w:iCs w:val="0"/>
          <w:caps w:val="0"/>
          <w:color w:val="202020"/>
          <w:spacing w:val="0"/>
          <w:kern w:val="0"/>
          <w:sz w:val="24"/>
          <w:szCs w:val="24"/>
          <w:shd w:val="clear" w:color="auto" w:fill="FFFFFF"/>
          <w:lang w:val="en-US" w:eastAsia="zh-CN" w:bidi="ar"/>
        </w:rPr>
      </w:pPr>
    </w:p>
    <w:p w14:paraId="3B74A879">
      <w:pPr>
        <w:rPr>
          <w:rFonts w:hint="default" w:ascii="Times New Roman" w:hAnsi="Times New Roman" w:cs="Times New Roman"/>
          <w:b w:val="0"/>
          <w:bCs w:val="0"/>
          <w:i w:val="0"/>
          <w:iCs w:val="0"/>
          <w:caps w:val="0"/>
          <w:color w:val="202020"/>
          <w:spacing w:val="0"/>
          <w:kern w:val="0"/>
          <w:sz w:val="24"/>
          <w:szCs w:val="24"/>
          <w:shd w:val="clear" w:color="auto" w:fill="FFFFFF"/>
          <w:lang w:val="en-US" w:eastAsia="zh-CN" w:bidi="ar"/>
        </w:rPr>
      </w:pPr>
    </w:p>
    <w:p w14:paraId="4E14FA0E">
      <w:pPr>
        <w:rPr>
          <w:rFonts w:hint="eastAsia" w:ascii="Times New Roman" w:hAnsi="Times New Roman" w:eastAsia="宋体" w:cs="Times New Roman"/>
          <w:sz w:val="24"/>
          <w:szCs w:val="24"/>
          <w:lang w:val="en-US" w:eastAsia="zh-CN"/>
        </w:rPr>
      </w:pPr>
    </w:p>
    <w:p w14:paraId="4A246C63">
      <w:pPr>
        <w:rPr>
          <w:rFonts w:hint="eastAsia" w:ascii="Times New Roman" w:hAnsi="Times New Roman" w:eastAsia="宋体" w:cs="Times New Roman"/>
          <w:sz w:val="24"/>
          <w:szCs w:val="24"/>
          <w:lang w:val="en-US" w:eastAsia="zh-CN"/>
        </w:rPr>
      </w:pPr>
    </w:p>
    <w:p w14:paraId="2C1C3F61">
      <w:pPr>
        <w:rPr>
          <w:rFonts w:hint="eastAsia" w:ascii="Times New Roman" w:hAnsi="Times New Roman" w:eastAsia="宋体" w:cs="Times New Roman"/>
          <w:sz w:val="24"/>
          <w:szCs w:val="24"/>
          <w:lang w:val="en-US" w:eastAsia="zh-CN"/>
        </w:rPr>
      </w:pPr>
    </w:p>
    <w:p w14:paraId="0E317841">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default" w:ascii="Times New Roman" w:hAnsi="Times New Roman" w:eastAsia="HYSinMyeongJo-Medium" w:cs="Times New Roman"/>
          <w:b/>
          <w:bCs/>
          <w:sz w:val="24"/>
          <w:szCs w:val="24"/>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77DA8F14">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default" w:ascii="Times New Roman" w:hAnsi="Times New Roman" w:eastAsia="仿宋" w:cs="Times New Roman"/>
          <w:b w:val="0"/>
          <w:bCs w:val="0"/>
          <w:i w:val="0"/>
          <w:iCs w:val="0"/>
          <w:caps w:val="0"/>
          <w:color w:val="auto"/>
          <w:spacing w:val="0"/>
          <w:kern w:val="0"/>
          <w:sz w:val="24"/>
          <w:szCs w:val="24"/>
          <w:shd w:val="clear"/>
          <w:lang w:val="en-US" w:eastAsia="zh-CN" w:bidi="ar"/>
        </w:rPr>
      </w:pPr>
      <w:r>
        <w:rPr>
          <w:rFonts w:hint="default" w:ascii="Times New Roman" w:hAnsi="Times New Roman" w:eastAsia="仿宋" w:cs="Times New Roman"/>
          <w:b/>
          <w:bCs/>
          <w:i w:val="0"/>
          <w:iCs w:val="0"/>
          <w:caps w:val="0"/>
          <w:color w:val="auto"/>
          <w:spacing w:val="0"/>
          <w:kern w:val="0"/>
          <w:sz w:val="24"/>
          <w:szCs w:val="24"/>
          <w:shd w:val="clear"/>
          <w:lang w:val="en-US" w:eastAsia="zh-CN" w:bidi="ar"/>
        </w:rPr>
        <w:t>Supplementary search procedures</w:t>
      </w:r>
    </w:p>
    <w:p w14:paraId="14B62D09">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default" w:ascii="Times New Roman" w:hAnsi="Times New Roman" w:eastAsia="仿宋" w:cs="Times New Roman"/>
          <w:b w:val="0"/>
          <w:bCs w:val="0"/>
          <w:i w:val="0"/>
          <w:iCs w:val="0"/>
          <w:caps w:val="0"/>
          <w:color w:val="auto"/>
          <w:spacing w:val="0"/>
          <w:kern w:val="0"/>
          <w:sz w:val="24"/>
          <w:szCs w:val="24"/>
          <w:shd w:val="clear"/>
          <w:lang w:val="en-US" w:eastAsia="zh-CN" w:bidi="ar"/>
        </w:rPr>
      </w:pPr>
      <w:r>
        <w:rPr>
          <w:rFonts w:hint="default" w:ascii="Times New Roman" w:hAnsi="Times New Roman" w:eastAsia="仿宋" w:cs="Times New Roman"/>
          <w:b w:val="0"/>
          <w:bCs w:val="0"/>
          <w:i w:val="0"/>
          <w:iCs w:val="0"/>
          <w:caps w:val="0"/>
          <w:color w:val="auto"/>
          <w:spacing w:val="0"/>
          <w:kern w:val="0"/>
          <w:sz w:val="24"/>
          <w:szCs w:val="24"/>
          <w:shd w:val="clear"/>
          <w:lang w:val="en-US" w:eastAsia="zh-CN" w:bidi="ar"/>
        </w:rPr>
        <w:t>The initial review search identified 15 additional records through supplementary searching; these records were incorporated into the original screening set and are shown separately in Figure 1. The procedures below describe the supplementary searches conducted during revision.</w:t>
      </w:r>
    </w:p>
    <w:p w14:paraId="0BCB6DBC">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default" w:ascii="Times New Roman" w:hAnsi="Times New Roman" w:eastAsia="仿宋" w:cs="Times New Roman"/>
          <w:b w:val="0"/>
          <w:bCs w:val="0"/>
          <w:i w:val="0"/>
          <w:iCs w:val="0"/>
          <w:caps w:val="0"/>
          <w:color w:val="auto"/>
          <w:spacing w:val="0"/>
          <w:kern w:val="0"/>
          <w:sz w:val="24"/>
          <w:szCs w:val="24"/>
          <w:shd w:val="clear"/>
          <w:lang w:val="en-US" w:eastAsia="zh-CN" w:bidi="ar"/>
        </w:rPr>
      </w:pPr>
      <w:r>
        <w:rPr>
          <w:rFonts w:hint="default" w:ascii="Times New Roman" w:hAnsi="Times New Roman" w:eastAsia="仿宋" w:cs="Times New Roman"/>
          <w:b w:val="0"/>
          <w:bCs w:val="0"/>
          <w:i w:val="0"/>
          <w:iCs w:val="0"/>
          <w:caps w:val="0"/>
          <w:color w:val="auto"/>
          <w:spacing w:val="0"/>
          <w:kern w:val="0"/>
          <w:sz w:val="24"/>
          <w:szCs w:val="24"/>
          <w:shd w:val="clear"/>
          <w:lang w:val="en-US" w:eastAsia="zh-CN" w:bidi="ar"/>
        </w:rPr>
        <w:t>In addition to the eight bibliographic databases, supplementary searches were conducted in Google Scholar, ClinicalTrials.gov, the WHO International Clinical Trials Registry Platform (ICTRP), ProQuest Dissertations &amp; Theses Global, and through backward citation checking. These supplementary searches were used to identify potentially eligible published, unpublished, or ongoing studies that might not have been captured by the database searches.</w:t>
      </w:r>
    </w:p>
    <w:p w14:paraId="29C4F46B">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default" w:ascii="Times New Roman" w:hAnsi="Times New Roman" w:eastAsia="仿宋" w:cs="Times New Roman"/>
          <w:b w:val="0"/>
          <w:bCs w:val="0"/>
          <w:i w:val="0"/>
          <w:iCs w:val="0"/>
          <w:caps w:val="0"/>
          <w:color w:val="auto"/>
          <w:spacing w:val="0"/>
          <w:kern w:val="0"/>
          <w:sz w:val="24"/>
          <w:szCs w:val="24"/>
          <w:shd w:val="clear"/>
          <w:lang w:val="en-US" w:eastAsia="zh-CN" w:bidi="ar"/>
        </w:rPr>
      </w:pPr>
      <w:r>
        <w:rPr>
          <w:rFonts w:hint="default" w:ascii="Times New Roman" w:hAnsi="Times New Roman" w:eastAsia="仿宋" w:cs="Times New Roman"/>
          <w:b/>
          <w:bCs/>
          <w:i w:val="0"/>
          <w:iCs w:val="0"/>
          <w:caps w:val="0"/>
          <w:color w:val="auto"/>
          <w:spacing w:val="0"/>
          <w:kern w:val="0"/>
          <w:sz w:val="24"/>
          <w:szCs w:val="24"/>
          <w:shd w:val="clear"/>
          <w:lang w:val="en-US" w:eastAsia="zh-CN" w:bidi="ar"/>
        </w:rPr>
        <w:t>Google Scholar.</w:t>
      </w:r>
      <w:r>
        <w:rPr>
          <w:rFonts w:hint="default" w:ascii="Times New Roman" w:hAnsi="Times New Roman" w:eastAsia="仿宋" w:cs="Times New Roman"/>
          <w:b w:val="0"/>
          <w:bCs w:val="0"/>
          <w:i w:val="0"/>
          <w:iCs w:val="0"/>
          <w:caps w:val="0"/>
          <w:color w:val="auto"/>
          <w:spacing w:val="0"/>
          <w:kern w:val="0"/>
          <w:sz w:val="24"/>
          <w:szCs w:val="24"/>
          <w:shd w:val="clear"/>
          <w:lang w:val="en-US" w:eastAsia="zh-CN" w:bidi="ar"/>
        </w:rPr>
        <w:t xml:space="preserve"> Google Scholar was searched on August 31, 2026, using the query: "virtual reality" (mindfulness OR meditation OR MBSR OR MBCT OR relaxation OR breathing OR "guided imagery" OR biofeedback OR yoga OR "tai chi" OR qigong OR "mind-body"). Results were sorted by relevance, and screening was limited to the first 200 relevance-ranked records. Twenty-four potentially relevant records were identified. Eleven had already been identified through the main searches, leaving 13 records for full-text assessment. All 13 were excluded: ineligible population (n=10), ineligible study design (n=1), ineligible outcomes (n=1), and ineligible comparator (n=1). No additional eligible study was identified.</w:t>
      </w:r>
    </w:p>
    <w:p w14:paraId="6056C8A2">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default" w:ascii="Times New Roman" w:hAnsi="Times New Roman" w:eastAsia="仿宋" w:cs="Times New Roman"/>
          <w:b w:val="0"/>
          <w:bCs w:val="0"/>
          <w:i w:val="0"/>
          <w:iCs w:val="0"/>
          <w:caps w:val="0"/>
          <w:color w:val="auto"/>
          <w:spacing w:val="0"/>
          <w:kern w:val="0"/>
          <w:sz w:val="24"/>
          <w:szCs w:val="24"/>
          <w:shd w:val="clear"/>
          <w:lang w:val="en-US" w:eastAsia="zh-CN" w:bidi="ar"/>
        </w:rPr>
      </w:pPr>
      <w:r>
        <w:rPr>
          <w:rFonts w:hint="default" w:ascii="Times New Roman" w:hAnsi="Times New Roman" w:eastAsia="仿宋" w:cs="Times New Roman"/>
          <w:b/>
          <w:bCs/>
          <w:i w:val="0"/>
          <w:iCs w:val="0"/>
          <w:caps w:val="0"/>
          <w:color w:val="auto"/>
          <w:spacing w:val="0"/>
          <w:kern w:val="0"/>
          <w:sz w:val="24"/>
          <w:szCs w:val="24"/>
          <w:shd w:val="clear"/>
          <w:lang w:val="en-US" w:eastAsia="zh-CN" w:bidi="ar"/>
        </w:rPr>
        <w:t>ClinicalTrials.gov.</w:t>
      </w:r>
      <w:r>
        <w:rPr>
          <w:rFonts w:hint="default" w:ascii="Times New Roman" w:hAnsi="Times New Roman" w:eastAsia="仿宋" w:cs="Times New Roman"/>
          <w:b w:val="0"/>
          <w:bCs w:val="0"/>
          <w:i w:val="0"/>
          <w:iCs w:val="0"/>
          <w:caps w:val="0"/>
          <w:color w:val="auto"/>
          <w:spacing w:val="0"/>
          <w:kern w:val="0"/>
          <w:sz w:val="24"/>
          <w:szCs w:val="24"/>
          <w:shd w:val="clear"/>
          <w:lang w:val="en-US" w:eastAsia="zh-CN" w:bidi="ar"/>
        </w:rPr>
        <w:t xml:space="preserve"> ClinicalTrials.gov was searched on September 2, 2026 using Intervention: virtual reality and Other terms: mindfulness OR meditation OR relaxation OR guided imagery OR biofeedback, restricted to Interventional Studies and the age categories Adult (18–64 years) and Older Adult (65+ years). The search returned 586 records. After title screening, 522 records were excluded. A further 46 records were excluded after assessment of the registry information because of ineligible population (n=10), outcomes (n=1), intervention (n=18), comparator (n=1), or study design (n=16). Of the remaining 18 records, 10 corresponded to studies already identified in the review and 8 additional potentially relevant registry records underwent further assessment. Of these, one was withdrawn, five were ongoing/not yet recruiting/enrolling by invitation, one had unknown status, and one was completed but had no available publication or usable results. No additional trial with usable outcome data was identified for synthesis.</w:t>
      </w:r>
    </w:p>
    <w:p w14:paraId="7F2131E4">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default" w:ascii="Times New Roman" w:hAnsi="Times New Roman" w:eastAsia="仿宋" w:cs="Times New Roman"/>
          <w:b w:val="0"/>
          <w:bCs w:val="0"/>
          <w:i w:val="0"/>
          <w:iCs w:val="0"/>
          <w:caps w:val="0"/>
          <w:color w:val="auto"/>
          <w:spacing w:val="0"/>
          <w:kern w:val="0"/>
          <w:sz w:val="24"/>
          <w:szCs w:val="24"/>
          <w:shd w:val="clear"/>
          <w:lang w:val="en-US" w:eastAsia="zh-CN" w:bidi="ar"/>
        </w:rPr>
      </w:pPr>
      <w:r>
        <w:rPr>
          <w:rFonts w:hint="default" w:ascii="Times New Roman" w:hAnsi="Times New Roman" w:eastAsia="仿宋" w:cs="Times New Roman"/>
          <w:b/>
          <w:bCs/>
          <w:i w:val="0"/>
          <w:iCs w:val="0"/>
          <w:caps w:val="0"/>
          <w:color w:val="auto"/>
          <w:spacing w:val="0"/>
          <w:kern w:val="0"/>
          <w:sz w:val="24"/>
          <w:szCs w:val="24"/>
          <w:shd w:val="clear"/>
          <w:lang w:val="en-US" w:eastAsia="zh-CN" w:bidi="ar"/>
        </w:rPr>
        <w:t>WHO ICTRP.</w:t>
      </w:r>
      <w:r>
        <w:rPr>
          <w:rFonts w:hint="default" w:ascii="Times New Roman" w:hAnsi="Times New Roman" w:eastAsia="仿宋" w:cs="Times New Roman"/>
          <w:b w:val="0"/>
          <w:bCs w:val="0"/>
          <w:i w:val="0"/>
          <w:iCs w:val="0"/>
          <w:caps w:val="0"/>
          <w:color w:val="auto"/>
          <w:spacing w:val="0"/>
          <w:kern w:val="0"/>
          <w:sz w:val="24"/>
          <w:szCs w:val="24"/>
          <w:shd w:val="clear"/>
          <w:lang w:val="en-US" w:eastAsia="zh-CN" w:bidi="ar"/>
        </w:rPr>
        <w:t xml:space="preserve"> The WHO ICTRP was searched on September 3, 2026 using the query: "virtual reality" AND (mindfulness OR meditation OR relaxation OR breathing OR "guided imagery" OR biofeedback OR yoga OR "tai chi" OR qigong OR "mind body"). The search returned 456 records representing 450 unique trials. Of these, 234 were excluded by title, 56 for ineligible population, 15 for ineligible study design, 72 for ineligible intervention, and 22 for ineligible outcomes, leaving 51 potentially relevant registered trials. Twenty-two had already been identified, leaving 29 additional potentially relevant trials. Among the 29 additional potentially relevant registry records, 7 were recruiting and 22 were not yet recruiting. Two records contained linked results or publication information; assessment of these linked materials showed that one involved an ineligible intervention and the other was unrelated to the review topic. No additional completed dataset eligible for synthesis was identified.</w:t>
      </w:r>
    </w:p>
    <w:p w14:paraId="4250016C">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default" w:ascii="Times New Roman" w:hAnsi="Times New Roman" w:eastAsia="仿宋" w:cs="Times New Roman"/>
          <w:b w:val="0"/>
          <w:bCs w:val="0"/>
          <w:i w:val="0"/>
          <w:iCs w:val="0"/>
          <w:caps w:val="0"/>
          <w:color w:val="auto"/>
          <w:spacing w:val="0"/>
          <w:kern w:val="0"/>
          <w:sz w:val="24"/>
          <w:szCs w:val="24"/>
          <w:shd w:val="clear"/>
          <w:lang w:val="en-US" w:eastAsia="zh-CN" w:bidi="ar"/>
        </w:rPr>
      </w:pPr>
      <w:r>
        <w:rPr>
          <w:rFonts w:hint="default" w:ascii="Times New Roman" w:hAnsi="Times New Roman" w:eastAsia="仿宋" w:cs="Times New Roman"/>
          <w:b/>
          <w:bCs/>
          <w:i w:val="0"/>
          <w:iCs w:val="0"/>
          <w:caps w:val="0"/>
          <w:color w:val="auto"/>
          <w:spacing w:val="0"/>
          <w:kern w:val="0"/>
          <w:sz w:val="24"/>
          <w:szCs w:val="24"/>
          <w:shd w:val="clear"/>
          <w:lang w:val="en-US" w:eastAsia="zh-CN" w:bidi="ar"/>
        </w:rPr>
        <w:t>ProQuest Dissertations &amp; Theses Global.</w:t>
      </w:r>
      <w:r>
        <w:rPr>
          <w:rFonts w:hint="default" w:ascii="Times New Roman" w:hAnsi="Times New Roman" w:eastAsia="仿宋" w:cs="Times New Roman"/>
          <w:b w:val="0"/>
          <w:bCs w:val="0"/>
          <w:i w:val="0"/>
          <w:iCs w:val="0"/>
          <w:caps w:val="0"/>
          <w:color w:val="auto"/>
          <w:spacing w:val="0"/>
          <w:kern w:val="0"/>
          <w:sz w:val="24"/>
          <w:szCs w:val="24"/>
          <w:shd w:val="clear"/>
          <w:lang w:val="en-US" w:eastAsia="zh-CN" w:bidi="ar"/>
        </w:rPr>
        <w:t xml:space="preserve"> ProQuest Dissertations &amp; Theses Global was searched from inception to September 4, 2026 using the query: "virtual reality" AND (mindfulness OR meditation OR relaxation OR breathing OR "guided imagery" OR biofeedback OR yoga OR "tai chi" OR qigong OR "mind-body"). During screening, 124 records were excluded by title and 13 after abstract assessment because of ineligible population (n=</w:t>
      </w:r>
      <w:r>
        <w:rPr>
          <w:rFonts w:hint="eastAsia" w:ascii="Times New Roman" w:hAnsi="Times New Roman" w:eastAsia="仿宋" w:cs="Times New Roman"/>
          <w:b w:val="0"/>
          <w:bCs w:val="0"/>
          <w:i w:val="0"/>
          <w:iCs w:val="0"/>
          <w:caps w:val="0"/>
          <w:color w:val="auto"/>
          <w:spacing w:val="0"/>
          <w:kern w:val="0"/>
          <w:sz w:val="24"/>
          <w:szCs w:val="24"/>
          <w:shd w:val="clear"/>
          <w:lang w:val="en-US" w:eastAsia="zh-CN" w:bidi="ar"/>
        </w:rPr>
        <w:t>4</w:t>
      </w:r>
      <w:r>
        <w:rPr>
          <w:rFonts w:hint="default" w:ascii="Times New Roman" w:hAnsi="Times New Roman" w:eastAsia="仿宋" w:cs="Times New Roman"/>
          <w:b w:val="0"/>
          <w:bCs w:val="0"/>
          <w:i w:val="0"/>
          <w:iCs w:val="0"/>
          <w:caps w:val="0"/>
          <w:color w:val="auto"/>
          <w:spacing w:val="0"/>
          <w:kern w:val="0"/>
          <w:sz w:val="24"/>
          <w:szCs w:val="24"/>
          <w:shd w:val="clear"/>
          <w:lang w:val="en-US" w:eastAsia="zh-CN" w:bidi="ar"/>
        </w:rPr>
        <w:t>), intervention (n=1), or comparator (n=8). One full-text dissertation/thesis was assessed and excluded because of an ineligible population. No additional eligible study was identified.</w:t>
      </w:r>
    </w:p>
    <w:p w14:paraId="0DA887E2">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default" w:ascii="Times New Roman" w:hAnsi="Times New Roman" w:eastAsia="仿宋" w:cs="Times New Roman"/>
          <w:b w:val="0"/>
          <w:bCs w:val="0"/>
          <w:i w:val="0"/>
          <w:iCs w:val="0"/>
          <w:caps w:val="0"/>
          <w:color w:val="auto"/>
          <w:spacing w:val="0"/>
          <w:kern w:val="0"/>
          <w:sz w:val="24"/>
          <w:szCs w:val="24"/>
          <w:shd w:val="clear"/>
          <w:lang w:val="en-US" w:eastAsia="zh-CN" w:bidi="ar"/>
        </w:rPr>
      </w:pPr>
      <w:r>
        <w:rPr>
          <w:rFonts w:hint="default" w:ascii="Times New Roman" w:hAnsi="Times New Roman" w:eastAsia="仿宋" w:cs="Times New Roman"/>
          <w:b/>
          <w:bCs/>
          <w:i w:val="0"/>
          <w:iCs w:val="0"/>
          <w:caps w:val="0"/>
          <w:color w:val="auto"/>
          <w:spacing w:val="0"/>
          <w:kern w:val="0"/>
          <w:sz w:val="24"/>
          <w:szCs w:val="24"/>
          <w:shd w:val="clear"/>
          <w:lang w:val="en-US" w:eastAsia="zh-CN" w:bidi="ar"/>
        </w:rPr>
        <w:t>Backward citation checking.</w:t>
      </w:r>
      <w:r>
        <w:rPr>
          <w:rFonts w:hint="default" w:ascii="Times New Roman" w:hAnsi="Times New Roman" w:eastAsia="仿宋" w:cs="Times New Roman"/>
          <w:b w:val="0"/>
          <w:bCs w:val="0"/>
          <w:i w:val="0"/>
          <w:iCs w:val="0"/>
          <w:caps w:val="0"/>
          <w:color w:val="auto"/>
          <w:spacing w:val="0"/>
          <w:kern w:val="0"/>
          <w:sz w:val="24"/>
          <w:szCs w:val="24"/>
          <w:shd w:val="clear"/>
          <w:lang w:val="en-US" w:eastAsia="zh-CN" w:bidi="ar"/>
        </w:rPr>
        <w:t xml:space="preserve"> The reference lists of the final included reports and other relevant newly identified reports were checked for additional eligible studies. No additional eligible study was identified through backward citation checking.</w:t>
      </w:r>
    </w:p>
    <w:p w14:paraId="62990C63">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eastAsia" w:ascii="Times New Roman" w:hAnsi="Times New Roman" w:eastAsia="仿宋" w:cs="Times New Roman"/>
          <w:b/>
          <w:bCs/>
          <w:i w:val="0"/>
          <w:iCs w:val="0"/>
          <w:caps w:val="0"/>
          <w:color w:val="auto"/>
          <w:spacing w:val="0"/>
          <w:kern w:val="0"/>
          <w:sz w:val="24"/>
          <w:szCs w:val="24"/>
          <w:shd w:val="clear"/>
          <w:lang w:val="en-US" w:eastAsia="zh-CN" w:bidi="ar"/>
        </w:rPr>
      </w:pPr>
    </w:p>
    <w:p w14:paraId="6F546A02">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eastAsia" w:ascii="Times New Roman" w:hAnsi="Times New Roman" w:eastAsia="仿宋" w:cs="Times New Roman"/>
          <w:b/>
          <w:bCs/>
          <w:i w:val="0"/>
          <w:iCs w:val="0"/>
          <w:caps w:val="0"/>
          <w:color w:val="auto"/>
          <w:spacing w:val="0"/>
          <w:kern w:val="0"/>
          <w:sz w:val="24"/>
          <w:szCs w:val="24"/>
          <w:shd w:val="clear"/>
          <w:lang w:val="en-US" w:eastAsia="zh-CN" w:bidi="ar"/>
        </w:rPr>
      </w:pPr>
    </w:p>
    <w:p w14:paraId="603586A0">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eastAsia" w:ascii="Times New Roman" w:hAnsi="Times New Roman" w:eastAsia="仿宋" w:cs="Times New Roman"/>
          <w:b/>
          <w:bCs/>
          <w:i w:val="0"/>
          <w:iCs w:val="0"/>
          <w:caps w:val="0"/>
          <w:color w:val="auto"/>
          <w:spacing w:val="0"/>
          <w:kern w:val="0"/>
          <w:sz w:val="24"/>
          <w:szCs w:val="24"/>
          <w:shd w:val="clear"/>
          <w:lang w:val="en-US" w:eastAsia="zh-CN" w:bidi="ar"/>
        </w:rPr>
      </w:pPr>
    </w:p>
    <w:p w14:paraId="191C0A66">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eastAsia" w:ascii="Times New Roman" w:hAnsi="Times New Roman" w:eastAsia="仿宋" w:cs="Times New Roman"/>
          <w:b/>
          <w:bCs/>
          <w:i w:val="0"/>
          <w:iCs w:val="0"/>
          <w:caps w:val="0"/>
          <w:color w:val="auto"/>
          <w:spacing w:val="0"/>
          <w:kern w:val="0"/>
          <w:sz w:val="24"/>
          <w:szCs w:val="24"/>
          <w:shd w:val="clear"/>
          <w:lang w:val="en-US" w:eastAsia="zh-CN" w:bidi="ar"/>
        </w:rPr>
      </w:pPr>
    </w:p>
    <w:p w14:paraId="791EB013">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eastAsia" w:ascii="Times New Roman" w:hAnsi="Times New Roman" w:eastAsia="仿宋" w:cs="Times New Roman"/>
          <w:b/>
          <w:bCs/>
          <w:i w:val="0"/>
          <w:iCs w:val="0"/>
          <w:caps w:val="0"/>
          <w:color w:val="auto"/>
          <w:spacing w:val="0"/>
          <w:kern w:val="0"/>
          <w:sz w:val="24"/>
          <w:szCs w:val="24"/>
          <w:shd w:val="clear"/>
          <w:lang w:val="en-US" w:eastAsia="zh-CN" w:bidi="ar"/>
        </w:rPr>
      </w:pPr>
    </w:p>
    <w:p w14:paraId="5191B71F">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eastAsia" w:ascii="Times New Roman" w:hAnsi="Times New Roman" w:eastAsia="仿宋" w:cs="Times New Roman"/>
          <w:b/>
          <w:bCs/>
          <w:i w:val="0"/>
          <w:iCs w:val="0"/>
          <w:caps w:val="0"/>
          <w:color w:val="auto"/>
          <w:spacing w:val="0"/>
          <w:kern w:val="0"/>
          <w:sz w:val="24"/>
          <w:szCs w:val="24"/>
          <w:shd w:val="clear"/>
          <w:lang w:val="en-US" w:eastAsia="zh-CN" w:bidi="ar"/>
        </w:rPr>
      </w:pPr>
    </w:p>
    <w:p w14:paraId="100425FD">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eastAsia" w:ascii="Times New Roman" w:hAnsi="Times New Roman" w:eastAsia="仿宋" w:cs="Times New Roman"/>
          <w:b/>
          <w:bCs/>
          <w:i w:val="0"/>
          <w:iCs w:val="0"/>
          <w:caps w:val="0"/>
          <w:color w:val="auto"/>
          <w:spacing w:val="0"/>
          <w:kern w:val="0"/>
          <w:sz w:val="24"/>
          <w:szCs w:val="24"/>
          <w:shd w:val="clear"/>
          <w:lang w:val="en-US" w:eastAsia="zh-CN" w:bidi="ar"/>
        </w:rPr>
      </w:pPr>
    </w:p>
    <w:p w14:paraId="27D3051C">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eastAsia" w:ascii="Times New Roman" w:hAnsi="Times New Roman" w:eastAsia="仿宋" w:cs="Times New Roman"/>
          <w:b/>
          <w:bCs/>
          <w:i w:val="0"/>
          <w:iCs w:val="0"/>
          <w:caps w:val="0"/>
          <w:color w:val="auto"/>
          <w:spacing w:val="0"/>
          <w:kern w:val="0"/>
          <w:sz w:val="24"/>
          <w:szCs w:val="24"/>
          <w:shd w:val="clear"/>
          <w:lang w:val="en-US" w:eastAsia="zh-CN" w:bidi="ar"/>
        </w:rPr>
      </w:pPr>
    </w:p>
    <w:p w14:paraId="57334340">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eastAsia" w:ascii="Times New Roman" w:hAnsi="Times New Roman" w:eastAsia="仿宋" w:cs="Times New Roman"/>
          <w:b/>
          <w:bCs/>
          <w:i w:val="0"/>
          <w:iCs w:val="0"/>
          <w:caps w:val="0"/>
          <w:color w:val="auto"/>
          <w:spacing w:val="0"/>
          <w:kern w:val="0"/>
          <w:sz w:val="24"/>
          <w:szCs w:val="24"/>
          <w:shd w:val="clear"/>
          <w:lang w:val="en-US" w:eastAsia="zh-CN" w:bidi="ar"/>
        </w:rPr>
      </w:pPr>
    </w:p>
    <w:p w14:paraId="045CBAD2">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eastAsia" w:ascii="Times New Roman" w:hAnsi="Times New Roman" w:eastAsia="仿宋" w:cs="Times New Roman"/>
          <w:b/>
          <w:bCs/>
          <w:i w:val="0"/>
          <w:iCs w:val="0"/>
          <w:caps w:val="0"/>
          <w:color w:val="auto"/>
          <w:spacing w:val="0"/>
          <w:kern w:val="0"/>
          <w:sz w:val="24"/>
          <w:szCs w:val="24"/>
          <w:shd w:val="clear"/>
          <w:lang w:val="en-US" w:eastAsia="zh-CN" w:bidi="ar"/>
        </w:rPr>
      </w:pPr>
    </w:p>
    <w:p w14:paraId="0297B1C3">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eastAsia" w:ascii="Times New Roman" w:hAnsi="Times New Roman" w:eastAsia="仿宋" w:cs="Times New Roman"/>
          <w:b/>
          <w:bCs/>
          <w:i w:val="0"/>
          <w:iCs w:val="0"/>
          <w:caps w:val="0"/>
          <w:color w:val="auto"/>
          <w:spacing w:val="0"/>
          <w:kern w:val="0"/>
          <w:sz w:val="24"/>
          <w:szCs w:val="24"/>
          <w:shd w:val="clear"/>
          <w:lang w:val="en-US" w:eastAsia="zh-CN" w:bidi="ar"/>
        </w:rPr>
      </w:pPr>
    </w:p>
    <w:p w14:paraId="200EB4E1">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eastAsia" w:ascii="Times New Roman" w:hAnsi="Times New Roman" w:eastAsia="仿宋" w:cs="Times New Roman"/>
          <w:b/>
          <w:bCs/>
          <w:i w:val="0"/>
          <w:iCs w:val="0"/>
          <w:caps w:val="0"/>
          <w:color w:val="auto"/>
          <w:spacing w:val="0"/>
          <w:kern w:val="0"/>
          <w:sz w:val="24"/>
          <w:szCs w:val="24"/>
          <w:shd w:val="clear"/>
          <w:lang w:val="en-US" w:eastAsia="zh-CN" w:bidi="ar"/>
        </w:rPr>
      </w:pPr>
    </w:p>
    <w:p w14:paraId="791EB40C">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eastAsia" w:ascii="Times New Roman" w:hAnsi="Times New Roman" w:eastAsia="仿宋" w:cs="Times New Roman"/>
          <w:b/>
          <w:bCs/>
          <w:i w:val="0"/>
          <w:iCs w:val="0"/>
          <w:caps w:val="0"/>
          <w:color w:val="auto"/>
          <w:spacing w:val="0"/>
          <w:kern w:val="0"/>
          <w:sz w:val="24"/>
          <w:szCs w:val="24"/>
          <w:shd w:val="clear"/>
          <w:lang w:val="en-US" w:eastAsia="zh-CN" w:bidi="ar"/>
        </w:rPr>
      </w:pPr>
    </w:p>
    <w:p w14:paraId="12734764">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eastAsia" w:ascii="Times New Roman" w:hAnsi="Times New Roman" w:eastAsia="仿宋" w:cs="Times New Roman"/>
          <w:b/>
          <w:bCs/>
          <w:i w:val="0"/>
          <w:iCs w:val="0"/>
          <w:caps w:val="0"/>
          <w:color w:val="auto"/>
          <w:spacing w:val="0"/>
          <w:kern w:val="0"/>
          <w:sz w:val="24"/>
          <w:szCs w:val="24"/>
          <w:shd w:val="clear"/>
          <w:lang w:val="en-US" w:eastAsia="zh-CN" w:bidi="ar"/>
        </w:rPr>
      </w:pPr>
    </w:p>
    <w:p w14:paraId="4A1908ED">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eastAsia" w:ascii="Times New Roman" w:hAnsi="Times New Roman" w:eastAsia="仿宋" w:cs="Times New Roman"/>
          <w:b/>
          <w:bCs/>
          <w:i w:val="0"/>
          <w:iCs w:val="0"/>
          <w:caps w:val="0"/>
          <w:color w:val="auto"/>
          <w:spacing w:val="0"/>
          <w:kern w:val="0"/>
          <w:sz w:val="24"/>
          <w:szCs w:val="24"/>
          <w:shd w:val="clear"/>
          <w:lang w:val="en-US" w:eastAsia="zh-CN" w:bidi="ar"/>
        </w:rPr>
      </w:pPr>
    </w:p>
    <w:p w14:paraId="3E87C6DE">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eastAsia" w:ascii="Times New Roman" w:hAnsi="Times New Roman" w:eastAsia="仿宋" w:cs="Times New Roman"/>
          <w:b/>
          <w:bCs/>
          <w:i w:val="0"/>
          <w:iCs w:val="0"/>
          <w:caps w:val="0"/>
          <w:color w:val="auto"/>
          <w:spacing w:val="0"/>
          <w:kern w:val="0"/>
          <w:sz w:val="24"/>
          <w:szCs w:val="24"/>
          <w:shd w:val="clear"/>
          <w:lang w:val="en-US" w:eastAsia="zh-CN" w:bidi="ar"/>
        </w:rPr>
      </w:pPr>
    </w:p>
    <w:p w14:paraId="69DB9BC1">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eastAsia" w:ascii="Times New Roman" w:hAnsi="Times New Roman" w:eastAsia="仿宋" w:cs="Times New Roman"/>
          <w:b w:val="0"/>
          <w:bCs w:val="0"/>
          <w:i w:val="0"/>
          <w:iCs w:val="0"/>
          <w:caps w:val="0"/>
          <w:color w:val="auto"/>
          <w:spacing w:val="0"/>
          <w:kern w:val="0"/>
          <w:sz w:val="24"/>
          <w:szCs w:val="24"/>
          <w:shd w:val="clear"/>
          <w:lang w:val="en-US" w:eastAsia="zh-CN" w:bidi="ar"/>
        </w:rPr>
      </w:pPr>
      <w:r>
        <w:rPr>
          <w:rFonts w:hint="eastAsia" w:ascii="Times New Roman" w:hAnsi="Times New Roman" w:eastAsia="仿宋" w:cs="Times New Roman"/>
          <w:b/>
          <w:bCs/>
          <w:i w:val="0"/>
          <w:iCs w:val="0"/>
          <w:caps w:val="0"/>
          <w:color w:val="auto"/>
          <w:spacing w:val="0"/>
          <w:kern w:val="0"/>
          <w:sz w:val="24"/>
          <w:szCs w:val="24"/>
          <w:shd w:val="clear"/>
          <w:lang w:val="en-US" w:eastAsia="zh-CN" w:bidi="ar"/>
        </w:rPr>
        <w:t>Table S</w:t>
      </w:r>
      <w:r>
        <w:rPr>
          <w:rFonts w:hint="eastAsia" w:eastAsia="仿宋" w:cs="Times New Roman"/>
          <w:b/>
          <w:bCs/>
          <w:i w:val="0"/>
          <w:iCs w:val="0"/>
          <w:caps w:val="0"/>
          <w:color w:val="auto"/>
          <w:spacing w:val="0"/>
          <w:kern w:val="0"/>
          <w:sz w:val="24"/>
          <w:szCs w:val="24"/>
          <w:shd w:val="clear"/>
          <w:lang w:val="en-US" w:eastAsia="zh-CN" w:bidi="ar"/>
        </w:rPr>
        <w:t>10</w:t>
      </w:r>
      <w:r>
        <w:rPr>
          <w:rFonts w:hint="eastAsia" w:ascii="Times New Roman" w:hAnsi="Times New Roman" w:eastAsia="仿宋" w:cs="Times New Roman"/>
          <w:b/>
          <w:bCs/>
          <w:i w:val="0"/>
          <w:iCs w:val="0"/>
          <w:caps w:val="0"/>
          <w:color w:val="auto"/>
          <w:spacing w:val="0"/>
          <w:kern w:val="0"/>
          <w:sz w:val="24"/>
          <w:szCs w:val="24"/>
          <w:shd w:val="clear"/>
          <w:lang w:val="en-US" w:eastAsia="zh-CN" w:bidi="ar"/>
        </w:rPr>
        <w:t>.</w:t>
      </w:r>
      <w:r>
        <w:rPr>
          <w:rFonts w:hint="eastAsia" w:ascii="Times New Roman" w:hAnsi="Times New Roman" w:eastAsia="仿宋" w:cs="Times New Roman"/>
          <w:b w:val="0"/>
          <w:bCs w:val="0"/>
          <w:i w:val="0"/>
          <w:iCs w:val="0"/>
          <w:caps w:val="0"/>
          <w:color w:val="auto"/>
          <w:spacing w:val="0"/>
          <w:kern w:val="0"/>
          <w:sz w:val="24"/>
          <w:szCs w:val="24"/>
          <w:shd w:val="clear"/>
          <w:lang w:val="en-US" w:eastAsia="zh-CN" w:bidi="ar"/>
        </w:rPr>
        <w:t xml:space="preserve"> Result</w:t>
      </w:r>
      <w:r>
        <w:rPr>
          <w:rFonts w:hint="eastAsia" w:eastAsia="仿宋" w:cs="Times New Roman"/>
          <w:b w:val="0"/>
          <w:bCs w:val="0"/>
          <w:i w:val="0"/>
          <w:iCs w:val="0"/>
          <w:caps w:val="0"/>
          <w:color w:val="auto"/>
          <w:spacing w:val="0"/>
          <w:kern w:val="0"/>
          <w:sz w:val="24"/>
          <w:szCs w:val="24"/>
          <w:shd w:val="clear"/>
          <w:lang w:val="en-US" w:eastAsia="zh-CN" w:bidi="ar"/>
        </w:rPr>
        <w:t>-</w:t>
      </w:r>
      <w:r>
        <w:rPr>
          <w:rFonts w:hint="eastAsia" w:ascii="Times New Roman" w:hAnsi="Times New Roman" w:eastAsia="仿宋" w:cs="Times New Roman"/>
          <w:b w:val="0"/>
          <w:bCs w:val="0"/>
          <w:i w:val="0"/>
          <w:iCs w:val="0"/>
          <w:caps w:val="0"/>
          <w:color w:val="auto"/>
          <w:spacing w:val="0"/>
          <w:kern w:val="0"/>
          <w:sz w:val="24"/>
          <w:szCs w:val="24"/>
          <w:shd w:val="clear"/>
          <w:lang w:val="en-US" w:eastAsia="zh-CN" w:bidi="ar"/>
        </w:rPr>
        <w:t>level RoB 2 assessments</w:t>
      </w:r>
    </w:p>
    <w:p w14:paraId="18DCEC27">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eastAsia" w:ascii="Times New Roman" w:hAnsi="Times New Roman" w:eastAsia="仿宋" w:cs="Times New Roman"/>
          <w:b w:val="0"/>
          <w:bCs w:val="0"/>
          <w:i w:val="0"/>
          <w:iCs w:val="0"/>
          <w:caps w:val="0"/>
          <w:color w:val="auto"/>
          <w:spacing w:val="0"/>
          <w:kern w:val="0"/>
          <w:sz w:val="24"/>
          <w:szCs w:val="24"/>
          <w:shd w:val="clear"/>
          <w:lang w:val="en-US" w:eastAsia="zh-CN" w:bidi="ar"/>
        </w:rPr>
      </w:pPr>
      <w:r>
        <w:rPr>
          <w:rFonts w:hint="eastAsia" w:ascii="Times New Roman" w:hAnsi="Times New Roman" w:eastAsia="仿宋" w:cs="Times New Roman"/>
          <w:b/>
          <w:bCs/>
          <w:i w:val="0"/>
          <w:iCs w:val="0"/>
          <w:caps w:val="0"/>
          <w:color w:val="auto"/>
          <w:spacing w:val="0"/>
          <w:kern w:val="0"/>
          <w:sz w:val="24"/>
          <w:szCs w:val="24"/>
          <w:shd w:val="clear"/>
          <w:lang w:val="en-US" w:eastAsia="zh-CN" w:bidi="ar"/>
        </w:rPr>
        <w:t>A.</w:t>
      </w:r>
      <w:r>
        <w:rPr>
          <w:rFonts w:hint="eastAsia" w:ascii="Times New Roman" w:hAnsi="Times New Roman" w:eastAsia="仿宋" w:cs="Times New Roman"/>
          <w:b w:val="0"/>
          <w:bCs w:val="0"/>
          <w:i w:val="0"/>
          <w:iCs w:val="0"/>
          <w:caps w:val="0"/>
          <w:color w:val="auto"/>
          <w:spacing w:val="0"/>
          <w:kern w:val="0"/>
          <w:sz w:val="24"/>
          <w:szCs w:val="24"/>
          <w:shd w:val="clear"/>
          <w:lang w:val="en-US" w:eastAsia="zh-CN" w:bidi="ar"/>
        </w:rPr>
        <w:t xml:space="preserve"> Results included in the quantitative syntheses</w:t>
      </w:r>
    </w:p>
    <w:tbl>
      <w:tblPr>
        <w:tblStyle w:val="7"/>
        <w:tblW w:w="16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1559"/>
        <w:gridCol w:w="1417"/>
        <w:gridCol w:w="1984"/>
        <w:gridCol w:w="1502"/>
        <w:gridCol w:w="1502"/>
        <w:gridCol w:w="1502"/>
        <w:gridCol w:w="1502"/>
        <w:gridCol w:w="1502"/>
        <w:gridCol w:w="1502"/>
      </w:tblGrid>
      <w:tr w14:paraId="5659B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2268" w:type="dxa"/>
            <w:vAlign w:val="top"/>
          </w:tcPr>
          <w:p w14:paraId="09D4F504">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pPr>
            <w:r>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t>Study</w:t>
            </w:r>
          </w:p>
        </w:tc>
        <w:tc>
          <w:tcPr>
            <w:tcW w:w="1559" w:type="dxa"/>
            <w:vAlign w:val="top"/>
          </w:tcPr>
          <w:p w14:paraId="00B40F3E">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pPr>
            <w:r>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t>Outcome</w:t>
            </w:r>
          </w:p>
        </w:tc>
        <w:tc>
          <w:tcPr>
            <w:tcW w:w="1417" w:type="dxa"/>
            <w:vAlign w:val="top"/>
          </w:tcPr>
          <w:p w14:paraId="30EED654">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pPr>
            <w:r>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t>Scale</w:t>
            </w:r>
          </w:p>
        </w:tc>
        <w:tc>
          <w:tcPr>
            <w:tcW w:w="1984" w:type="dxa"/>
            <w:vAlign w:val="top"/>
          </w:tcPr>
          <w:p w14:paraId="456AB385">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pPr>
            <w:r>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t>Assessment time</w:t>
            </w:r>
          </w:p>
        </w:tc>
        <w:tc>
          <w:tcPr>
            <w:tcW w:w="1502" w:type="dxa"/>
            <w:vAlign w:val="top"/>
          </w:tcPr>
          <w:p w14:paraId="028916D9">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pPr>
            <w:r>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t>D1</w:t>
            </w:r>
          </w:p>
        </w:tc>
        <w:tc>
          <w:tcPr>
            <w:tcW w:w="1502" w:type="dxa"/>
            <w:vAlign w:val="top"/>
          </w:tcPr>
          <w:p w14:paraId="1C8D8D32">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pPr>
            <w:r>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t>D2</w:t>
            </w:r>
          </w:p>
        </w:tc>
        <w:tc>
          <w:tcPr>
            <w:tcW w:w="1502" w:type="dxa"/>
            <w:vAlign w:val="top"/>
          </w:tcPr>
          <w:p w14:paraId="2CF69888">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pPr>
            <w:r>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t>D3</w:t>
            </w:r>
          </w:p>
        </w:tc>
        <w:tc>
          <w:tcPr>
            <w:tcW w:w="1502" w:type="dxa"/>
            <w:vAlign w:val="top"/>
          </w:tcPr>
          <w:p w14:paraId="6D17173B">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pPr>
            <w:r>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t>D4</w:t>
            </w:r>
          </w:p>
        </w:tc>
        <w:tc>
          <w:tcPr>
            <w:tcW w:w="1502" w:type="dxa"/>
            <w:vAlign w:val="top"/>
          </w:tcPr>
          <w:p w14:paraId="4AA7D796">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pPr>
            <w:r>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t>D5</w:t>
            </w:r>
          </w:p>
        </w:tc>
        <w:tc>
          <w:tcPr>
            <w:tcW w:w="1502" w:type="dxa"/>
            <w:vAlign w:val="top"/>
          </w:tcPr>
          <w:p w14:paraId="61C440EE">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pPr>
            <w:r>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t>Overall</w:t>
            </w:r>
          </w:p>
        </w:tc>
      </w:tr>
      <w:tr w14:paraId="2CBAF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268" w:type="dxa"/>
            <w:vAlign w:val="center"/>
          </w:tcPr>
          <w:p w14:paraId="01C10CD9">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Seethaler et al.</w:t>
            </w:r>
          </w:p>
        </w:tc>
        <w:tc>
          <w:tcPr>
            <w:tcW w:w="1559" w:type="dxa"/>
            <w:vAlign w:val="center"/>
          </w:tcPr>
          <w:p w14:paraId="1850C7AB">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Anxiety</w:t>
            </w:r>
          </w:p>
        </w:tc>
        <w:tc>
          <w:tcPr>
            <w:tcW w:w="1417" w:type="dxa"/>
            <w:vAlign w:val="center"/>
          </w:tcPr>
          <w:p w14:paraId="41F9EFAA">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STAI</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X1</w:t>
            </w:r>
          </w:p>
        </w:tc>
        <w:tc>
          <w:tcPr>
            <w:tcW w:w="1984" w:type="dxa"/>
            <w:vAlign w:val="center"/>
          </w:tcPr>
          <w:p w14:paraId="56EE3E33">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Immediately after the intervention</w:t>
            </w:r>
          </w:p>
        </w:tc>
        <w:tc>
          <w:tcPr>
            <w:tcW w:w="1502" w:type="dxa"/>
            <w:vAlign w:val="center"/>
          </w:tcPr>
          <w:p w14:paraId="431925AA">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21751FAB">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2D54E74E">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57642814">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1BF10164">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36E47319">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4F9F5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0A5A308C">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Seethaler et al.</w:t>
            </w:r>
          </w:p>
        </w:tc>
        <w:tc>
          <w:tcPr>
            <w:tcW w:w="1559" w:type="dxa"/>
            <w:vAlign w:val="center"/>
          </w:tcPr>
          <w:p w14:paraId="13B571DA">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Positive affect</w:t>
            </w:r>
          </w:p>
        </w:tc>
        <w:tc>
          <w:tcPr>
            <w:tcW w:w="1417" w:type="dxa"/>
            <w:vAlign w:val="center"/>
          </w:tcPr>
          <w:p w14:paraId="43D6FC89">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PANAS</w:t>
            </w:r>
          </w:p>
        </w:tc>
        <w:tc>
          <w:tcPr>
            <w:tcW w:w="1984" w:type="dxa"/>
            <w:vAlign w:val="center"/>
          </w:tcPr>
          <w:p w14:paraId="3EE315E6">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Immediately after the intervention</w:t>
            </w:r>
          </w:p>
        </w:tc>
        <w:tc>
          <w:tcPr>
            <w:tcW w:w="1502" w:type="dxa"/>
            <w:vAlign w:val="center"/>
          </w:tcPr>
          <w:p w14:paraId="4AB5A834">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3115DECF">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16D1293C">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543C722E">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027EF026">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356AAE67">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107B2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737CB06B">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Seethaler et al.</w:t>
            </w:r>
          </w:p>
        </w:tc>
        <w:tc>
          <w:tcPr>
            <w:tcW w:w="1559" w:type="dxa"/>
            <w:vAlign w:val="center"/>
          </w:tcPr>
          <w:p w14:paraId="2DD70F78">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Negative affect</w:t>
            </w:r>
          </w:p>
        </w:tc>
        <w:tc>
          <w:tcPr>
            <w:tcW w:w="1417" w:type="dxa"/>
            <w:vAlign w:val="center"/>
          </w:tcPr>
          <w:p w14:paraId="2928D4BF">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PANAS</w:t>
            </w:r>
          </w:p>
        </w:tc>
        <w:tc>
          <w:tcPr>
            <w:tcW w:w="1984" w:type="dxa"/>
            <w:vAlign w:val="center"/>
          </w:tcPr>
          <w:p w14:paraId="0D558666">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Immediately after the intervention</w:t>
            </w:r>
          </w:p>
        </w:tc>
        <w:tc>
          <w:tcPr>
            <w:tcW w:w="1502" w:type="dxa"/>
            <w:vAlign w:val="center"/>
          </w:tcPr>
          <w:p w14:paraId="6FDC7A1D">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61CF8449">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3BFE8C89">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1E5FD2E4">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7BDD0FCD">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25F0938C">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26A5F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6227187F">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Seethaler et al.</w:t>
            </w:r>
          </w:p>
        </w:tc>
        <w:tc>
          <w:tcPr>
            <w:tcW w:w="1559" w:type="dxa"/>
            <w:vAlign w:val="center"/>
          </w:tcPr>
          <w:p w14:paraId="6EB8C2AB">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Well</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being</w:t>
            </w:r>
          </w:p>
        </w:tc>
        <w:tc>
          <w:tcPr>
            <w:tcW w:w="1417" w:type="dxa"/>
            <w:vAlign w:val="center"/>
          </w:tcPr>
          <w:p w14:paraId="3C4F5DDD">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VAS</w:t>
            </w:r>
          </w:p>
        </w:tc>
        <w:tc>
          <w:tcPr>
            <w:tcW w:w="1984" w:type="dxa"/>
            <w:vAlign w:val="center"/>
          </w:tcPr>
          <w:p w14:paraId="0DD11B9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Immediately after the intervention</w:t>
            </w:r>
          </w:p>
        </w:tc>
        <w:tc>
          <w:tcPr>
            <w:tcW w:w="1502" w:type="dxa"/>
            <w:vAlign w:val="center"/>
          </w:tcPr>
          <w:p w14:paraId="2606F961">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32AF7E24">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6AE2EE4A">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0CAC53A7">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162F220C">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62A90BB4">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38C0B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79B44D58">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Seethaler et al.</w:t>
            </w:r>
          </w:p>
        </w:tc>
        <w:tc>
          <w:tcPr>
            <w:tcW w:w="1559" w:type="dxa"/>
            <w:vAlign w:val="center"/>
          </w:tcPr>
          <w:p w14:paraId="71570605">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Stress</w:t>
            </w:r>
          </w:p>
        </w:tc>
        <w:tc>
          <w:tcPr>
            <w:tcW w:w="1417" w:type="dxa"/>
            <w:vAlign w:val="center"/>
          </w:tcPr>
          <w:p w14:paraId="39FCC824">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VAS</w:t>
            </w:r>
          </w:p>
        </w:tc>
        <w:tc>
          <w:tcPr>
            <w:tcW w:w="1984" w:type="dxa"/>
            <w:vAlign w:val="center"/>
          </w:tcPr>
          <w:p w14:paraId="75E3358D">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Immediately after the intervention</w:t>
            </w:r>
          </w:p>
        </w:tc>
        <w:tc>
          <w:tcPr>
            <w:tcW w:w="1502" w:type="dxa"/>
            <w:vAlign w:val="center"/>
          </w:tcPr>
          <w:p w14:paraId="0530613C">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6D7BAD86">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146F7992">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3832BF81">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217A6485">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5878B35B">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56F7D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0A51B8D0">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Sadowski et al.</w:t>
            </w:r>
          </w:p>
        </w:tc>
        <w:tc>
          <w:tcPr>
            <w:tcW w:w="1559" w:type="dxa"/>
            <w:vAlign w:val="center"/>
          </w:tcPr>
          <w:p w14:paraId="76741FAB">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Stress</w:t>
            </w:r>
          </w:p>
        </w:tc>
        <w:tc>
          <w:tcPr>
            <w:tcW w:w="1417" w:type="dxa"/>
            <w:vAlign w:val="center"/>
          </w:tcPr>
          <w:p w14:paraId="70DE6EDB">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PSS</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10</w:t>
            </w:r>
          </w:p>
        </w:tc>
        <w:tc>
          <w:tcPr>
            <w:tcW w:w="1984" w:type="dxa"/>
            <w:vAlign w:val="center"/>
          </w:tcPr>
          <w:p w14:paraId="20A5BD67">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At the end of the 4</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week intervention</w:t>
            </w:r>
          </w:p>
        </w:tc>
        <w:tc>
          <w:tcPr>
            <w:tcW w:w="1502" w:type="dxa"/>
            <w:vAlign w:val="center"/>
          </w:tcPr>
          <w:p w14:paraId="17B69BB5">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0132EBCF">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550D4703">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795A56C3">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3C647A4F">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4B25772C">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53416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59A971F8">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Sadowski et al.</w:t>
            </w:r>
          </w:p>
        </w:tc>
        <w:tc>
          <w:tcPr>
            <w:tcW w:w="1559" w:type="dxa"/>
            <w:vAlign w:val="center"/>
          </w:tcPr>
          <w:p w14:paraId="12C8BF61">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Negative affect</w:t>
            </w:r>
          </w:p>
        </w:tc>
        <w:tc>
          <w:tcPr>
            <w:tcW w:w="1417" w:type="dxa"/>
            <w:vAlign w:val="center"/>
          </w:tcPr>
          <w:p w14:paraId="21BCB4FD">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SPANE</w:t>
            </w:r>
          </w:p>
        </w:tc>
        <w:tc>
          <w:tcPr>
            <w:tcW w:w="1984" w:type="dxa"/>
            <w:vAlign w:val="center"/>
          </w:tcPr>
          <w:p w14:paraId="00E9B5B4">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At the end of the 4</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week intervention</w:t>
            </w:r>
          </w:p>
        </w:tc>
        <w:tc>
          <w:tcPr>
            <w:tcW w:w="1502" w:type="dxa"/>
            <w:vAlign w:val="center"/>
          </w:tcPr>
          <w:p w14:paraId="6C0E7460">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1708E0B2">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05A5F9B5">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1BB671DD">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184C28B9">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2755EC95">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602E7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678A54E4">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Sadowski et al.</w:t>
            </w:r>
          </w:p>
        </w:tc>
        <w:tc>
          <w:tcPr>
            <w:tcW w:w="1559" w:type="dxa"/>
            <w:vAlign w:val="center"/>
          </w:tcPr>
          <w:p w14:paraId="24A5997C">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Positive affect</w:t>
            </w:r>
          </w:p>
        </w:tc>
        <w:tc>
          <w:tcPr>
            <w:tcW w:w="1417" w:type="dxa"/>
            <w:vAlign w:val="center"/>
          </w:tcPr>
          <w:p w14:paraId="023639F0">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SPANE</w:t>
            </w:r>
          </w:p>
        </w:tc>
        <w:tc>
          <w:tcPr>
            <w:tcW w:w="1984" w:type="dxa"/>
            <w:vAlign w:val="center"/>
          </w:tcPr>
          <w:p w14:paraId="46FC8152">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At the end of the 4</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week intervention</w:t>
            </w:r>
          </w:p>
        </w:tc>
        <w:tc>
          <w:tcPr>
            <w:tcW w:w="1502" w:type="dxa"/>
            <w:vAlign w:val="center"/>
          </w:tcPr>
          <w:p w14:paraId="02B0BDCA">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168B06F9">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49D78051">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3FD03890">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62B5A31D">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1C8C8D82">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251D4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70538258">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Sadowski et al.</w:t>
            </w:r>
          </w:p>
        </w:tc>
        <w:tc>
          <w:tcPr>
            <w:tcW w:w="1559" w:type="dxa"/>
            <w:vAlign w:val="center"/>
          </w:tcPr>
          <w:p w14:paraId="2B1B10B4">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Well</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being</w:t>
            </w:r>
          </w:p>
        </w:tc>
        <w:tc>
          <w:tcPr>
            <w:tcW w:w="1417" w:type="dxa"/>
            <w:vAlign w:val="center"/>
          </w:tcPr>
          <w:p w14:paraId="4C73350B">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FS</w:t>
            </w:r>
          </w:p>
        </w:tc>
        <w:tc>
          <w:tcPr>
            <w:tcW w:w="1984" w:type="dxa"/>
            <w:vAlign w:val="center"/>
          </w:tcPr>
          <w:p w14:paraId="7E1C78A9">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At the end of the 4</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week intervention</w:t>
            </w:r>
          </w:p>
        </w:tc>
        <w:tc>
          <w:tcPr>
            <w:tcW w:w="1502" w:type="dxa"/>
            <w:vAlign w:val="center"/>
          </w:tcPr>
          <w:p w14:paraId="1BBBAAA8">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524C7CF2">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15725238">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0D9BC27C">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01395B5D">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61E16B57">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6553B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074C862F">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Sadowski et al.</w:t>
            </w:r>
          </w:p>
        </w:tc>
        <w:tc>
          <w:tcPr>
            <w:tcW w:w="1559" w:type="dxa"/>
            <w:vAlign w:val="center"/>
          </w:tcPr>
          <w:p w14:paraId="0F1411BF">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Mindfulness</w:t>
            </w:r>
          </w:p>
        </w:tc>
        <w:tc>
          <w:tcPr>
            <w:tcW w:w="1417" w:type="dxa"/>
            <w:vAlign w:val="center"/>
          </w:tcPr>
          <w:p w14:paraId="78C376E9">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FFMQ</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SF</w:t>
            </w:r>
          </w:p>
        </w:tc>
        <w:tc>
          <w:tcPr>
            <w:tcW w:w="1984" w:type="dxa"/>
            <w:vAlign w:val="center"/>
          </w:tcPr>
          <w:p w14:paraId="2F8889BF">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At the end of the 4</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week intervention</w:t>
            </w:r>
          </w:p>
        </w:tc>
        <w:tc>
          <w:tcPr>
            <w:tcW w:w="1502" w:type="dxa"/>
            <w:vAlign w:val="center"/>
          </w:tcPr>
          <w:p w14:paraId="14811366">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5555218A">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7D2932B3">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13389BE4">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2BB52272">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459A3E1C">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52356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1CEF5DF7">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Prabhu et al.</w:t>
            </w:r>
          </w:p>
        </w:tc>
        <w:tc>
          <w:tcPr>
            <w:tcW w:w="1559" w:type="dxa"/>
            <w:vAlign w:val="center"/>
          </w:tcPr>
          <w:p w14:paraId="307A0B0B">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Pain</w:t>
            </w:r>
          </w:p>
        </w:tc>
        <w:tc>
          <w:tcPr>
            <w:tcW w:w="1417" w:type="dxa"/>
            <w:vAlign w:val="center"/>
          </w:tcPr>
          <w:p w14:paraId="678F29D2">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VAS</w:t>
            </w:r>
          </w:p>
        </w:tc>
        <w:tc>
          <w:tcPr>
            <w:tcW w:w="1984" w:type="dxa"/>
            <w:vAlign w:val="center"/>
          </w:tcPr>
          <w:p w14:paraId="765A6C9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Immediately after the preoperative VR/relaxation session</w:t>
            </w:r>
          </w:p>
        </w:tc>
        <w:tc>
          <w:tcPr>
            <w:tcW w:w="1502" w:type="dxa"/>
            <w:vAlign w:val="center"/>
          </w:tcPr>
          <w:p w14:paraId="29020DFD">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707E4518">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316D07CB">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4350C944">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2D259ECA">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1F2AF674">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0EB1D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711FB8BD">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Prabhu et al.</w:t>
            </w:r>
          </w:p>
        </w:tc>
        <w:tc>
          <w:tcPr>
            <w:tcW w:w="1559" w:type="dxa"/>
            <w:vAlign w:val="center"/>
          </w:tcPr>
          <w:p w14:paraId="17EE5223">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Anxiety</w:t>
            </w:r>
          </w:p>
        </w:tc>
        <w:tc>
          <w:tcPr>
            <w:tcW w:w="1417" w:type="dxa"/>
            <w:vAlign w:val="center"/>
          </w:tcPr>
          <w:p w14:paraId="7D8BC6CC">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STAI</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6</w:t>
            </w:r>
          </w:p>
        </w:tc>
        <w:tc>
          <w:tcPr>
            <w:tcW w:w="1984" w:type="dxa"/>
            <w:vAlign w:val="center"/>
          </w:tcPr>
          <w:p w14:paraId="05C0B77E">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Immediately after the preoperative VR/relaxation session</w:t>
            </w:r>
          </w:p>
        </w:tc>
        <w:tc>
          <w:tcPr>
            <w:tcW w:w="1502" w:type="dxa"/>
            <w:vAlign w:val="center"/>
          </w:tcPr>
          <w:p w14:paraId="40F4EE6E">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61A63BE9">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40B2CD95">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266DFCE6">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0579A182">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2D50F239">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34AF1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2841198B">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Szczepańska</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Gieracha et al.</w:t>
            </w:r>
          </w:p>
        </w:tc>
        <w:tc>
          <w:tcPr>
            <w:tcW w:w="1559" w:type="dxa"/>
            <w:vAlign w:val="center"/>
          </w:tcPr>
          <w:p w14:paraId="0A024709">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Depression </w:t>
            </w:r>
          </w:p>
        </w:tc>
        <w:tc>
          <w:tcPr>
            <w:tcW w:w="1417" w:type="dxa"/>
            <w:vAlign w:val="center"/>
          </w:tcPr>
          <w:p w14:paraId="0006393D">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GDS</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30</w:t>
            </w:r>
          </w:p>
        </w:tc>
        <w:tc>
          <w:tcPr>
            <w:tcW w:w="1984" w:type="dxa"/>
            <w:vAlign w:val="center"/>
          </w:tcPr>
          <w:p w14:paraId="4CCCCA55">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At the end of the 4</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week intervention</w:t>
            </w:r>
          </w:p>
        </w:tc>
        <w:tc>
          <w:tcPr>
            <w:tcW w:w="1502" w:type="dxa"/>
            <w:vAlign w:val="center"/>
          </w:tcPr>
          <w:p w14:paraId="0FE6009D">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632C8457">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5215DE2F">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51DA1552">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5C972591">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3810719F">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6D172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21534D0F">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Szczepańska</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Gieracha et al.</w:t>
            </w:r>
          </w:p>
        </w:tc>
        <w:tc>
          <w:tcPr>
            <w:tcW w:w="1559" w:type="dxa"/>
            <w:vAlign w:val="center"/>
          </w:tcPr>
          <w:p w14:paraId="0EA4FA00">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Anxiety</w:t>
            </w:r>
          </w:p>
        </w:tc>
        <w:tc>
          <w:tcPr>
            <w:tcW w:w="1417" w:type="dxa"/>
            <w:vAlign w:val="center"/>
          </w:tcPr>
          <w:p w14:paraId="349661BB">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HADS</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A</w:t>
            </w:r>
          </w:p>
        </w:tc>
        <w:tc>
          <w:tcPr>
            <w:tcW w:w="1984" w:type="dxa"/>
            <w:vAlign w:val="center"/>
          </w:tcPr>
          <w:p w14:paraId="686D2647">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At the end of the 4</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week intervention</w:t>
            </w:r>
          </w:p>
        </w:tc>
        <w:tc>
          <w:tcPr>
            <w:tcW w:w="1502" w:type="dxa"/>
            <w:vAlign w:val="center"/>
          </w:tcPr>
          <w:p w14:paraId="05DC224B">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57D87242">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7695097F">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7D47935A">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582E03F7">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5FE0410B">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4DEB8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52C42D8E">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Szczepańska</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Gieracha et al.</w:t>
            </w:r>
          </w:p>
        </w:tc>
        <w:tc>
          <w:tcPr>
            <w:tcW w:w="1559" w:type="dxa"/>
            <w:vAlign w:val="center"/>
          </w:tcPr>
          <w:p w14:paraId="019FFC2F">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Stress</w:t>
            </w:r>
          </w:p>
        </w:tc>
        <w:tc>
          <w:tcPr>
            <w:tcW w:w="1417" w:type="dxa"/>
            <w:vAlign w:val="center"/>
          </w:tcPr>
          <w:p w14:paraId="74A19F04">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PSQ</w:t>
            </w:r>
          </w:p>
        </w:tc>
        <w:tc>
          <w:tcPr>
            <w:tcW w:w="1984" w:type="dxa"/>
            <w:vAlign w:val="center"/>
          </w:tcPr>
          <w:p w14:paraId="6DA8247E">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At the end of the 4</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week intervention</w:t>
            </w:r>
          </w:p>
        </w:tc>
        <w:tc>
          <w:tcPr>
            <w:tcW w:w="1502" w:type="dxa"/>
            <w:vAlign w:val="center"/>
          </w:tcPr>
          <w:p w14:paraId="0D6ECF17">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45AB3BBF">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4F9B6FCA">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46ED9285">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1E29F63D">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6A24BAE3">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492D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6879DAF7">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Cieślik et al.</w:t>
            </w:r>
          </w:p>
        </w:tc>
        <w:tc>
          <w:tcPr>
            <w:tcW w:w="1559" w:type="dxa"/>
            <w:vAlign w:val="center"/>
          </w:tcPr>
          <w:p w14:paraId="5199FF38">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Depression</w:t>
            </w:r>
          </w:p>
        </w:tc>
        <w:tc>
          <w:tcPr>
            <w:tcW w:w="1417" w:type="dxa"/>
            <w:vAlign w:val="center"/>
          </w:tcPr>
          <w:p w14:paraId="47591EB6">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GDS</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30</w:t>
            </w:r>
          </w:p>
        </w:tc>
        <w:tc>
          <w:tcPr>
            <w:tcW w:w="1984" w:type="dxa"/>
            <w:vAlign w:val="center"/>
          </w:tcPr>
          <w:p w14:paraId="3887A729">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At the end of the 4</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week intervention</w:t>
            </w:r>
          </w:p>
        </w:tc>
        <w:tc>
          <w:tcPr>
            <w:tcW w:w="1502" w:type="dxa"/>
            <w:vAlign w:val="center"/>
          </w:tcPr>
          <w:p w14:paraId="32911094">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3EA9E37D">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6B6DC203">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5090FBDE">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760FF50F">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672384DB">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31860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751ACA5D">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Cieślik et al.</w:t>
            </w:r>
          </w:p>
        </w:tc>
        <w:tc>
          <w:tcPr>
            <w:tcW w:w="1559" w:type="dxa"/>
            <w:vAlign w:val="center"/>
          </w:tcPr>
          <w:p w14:paraId="473FBC66">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Anxiety</w:t>
            </w:r>
          </w:p>
        </w:tc>
        <w:tc>
          <w:tcPr>
            <w:tcW w:w="1417" w:type="dxa"/>
            <w:vAlign w:val="center"/>
          </w:tcPr>
          <w:p w14:paraId="73F1DC25">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HADS</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A</w:t>
            </w:r>
          </w:p>
        </w:tc>
        <w:tc>
          <w:tcPr>
            <w:tcW w:w="1984" w:type="dxa"/>
            <w:vAlign w:val="center"/>
          </w:tcPr>
          <w:p w14:paraId="79046104">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At the end of the 4</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week intervention</w:t>
            </w:r>
          </w:p>
        </w:tc>
        <w:tc>
          <w:tcPr>
            <w:tcW w:w="1502" w:type="dxa"/>
            <w:vAlign w:val="center"/>
          </w:tcPr>
          <w:p w14:paraId="1A54D41C">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2C3CF567">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239A8EC4">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1599D5B9">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03430DC4">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589AA901">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58CA1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7E07E4E4">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Kwon et al.</w:t>
            </w:r>
          </w:p>
        </w:tc>
        <w:tc>
          <w:tcPr>
            <w:tcW w:w="1559" w:type="dxa"/>
            <w:vAlign w:val="center"/>
          </w:tcPr>
          <w:p w14:paraId="532A635B">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Stress</w:t>
            </w:r>
          </w:p>
        </w:tc>
        <w:tc>
          <w:tcPr>
            <w:tcW w:w="1417" w:type="dxa"/>
            <w:vAlign w:val="center"/>
          </w:tcPr>
          <w:p w14:paraId="12A8A804">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PSS</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4</w:t>
            </w:r>
          </w:p>
        </w:tc>
        <w:tc>
          <w:tcPr>
            <w:tcW w:w="1984" w:type="dxa"/>
            <w:vAlign w:val="center"/>
          </w:tcPr>
          <w:p w14:paraId="7D2DA33F">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At the end of the 3</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week intervention</w:t>
            </w:r>
          </w:p>
        </w:tc>
        <w:tc>
          <w:tcPr>
            <w:tcW w:w="1502" w:type="dxa"/>
            <w:vAlign w:val="center"/>
          </w:tcPr>
          <w:p w14:paraId="12B3EE12">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0A3B6B06">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05656E73">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312DB610">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47C616B3">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4C361B17">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34538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238408AA">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Kwon et al.</w:t>
            </w:r>
          </w:p>
        </w:tc>
        <w:tc>
          <w:tcPr>
            <w:tcW w:w="1559" w:type="dxa"/>
            <w:vAlign w:val="center"/>
          </w:tcPr>
          <w:p w14:paraId="6B30428E">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Anxiety</w:t>
            </w:r>
          </w:p>
        </w:tc>
        <w:tc>
          <w:tcPr>
            <w:tcW w:w="1417" w:type="dxa"/>
            <w:vAlign w:val="center"/>
          </w:tcPr>
          <w:p w14:paraId="25581AC7">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PROMIS</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A</w:t>
            </w:r>
          </w:p>
        </w:tc>
        <w:tc>
          <w:tcPr>
            <w:tcW w:w="1984" w:type="dxa"/>
            <w:vAlign w:val="center"/>
          </w:tcPr>
          <w:p w14:paraId="575969D5">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At the end of the 3</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week intervention</w:t>
            </w:r>
          </w:p>
        </w:tc>
        <w:tc>
          <w:tcPr>
            <w:tcW w:w="1502" w:type="dxa"/>
            <w:vAlign w:val="center"/>
          </w:tcPr>
          <w:p w14:paraId="370ABF53">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76EFDFA6">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5F25902F">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757B4617">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384ACF91">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78812BE7">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2B02C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1413256B">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Kwon et al.</w:t>
            </w:r>
          </w:p>
        </w:tc>
        <w:tc>
          <w:tcPr>
            <w:tcW w:w="1559" w:type="dxa"/>
            <w:vAlign w:val="center"/>
          </w:tcPr>
          <w:p w14:paraId="0207DF6B">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Depression</w:t>
            </w:r>
          </w:p>
        </w:tc>
        <w:tc>
          <w:tcPr>
            <w:tcW w:w="1417" w:type="dxa"/>
            <w:vAlign w:val="center"/>
          </w:tcPr>
          <w:p w14:paraId="10B8787D">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PROMIS</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D</w:t>
            </w:r>
          </w:p>
        </w:tc>
        <w:tc>
          <w:tcPr>
            <w:tcW w:w="1984" w:type="dxa"/>
            <w:vAlign w:val="center"/>
          </w:tcPr>
          <w:p w14:paraId="01E5AC3D">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At the end of the 3</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week intervention</w:t>
            </w:r>
          </w:p>
        </w:tc>
        <w:tc>
          <w:tcPr>
            <w:tcW w:w="1502" w:type="dxa"/>
            <w:vAlign w:val="center"/>
          </w:tcPr>
          <w:p w14:paraId="1F6BBD3F">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2F936095">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4170416B">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55952C8D">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0D42B948">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06B6AF76">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2B7D9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369A552E">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Kwon et al.</w:t>
            </w:r>
          </w:p>
        </w:tc>
        <w:tc>
          <w:tcPr>
            <w:tcW w:w="1559" w:type="dxa"/>
            <w:vAlign w:val="center"/>
          </w:tcPr>
          <w:p w14:paraId="0EE2E06F">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Positive affect</w:t>
            </w:r>
          </w:p>
        </w:tc>
        <w:tc>
          <w:tcPr>
            <w:tcW w:w="1417" w:type="dxa"/>
            <w:vAlign w:val="center"/>
          </w:tcPr>
          <w:p w14:paraId="07285E51">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CES</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D positive</w:t>
            </w:r>
            <w:r>
              <w:rPr>
                <w:rFonts w:hint="eastAsia" w:ascii="Times New Roman" w:hAnsi="Times New Roman" w:eastAsia="宋体" w:cs="Times New Roman"/>
                <w:i w:val="0"/>
                <w:iCs w:val="0"/>
                <w:color w:val="000000"/>
                <w:kern w:val="0"/>
                <w:sz w:val="21"/>
                <w:szCs w:val="21"/>
                <w:u w:val="none"/>
                <w:lang w:val="en-US" w:eastAsia="zh-CN" w:bidi="ar"/>
              </w:rPr>
              <w:t xml:space="preserve"> </w:t>
            </w:r>
            <w:r>
              <w:rPr>
                <w:rFonts w:hint="default" w:ascii="Times New Roman" w:hAnsi="Times New Roman" w:eastAsia="宋体" w:cs="Times New Roman"/>
                <w:i w:val="0"/>
                <w:iCs w:val="0"/>
                <w:color w:val="000000"/>
                <w:kern w:val="0"/>
                <w:sz w:val="21"/>
                <w:szCs w:val="21"/>
                <w:u w:val="none"/>
                <w:lang w:val="en-US" w:eastAsia="zh-CN" w:bidi="ar"/>
              </w:rPr>
              <w:t>affect subscale</w:t>
            </w:r>
          </w:p>
        </w:tc>
        <w:tc>
          <w:tcPr>
            <w:tcW w:w="1984" w:type="dxa"/>
            <w:vAlign w:val="center"/>
          </w:tcPr>
          <w:p w14:paraId="658C7F6D">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At the end of the 3</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week intervention</w:t>
            </w:r>
          </w:p>
        </w:tc>
        <w:tc>
          <w:tcPr>
            <w:tcW w:w="1502" w:type="dxa"/>
            <w:vAlign w:val="center"/>
          </w:tcPr>
          <w:p w14:paraId="28C1E908">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24A0FD63">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13DD57B6">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5F7A4C4E">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7702EC4B">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5F717EEF">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29004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2ECA1B55">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Kwon et al.</w:t>
            </w:r>
          </w:p>
        </w:tc>
        <w:tc>
          <w:tcPr>
            <w:tcW w:w="1559" w:type="dxa"/>
            <w:vAlign w:val="center"/>
          </w:tcPr>
          <w:p w14:paraId="7262D511">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Mindfulness</w:t>
            </w:r>
          </w:p>
        </w:tc>
        <w:tc>
          <w:tcPr>
            <w:tcW w:w="1417" w:type="dxa"/>
            <w:vAlign w:val="center"/>
          </w:tcPr>
          <w:p w14:paraId="2587939D">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MAAS</w:t>
            </w:r>
          </w:p>
        </w:tc>
        <w:tc>
          <w:tcPr>
            <w:tcW w:w="1984" w:type="dxa"/>
            <w:vAlign w:val="center"/>
          </w:tcPr>
          <w:p w14:paraId="6AA5A04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At the end of the 3</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week intervention</w:t>
            </w:r>
          </w:p>
        </w:tc>
        <w:tc>
          <w:tcPr>
            <w:tcW w:w="1502" w:type="dxa"/>
            <w:vAlign w:val="center"/>
          </w:tcPr>
          <w:p w14:paraId="477C00F9">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35A9BDC0">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1765EADE">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5BB52487">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4CDD45E3">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5F95E061">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44D80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1043DBFE">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Li et al.</w:t>
            </w:r>
          </w:p>
        </w:tc>
        <w:tc>
          <w:tcPr>
            <w:tcW w:w="1559" w:type="dxa"/>
            <w:vAlign w:val="center"/>
          </w:tcPr>
          <w:p w14:paraId="21DE02C8">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Anxiety</w:t>
            </w:r>
          </w:p>
        </w:tc>
        <w:tc>
          <w:tcPr>
            <w:tcW w:w="1417" w:type="dxa"/>
            <w:vAlign w:val="center"/>
          </w:tcPr>
          <w:p w14:paraId="2A628E03">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STAI</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SAI</w:t>
            </w:r>
          </w:p>
        </w:tc>
        <w:tc>
          <w:tcPr>
            <w:tcW w:w="1984" w:type="dxa"/>
            <w:vAlign w:val="center"/>
          </w:tcPr>
          <w:p w14:paraId="248D3437">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At discharge (T3), after completion of the repeated VR-guided imagery intervention</w:t>
            </w:r>
          </w:p>
        </w:tc>
        <w:tc>
          <w:tcPr>
            <w:tcW w:w="1502" w:type="dxa"/>
            <w:vAlign w:val="center"/>
          </w:tcPr>
          <w:p w14:paraId="0310740B">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5DDB91C9">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338DBEBE">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7527316C">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7CBD30D5">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7D7BC0F8">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2EBDE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251ED0F4">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Burrows et al.</w:t>
            </w:r>
          </w:p>
        </w:tc>
        <w:tc>
          <w:tcPr>
            <w:tcW w:w="1559" w:type="dxa"/>
            <w:vAlign w:val="center"/>
          </w:tcPr>
          <w:p w14:paraId="16A163D2">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Mindfulness</w:t>
            </w:r>
          </w:p>
        </w:tc>
        <w:tc>
          <w:tcPr>
            <w:tcW w:w="1417" w:type="dxa"/>
            <w:vAlign w:val="center"/>
          </w:tcPr>
          <w:p w14:paraId="68B71DAF">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FFMQ</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SF</w:t>
            </w:r>
          </w:p>
        </w:tc>
        <w:tc>
          <w:tcPr>
            <w:tcW w:w="1984" w:type="dxa"/>
            <w:vAlign w:val="center"/>
          </w:tcPr>
          <w:p w14:paraId="6FD0A333">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At the end of the 2</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week intervention</w:t>
            </w:r>
          </w:p>
        </w:tc>
        <w:tc>
          <w:tcPr>
            <w:tcW w:w="1502" w:type="dxa"/>
            <w:vAlign w:val="center"/>
          </w:tcPr>
          <w:p w14:paraId="47329E1F">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6DE998B6">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3706BACC">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3DF8DF3B">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11C371AE">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48C5922E">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69179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0D3ECA4D">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Burrows et al.</w:t>
            </w:r>
          </w:p>
        </w:tc>
        <w:tc>
          <w:tcPr>
            <w:tcW w:w="1559" w:type="dxa"/>
            <w:vAlign w:val="center"/>
          </w:tcPr>
          <w:p w14:paraId="634916BD">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Depression</w:t>
            </w:r>
          </w:p>
        </w:tc>
        <w:tc>
          <w:tcPr>
            <w:tcW w:w="1417" w:type="dxa"/>
            <w:vAlign w:val="center"/>
          </w:tcPr>
          <w:p w14:paraId="29B25676">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PROMIS</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D</w:t>
            </w:r>
          </w:p>
        </w:tc>
        <w:tc>
          <w:tcPr>
            <w:tcW w:w="1984" w:type="dxa"/>
            <w:vAlign w:val="center"/>
          </w:tcPr>
          <w:p w14:paraId="60EBD70C">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At the end of the 2</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week intervention</w:t>
            </w:r>
          </w:p>
        </w:tc>
        <w:tc>
          <w:tcPr>
            <w:tcW w:w="1502" w:type="dxa"/>
            <w:vAlign w:val="center"/>
          </w:tcPr>
          <w:p w14:paraId="51063C85">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7C0CDFF6">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300D6CB0">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4AF1673D">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7BC8A3F9">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3570D343">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56E37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1BF4D187">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Modrego</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Alarcón et al.</w:t>
            </w:r>
          </w:p>
        </w:tc>
        <w:tc>
          <w:tcPr>
            <w:tcW w:w="1559" w:type="dxa"/>
            <w:vAlign w:val="center"/>
          </w:tcPr>
          <w:p w14:paraId="7B6F6967">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Depression</w:t>
            </w:r>
          </w:p>
        </w:tc>
        <w:tc>
          <w:tcPr>
            <w:tcW w:w="1417" w:type="dxa"/>
            <w:vAlign w:val="center"/>
          </w:tcPr>
          <w:p w14:paraId="6E2DFFBA">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DASS</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21</w:t>
            </w:r>
          </w:p>
        </w:tc>
        <w:tc>
          <w:tcPr>
            <w:tcW w:w="1984" w:type="dxa"/>
            <w:vAlign w:val="center"/>
          </w:tcPr>
          <w:p w14:paraId="5CAC06FC">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At the end of the 6</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week intervention</w:t>
            </w:r>
          </w:p>
        </w:tc>
        <w:tc>
          <w:tcPr>
            <w:tcW w:w="1502" w:type="dxa"/>
            <w:vAlign w:val="center"/>
          </w:tcPr>
          <w:p w14:paraId="13E3857B">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55001212">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785808EC">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High risk</w:t>
            </w:r>
          </w:p>
        </w:tc>
        <w:tc>
          <w:tcPr>
            <w:tcW w:w="1502" w:type="dxa"/>
            <w:vAlign w:val="center"/>
          </w:tcPr>
          <w:p w14:paraId="3B003F47">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1E9F7AA7">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409F4CBC">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High risk</w:t>
            </w:r>
          </w:p>
        </w:tc>
      </w:tr>
      <w:tr w14:paraId="65A82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138B0156">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Modrego</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Alarcón et al.</w:t>
            </w:r>
          </w:p>
        </w:tc>
        <w:tc>
          <w:tcPr>
            <w:tcW w:w="1559" w:type="dxa"/>
            <w:vAlign w:val="center"/>
          </w:tcPr>
          <w:p w14:paraId="6A1A48FF">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Anxiety</w:t>
            </w:r>
          </w:p>
        </w:tc>
        <w:tc>
          <w:tcPr>
            <w:tcW w:w="1417" w:type="dxa"/>
            <w:vAlign w:val="center"/>
          </w:tcPr>
          <w:p w14:paraId="33585DE7">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DASS</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21</w:t>
            </w:r>
          </w:p>
        </w:tc>
        <w:tc>
          <w:tcPr>
            <w:tcW w:w="1984" w:type="dxa"/>
            <w:vAlign w:val="center"/>
          </w:tcPr>
          <w:p w14:paraId="23985FB5">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At the end of the 6</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week intervention</w:t>
            </w:r>
          </w:p>
        </w:tc>
        <w:tc>
          <w:tcPr>
            <w:tcW w:w="1502" w:type="dxa"/>
            <w:vAlign w:val="center"/>
          </w:tcPr>
          <w:p w14:paraId="7B42C30A">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591696A1">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5965D203">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High risk</w:t>
            </w:r>
          </w:p>
        </w:tc>
        <w:tc>
          <w:tcPr>
            <w:tcW w:w="1502" w:type="dxa"/>
            <w:vAlign w:val="center"/>
          </w:tcPr>
          <w:p w14:paraId="317D8D85">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08B52E64">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6D881E2C">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High risk</w:t>
            </w:r>
          </w:p>
        </w:tc>
      </w:tr>
      <w:tr w14:paraId="020EA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168CB11A">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Modrego</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Alarcón et al.</w:t>
            </w:r>
          </w:p>
        </w:tc>
        <w:tc>
          <w:tcPr>
            <w:tcW w:w="1559" w:type="dxa"/>
            <w:vAlign w:val="center"/>
          </w:tcPr>
          <w:p w14:paraId="7BC3FF76">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Stress</w:t>
            </w:r>
          </w:p>
        </w:tc>
        <w:tc>
          <w:tcPr>
            <w:tcW w:w="1417" w:type="dxa"/>
            <w:vAlign w:val="center"/>
          </w:tcPr>
          <w:p w14:paraId="393DD5D3">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DASS</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21</w:t>
            </w:r>
          </w:p>
        </w:tc>
        <w:tc>
          <w:tcPr>
            <w:tcW w:w="1984" w:type="dxa"/>
            <w:vAlign w:val="center"/>
          </w:tcPr>
          <w:p w14:paraId="2881F710">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At the end of the 6</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week intervention</w:t>
            </w:r>
          </w:p>
        </w:tc>
        <w:tc>
          <w:tcPr>
            <w:tcW w:w="1502" w:type="dxa"/>
            <w:vAlign w:val="center"/>
          </w:tcPr>
          <w:p w14:paraId="6D4454B6">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5226EAB9">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72FD39D6">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High risk</w:t>
            </w:r>
          </w:p>
        </w:tc>
        <w:tc>
          <w:tcPr>
            <w:tcW w:w="1502" w:type="dxa"/>
            <w:vAlign w:val="center"/>
          </w:tcPr>
          <w:p w14:paraId="544DBB4D">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0D421F15">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6D910EE9">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High risk</w:t>
            </w:r>
          </w:p>
        </w:tc>
      </w:tr>
      <w:tr w14:paraId="77E25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77556630">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Modrego</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Alarcón et al.</w:t>
            </w:r>
          </w:p>
        </w:tc>
        <w:tc>
          <w:tcPr>
            <w:tcW w:w="1559" w:type="dxa"/>
            <w:vAlign w:val="center"/>
          </w:tcPr>
          <w:p w14:paraId="44FD34D8">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Positive affect</w:t>
            </w:r>
          </w:p>
        </w:tc>
        <w:tc>
          <w:tcPr>
            <w:tcW w:w="1417" w:type="dxa"/>
            <w:vAlign w:val="center"/>
          </w:tcPr>
          <w:p w14:paraId="40B8516D">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PANAS</w:t>
            </w:r>
          </w:p>
        </w:tc>
        <w:tc>
          <w:tcPr>
            <w:tcW w:w="1984" w:type="dxa"/>
            <w:vAlign w:val="center"/>
          </w:tcPr>
          <w:p w14:paraId="6549828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At the end of the 6</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week intervention</w:t>
            </w:r>
          </w:p>
        </w:tc>
        <w:tc>
          <w:tcPr>
            <w:tcW w:w="1502" w:type="dxa"/>
            <w:vAlign w:val="center"/>
          </w:tcPr>
          <w:p w14:paraId="1067437F">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7B474062">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713F261E">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High risk</w:t>
            </w:r>
          </w:p>
        </w:tc>
        <w:tc>
          <w:tcPr>
            <w:tcW w:w="1502" w:type="dxa"/>
            <w:vAlign w:val="center"/>
          </w:tcPr>
          <w:p w14:paraId="3FFB22AF">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7E64CF5D">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77A740E7">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High risk</w:t>
            </w:r>
          </w:p>
        </w:tc>
      </w:tr>
      <w:tr w14:paraId="468B7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4E10C59C">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Modrego</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Alarcón et al.</w:t>
            </w:r>
          </w:p>
        </w:tc>
        <w:tc>
          <w:tcPr>
            <w:tcW w:w="1559" w:type="dxa"/>
            <w:vAlign w:val="center"/>
          </w:tcPr>
          <w:p w14:paraId="6AE0A66E">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Negative affect</w:t>
            </w:r>
          </w:p>
        </w:tc>
        <w:tc>
          <w:tcPr>
            <w:tcW w:w="1417" w:type="dxa"/>
            <w:vAlign w:val="center"/>
          </w:tcPr>
          <w:p w14:paraId="628C166B">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PANAS</w:t>
            </w:r>
          </w:p>
        </w:tc>
        <w:tc>
          <w:tcPr>
            <w:tcW w:w="1984" w:type="dxa"/>
            <w:vAlign w:val="center"/>
          </w:tcPr>
          <w:p w14:paraId="4BCDD864">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At the end of the 6</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week intervention</w:t>
            </w:r>
          </w:p>
        </w:tc>
        <w:tc>
          <w:tcPr>
            <w:tcW w:w="1502" w:type="dxa"/>
            <w:vAlign w:val="center"/>
          </w:tcPr>
          <w:p w14:paraId="2F4A994F">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40D64D06">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12614326">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High risk</w:t>
            </w:r>
          </w:p>
        </w:tc>
        <w:tc>
          <w:tcPr>
            <w:tcW w:w="1502" w:type="dxa"/>
            <w:vAlign w:val="center"/>
          </w:tcPr>
          <w:p w14:paraId="41E8F342">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6EBFC1E2">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2920F055">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High risk</w:t>
            </w:r>
          </w:p>
        </w:tc>
      </w:tr>
      <w:tr w14:paraId="66490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5FC72AF0">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Modrego</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Alarcón et al.</w:t>
            </w:r>
          </w:p>
        </w:tc>
        <w:tc>
          <w:tcPr>
            <w:tcW w:w="1559" w:type="dxa"/>
            <w:vAlign w:val="center"/>
          </w:tcPr>
          <w:p w14:paraId="47FF38B5">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Mindfulness</w:t>
            </w:r>
          </w:p>
        </w:tc>
        <w:tc>
          <w:tcPr>
            <w:tcW w:w="1417" w:type="dxa"/>
            <w:vAlign w:val="center"/>
          </w:tcPr>
          <w:p w14:paraId="02F4601B">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FFMQ</w:t>
            </w:r>
          </w:p>
        </w:tc>
        <w:tc>
          <w:tcPr>
            <w:tcW w:w="1984" w:type="dxa"/>
            <w:vAlign w:val="center"/>
          </w:tcPr>
          <w:p w14:paraId="4399FDF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At the end of the 6</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week intervention</w:t>
            </w:r>
          </w:p>
        </w:tc>
        <w:tc>
          <w:tcPr>
            <w:tcW w:w="1502" w:type="dxa"/>
            <w:vAlign w:val="center"/>
          </w:tcPr>
          <w:p w14:paraId="3BA23796">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3E3AF3A4">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7DDC126E">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High risk</w:t>
            </w:r>
          </w:p>
        </w:tc>
        <w:tc>
          <w:tcPr>
            <w:tcW w:w="1502" w:type="dxa"/>
            <w:vAlign w:val="center"/>
          </w:tcPr>
          <w:p w14:paraId="04688E5B">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5C823836">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5F4637AC">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High risk</w:t>
            </w:r>
          </w:p>
        </w:tc>
      </w:tr>
      <w:tr w14:paraId="1F792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48FD9795">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Rodrigues et al.</w:t>
            </w:r>
          </w:p>
        </w:tc>
        <w:tc>
          <w:tcPr>
            <w:tcW w:w="1559" w:type="dxa"/>
            <w:vAlign w:val="center"/>
          </w:tcPr>
          <w:p w14:paraId="6F1E705C">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Pain</w:t>
            </w:r>
          </w:p>
        </w:tc>
        <w:tc>
          <w:tcPr>
            <w:tcW w:w="1417" w:type="dxa"/>
            <w:vAlign w:val="center"/>
          </w:tcPr>
          <w:p w14:paraId="3E482817">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ESRS</w:t>
            </w:r>
          </w:p>
        </w:tc>
        <w:tc>
          <w:tcPr>
            <w:tcW w:w="1984" w:type="dxa"/>
            <w:vAlign w:val="center"/>
          </w:tcPr>
          <w:p w14:paraId="3652D7A0">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Immediately after the intervention</w:t>
            </w:r>
          </w:p>
        </w:tc>
        <w:tc>
          <w:tcPr>
            <w:tcW w:w="1502" w:type="dxa"/>
            <w:vAlign w:val="center"/>
          </w:tcPr>
          <w:p w14:paraId="7C4843A9">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611C6877">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351A29A4">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60CBEE84">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1EC8FF29">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69242DDB">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27109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714F0908">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Rodrigues et al.</w:t>
            </w:r>
          </w:p>
        </w:tc>
        <w:tc>
          <w:tcPr>
            <w:tcW w:w="1559" w:type="dxa"/>
            <w:vAlign w:val="center"/>
          </w:tcPr>
          <w:p w14:paraId="6636B74A">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Depression</w:t>
            </w:r>
          </w:p>
        </w:tc>
        <w:tc>
          <w:tcPr>
            <w:tcW w:w="1417" w:type="dxa"/>
            <w:vAlign w:val="center"/>
          </w:tcPr>
          <w:p w14:paraId="4049769C">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ESRS</w:t>
            </w:r>
          </w:p>
        </w:tc>
        <w:tc>
          <w:tcPr>
            <w:tcW w:w="1984" w:type="dxa"/>
            <w:vAlign w:val="center"/>
          </w:tcPr>
          <w:p w14:paraId="45E7F8E5">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Immediately after the intervention</w:t>
            </w:r>
          </w:p>
        </w:tc>
        <w:tc>
          <w:tcPr>
            <w:tcW w:w="1502" w:type="dxa"/>
            <w:vAlign w:val="center"/>
          </w:tcPr>
          <w:p w14:paraId="2E27C65C">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42A6B76C">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56774221">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668509AF">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529F2FB6">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0C8DB909">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11CB2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3BC0B17B">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Rodrigues et al.</w:t>
            </w:r>
          </w:p>
        </w:tc>
        <w:tc>
          <w:tcPr>
            <w:tcW w:w="1559" w:type="dxa"/>
            <w:vAlign w:val="center"/>
          </w:tcPr>
          <w:p w14:paraId="27C7022F">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Anxiety</w:t>
            </w:r>
          </w:p>
        </w:tc>
        <w:tc>
          <w:tcPr>
            <w:tcW w:w="1417" w:type="dxa"/>
            <w:vAlign w:val="center"/>
          </w:tcPr>
          <w:p w14:paraId="2550DE00">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ESRS</w:t>
            </w:r>
          </w:p>
        </w:tc>
        <w:tc>
          <w:tcPr>
            <w:tcW w:w="1984" w:type="dxa"/>
            <w:vAlign w:val="center"/>
          </w:tcPr>
          <w:p w14:paraId="436F583F">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Immediately after the intervention</w:t>
            </w:r>
          </w:p>
        </w:tc>
        <w:tc>
          <w:tcPr>
            <w:tcW w:w="1502" w:type="dxa"/>
            <w:vAlign w:val="center"/>
          </w:tcPr>
          <w:p w14:paraId="324FBE94">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0F19BCE3">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3CE396A0">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0EBD1385">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6855EC03">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4F294030">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74381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4" w:hRule="atLeast"/>
          <w:jc w:val="center"/>
        </w:trPr>
        <w:tc>
          <w:tcPr>
            <w:tcW w:w="2268" w:type="dxa"/>
            <w:vAlign w:val="center"/>
          </w:tcPr>
          <w:p w14:paraId="56F7781B">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Rodrigues et al.</w:t>
            </w:r>
          </w:p>
        </w:tc>
        <w:tc>
          <w:tcPr>
            <w:tcW w:w="1559" w:type="dxa"/>
            <w:vAlign w:val="center"/>
          </w:tcPr>
          <w:p w14:paraId="6348BEB6">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Well</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being</w:t>
            </w:r>
          </w:p>
        </w:tc>
        <w:tc>
          <w:tcPr>
            <w:tcW w:w="1417" w:type="dxa"/>
            <w:vAlign w:val="center"/>
          </w:tcPr>
          <w:p w14:paraId="513A0D23">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ESRS</w:t>
            </w:r>
          </w:p>
        </w:tc>
        <w:tc>
          <w:tcPr>
            <w:tcW w:w="1984" w:type="dxa"/>
            <w:vAlign w:val="center"/>
          </w:tcPr>
          <w:p w14:paraId="1F1C38C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Immediately after the intervention</w:t>
            </w:r>
          </w:p>
        </w:tc>
        <w:tc>
          <w:tcPr>
            <w:tcW w:w="1502" w:type="dxa"/>
            <w:vAlign w:val="center"/>
          </w:tcPr>
          <w:p w14:paraId="25B23EE5">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5811103A">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34846E92">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68F61988">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5E9912D2">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79E6A60F">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6F340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2268" w:type="dxa"/>
            <w:vAlign w:val="center"/>
          </w:tcPr>
          <w:p w14:paraId="76085512">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Cinalioglu et al. </w:t>
            </w:r>
          </w:p>
        </w:tc>
        <w:tc>
          <w:tcPr>
            <w:tcW w:w="1559" w:type="dxa"/>
            <w:vAlign w:val="center"/>
          </w:tcPr>
          <w:p w14:paraId="3F51B7B5">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Stress</w:t>
            </w:r>
          </w:p>
        </w:tc>
        <w:tc>
          <w:tcPr>
            <w:tcW w:w="1417" w:type="dxa"/>
            <w:vAlign w:val="center"/>
          </w:tcPr>
          <w:p w14:paraId="6299A2EC">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PSS</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4</w:t>
            </w:r>
          </w:p>
        </w:tc>
        <w:tc>
          <w:tcPr>
            <w:tcW w:w="1984" w:type="dxa"/>
            <w:vAlign w:val="center"/>
          </w:tcPr>
          <w:p w14:paraId="6D17B09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At the end of the 4</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week intervention</w:t>
            </w:r>
          </w:p>
        </w:tc>
        <w:tc>
          <w:tcPr>
            <w:tcW w:w="1502" w:type="dxa"/>
            <w:vAlign w:val="center"/>
          </w:tcPr>
          <w:p w14:paraId="6B10CCE3">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30CDB3EF">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41C30174">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1951B627">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208F52F5">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41432CAE">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485DF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055D9756">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Cinalioglu et al.</w:t>
            </w:r>
          </w:p>
        </w:tc>
        <w:tc>
          <w:tcPr>
            <w:tcW w:w="1559" w:type="dxa"/>
            <w:vAlign w:val="center"/>
          </w:tcPr>
          <w:p w14:paraId="7DD1AF78">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Depression</w:t>
            </w:r>
          </w:p>
        </w:tc>
        <w:tc>
          <w:tcPr>
            <w:tcW w:w="1417" w:type="dxa"/>
            <w:vAlign w:val="center"/>
          </w:tcPr>
          <w:p w14:paraId="3C7A5401">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PHQ</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9</w:t>
            </w:r>
          </w:p>
        </w:tc>
        <w:tc>
          <w:tcPr>
            <w:tcW w:w="1984" w:type="dxa"/>
            <w:vAlign w:val="center"/>
          </w:tcPr>
          <w:p w14:paraId="6E90FFF4">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At the end of the 4</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week intervention</w:t>
            </w:r>
          </w:p>
        </w:tc>
        <w:tc>
          <w:tcPr>
            <w:tcW w:w="1502" w:type="dxa"/>
            <w:vAlign w:val="center"/>
          </w:tcPr>
          <w:p w14:paraId="144B3D0C">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77A9BA90">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2A195399">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4588E058">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628AEB9D">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2193B38C">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0591A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2B721B5D">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Cinalioglu et al.</w:t>
            </w:r>
          </w:p>
        </w:tc>
        <w:tc>
          <w:tcPr>
            <w:tcW w:w="1559" w:type="dxa"/>
            <w:vAlign w:val="center"/>
          </w:tcPr>
          <w:p w14:paraId="06190D45">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Anxiety</w:t>
            </w:r>
          </w:p>
        </w:tc>
        <w:tc>
          <w:tcPr>
            <w:tcW w:w="1417" w:type="dxa"/>
            <w:vAlign w:val="center"/>
          </w:tcPr>
          <w:p w14:paraId="08DC81ED">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GAD</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7</w:t>
            </w:r>
          </w:p>
        </w:tc>
        <w:tc>
          <w:tcPr>
            <w:tcW w:w="1984" w:type="dxa"/>
            <w:vAlign w:val="center"/>
          </w:tcPr>
          <w:p w14:paraId="1608B8B4">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At the end of the 4</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week intervention</w:t>
            </w:r>
          </w:p>
        </w:tc>
        <w:tc>
          <w:tcPr>
            <w:tcW w:w="1502" w:type="dxa"/>
            <w:vAlign w:val="center"/>
          </w:tcPr>
          <w:p w14:paraId="5C433030">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7578142C">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4E40B126">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58F86B16">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628DBAAC">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457626BE">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7399A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3D0451BC">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Cinalioglu et al.</w:t>
            </w:r>
          </w:p>
        </w:tc>
        <w:tc>
          <w:tcPr>
            <w:tcW w:w="1559" w:type="dxa"/>
            <w:vAlign w:val="center"/>
          </w:tcPr>
          <w:p w14:paraId="03048AB5">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Mindfulness</w:t>
            </w:r>
          </w:p>
        </w:tc>
        <w:tc>
          <w:tcPr>
            <w:tcW w:w="1417" w:type="dxa"/>
            <w:vAlign w:val="center"/>
          </w:tcPr>
          <w:p w14:paraId="704F4FD5">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FFMQ</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SF</w:t>
            </w:r>
          </w:p>
        </w:tc>
        <w:tc>
          <w:tcPr>
            <w:tcW w:w="1984" w:type="dxa"/>
            <w:vAlign w:val="center"/>
          </w:tcPr>
          <w:p w14:paraId="2EAF35B0">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At the end of the 4</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week intervention</w:t>
            </w:r>
          </w:p>
        </w:tc>
        <w:tc>
          <w:tcPr>
            <w:tcW w:w="1502" w:type="dxa"/>
            <w:vAlign w:val="center"/>
          </w:tcPr>
          <w:p w14:paraId="0B4472FA">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2C6C61DD">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79A13672">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335D4F1B">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5F452625">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71729A53">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171DC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2D99444A">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Navarro</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Haro et al.</w:t>
            </w:r>
          </w:p>
        </w:tc>
        <w:tc>
          <w:tcPr>
            <w:tcW w:w="1559" w:type="dxa"/>
            <w:vAlign w:val="center"/>
          </w:tcPr>
          <w:p w14:paraId="399A42CD">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Anxiety</w:t>
            </w:r>
          </w:p>
        </w:tc>
        <w:tc>
          <w:tcPr>
            <w:tcW w:w="1417" w:type="dxa"/>
            <w:vAlign w:val="center"/>
          </w:tcPr>
          <w:p w14:paraId="5954AB9A">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GAD</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7</w:t>
            </w:r>
          </w:p>
        </w:tc>
        <w:tc>
          <w:tcPr>
            <w:tcW w:w="1984" w:type="dxa"/>
            <w:vAlign w:val="center"/>
          </w:tcPr>
          <w:p w14:paraId="0A47A28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At the end of the 6</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week intervention</w:t>
            </w:r>
          </w:p>
        </w:tc>
        <w:tc>
          <w:tcPr>
            <w:tcW w:w="1502" w:type="dxa"/>
            <w:vAlign w:val="center"/>
          </w:tcPr>
          <w:p w14:paraId="6BC25447">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26B7312E">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High risk</w:t>
            </w:r>
          </w:p>
        </w:tc>
        <w:tc>
          <w:tcPr>
            <w:tcW w:w="1502" w:type="dxa"/>
            <w:vAlign w:val="center"/>
          </w:tcPr>
          <w:p w14:paraId="1E747A9A">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High risk</w:t>
            </w:r>
          </w:p>
        </w:tc>
        <w:tc>
          <w:tcPr>
            <w:tcW w:w="1502" w:type="dxa"/>
            <w:vAlign w:val="center"/>
          </w:tcPr>
          <w:p w14:paraId="70272E38">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7C76F3F0">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020BC898">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High risk</w:t>
            </w:r>
          </w:p>
        </w:tc>
      </w:tr>
      <w:tr w14:paraId="157F1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5790AC5E">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Navarro</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Haro et al.</w:t>
            </w:r>
          </w:p>
        </w:tc>
        <w:tc>
          <w:tcPr>
            <w:tcW w:w="1559" w:type="dxa"/>
            <w:vAlign w:val="center"/>
          </w:tcPr>
          <w:p w14:paraId="0A11840E">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Depression</w:t>
            </w:r>
          </w:p>
        </w:tc>
        <w:tc>
          <w:tcPr>
            <w:tcW w:w="1417" w:type="dxa"/>
            <w:vAlign w:val="center"/>
          </w:tcPr>
          <w:p w14:paraId="46BE8996">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HADS</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D</w:t>
            </w:r>
          </w:p>
        </w:tc>
        <w:tc>
          <w:tcPr>
            <w:tcW w:w="1984" w:type="dxa"/>
            <w:vAlign w:val="center"/>
          </w:tcPr>
          <w:p w14:paraId="6734B937">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At the end of the 6</w:t>
            </w:r>
            <w:r>
              <w:rPr>
                <w:rFonts w:hint="eastAsia" w:ascii="Times New Roman" w:hAnsi="Times New Roman" w:eastAsia="宋体" w:cs="Times New Roman"/>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week intervention</w:t>
            </w:r>
          </w:p>
        </w:tc>
        <w:tc>
          <w:tcPr>
            <w:tcW w:w="1502" w:type="dxa"/>
            <w:vAlign w:val="center"/>
          </w:tcPr>
          <w:p w14:paraId="7360A608">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1B2DB1F5">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High risk</w:t>
            </w:r>
          </w:p>
        </w:tc>
        <w:tc>
          <w:tcPr>
            <w:tcW w:w="1502" w:type="dxa"/>
            <w:vAlign w:val="center"/>
          </w:tcPr>
          <w:p w14:paraId="2988A6A6">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High risk</w:t>
            </w:r>
          </w:p>
        </w:tc>
        <w:tc>
          <w:tcPr>
            <w:tcW w:w="1502" w:type="dxa"/>
            <w:vAlign w:val="center"/>
          </w:tcPr>
          <w:p w14:paraId="3959A75B">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3E0AD805">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454BDCE3">
            <w:pPr>
              <w:keepNext w:val="0"/>
              <w:keepLines w:val="0"/>
              <w:widowControl/>
              <w:suppressLineNumbers w:val="0"/>
              <w:jc w:val="both"/>
              <w:textAlignment w:val="cente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High risk</w:t>
            </w:r>
          </w:p>
        </w:tc>
      </w:tr>
      <w:tr w14:paraId="7AF0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75DD70EC">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color w:val="000000"/>
                <w:kern w:val="0"/>
                <w:szCs w:val="21"/>
                <w:u w:val="none"/>
                <w:lang w:bidi="ar"/>
              </w:rPr>
              <w:t>Doncker et al.</w:t>
            </w:r>
          </w:p>
        </w:tc>
        <w:tc>
          <w:tcPr>
            <w:tcW w:w="1559" w:type="dxa"/>
            <w:vAlign w:val="center"/>
          </w:tcPr>
          <w:p w14:paraId="70E8193F">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Anxiety</w:t>
            </w:r>
          </w:p>
        </w:tc>
        <w:tc>
          <w:tcPr>
            <w:tcW w:w="1417" w:type="dxa"/>
            <w:vAlign w:val="center"/>
          </w:tcPr>
          <w:p w14:paraId="5C83E1E3">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color w:val="000000"/>
                <w:kern w:val="0"/>
                <w:szCs w:val="21"/>
                <w:u w:val="none"/>
                <w:lang w:bidi="ar"/>
              </w:rPr>
              <w:t>STAI-SAI</w:t>
            </w:r>
          </w:p>
        </w:tc>
        <w:tc>
          <w:tcPr>
            <w:tcW w:w="1984" w:type="dxa"/>
            <w:vAlign w:val="center"/>
          </w:tcPr>
          <w:p w14:paraId="6261EF70">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color w:val="000000"/>
                <w:kern w:val="0"/>
                <w:szCs w:val="21"/>
                <w:u w:val="none"/>
                <w:lang w:bidi="ar"/>
              </w:rPr>
              <w:t xml:space="preserve">Day </w:t>
            </w:r>
            <w:r>
              <w:rPr>
                <w:rFonts w:hint="eastAsia" w:ascii="Times New Roman" w:hAnsi="Times New Roman" w:eastAsia="宋体" w:cs="Times New Roman"/>
                <w:color w:val="000000"/>
                <w:kern w:val="0"/>
                <w:szCs w:val="21"/>
                <w:u w:val="none"/>
                <w:lang w:eastAsia="zh-CN" w:bidi="ar"/>
              </w:rPr>
              <w:t>1</w:t>
            </w:r>
            <w:r>
              <w:rPr>
                <w:rFonts w:hint="default" w:ascii="Times New Roman" w:hAnsi="Times New Roman" w:eastAsia="宋体" w:cs="Times New Roman"/>
                <w:color w:val="000000"/>
                <w:kern w:val="0"/>
                <w:szCs w:val="21"/>
                <w:u w:val="none"/>
                <w:lang w:bidi="ar"/>
              </w:rPr>
              <w:t xml:space="preserve">, 15 min after </w:t>
            </w:r>
            <w:r>
              <w:rPr>
                <w:rFonts w:hint="eastAsia" w:ascii="Times New Roman" w:hAnsi="Times New Roman" w:eastAsia="宋体" w:cs="Times New Roman"/>
                <w:color w:val="000000"/>
                <w:kern w:val="0"/>
                <w:szCs w:val="21"/>
                <w:u w:val="none"/>
                <w:lang w:eastAsia="zh-CN" w:bidi="ar"/>
              </w:rPr>
              <w:t>f</w:t>
            </w:r>
            <w:r>
              <w:rPr>
                <w:rFonts w:hint="eastAsia" w:ascii="Times New Roman" w:hAnsi="Times New Roman" w:eastAsia="宋体" w:cs="Times New Roman"/>
                <w:color w:val="000000"/>
                <w:kern w:val="0"/>
                <w:szCs w:val="21"/>
                <w:u w:val="none"/>
                <w:lang w:val="en-US" w:eastAsia="zh-CN" w:bidi="ar"/>
              </w:rPr>
              <w:t>irst</w:t>
            </w:r>
            <w:r>
              <w:rPr>
                <w:rFonts w:hint="default" w:ascii="Times New Roman" w:hAnsi="Times New Roman" w:eastAsia="宋体" w:cs="Times New Roman"/>
                <w:color w:val="000000"/>
                <w:kern w:val="0"/>
                <w:szCs w:val="21"/>
                <w:u w:val="none"/>
                <w:lang w:bidi="ar"/>
              </w:rPr>
              <w:t xml:space="preserve"> VRH/control session</w:t>
            </w:r>
          </w:p>
        </w:tc>
        <w:tc>
          <w:tcPr>
            <w:tcW w:w="1502" w:type="dxa"/>
            <w:vAlign w:val="center"/>
          </w:tcPr>
          <w:p w14:paraId="2E69FA6F">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0B9A0ED1">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03354A33">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716E8CB9">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15BBBD4E">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69C7BA0C">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41D2F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4AD25A5B">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color w:val="000000"/>
                <w:kern w:val="0"/>
                <w:szCs w:val="21"/>
                <w:u w:val="none"/>
                <w:lang w:bidi="ar"/>
              </w:rPr>
              <w:t>Doncker et al.</w:t>
            </w:r>
          </w:p>
        </w:tc>
        <w:tc>
          <w:tcPr>
            <w:tcW w:w="1559" w:type="dxa"/>
            <w:vAlign w:val="center"/>
          </w:tcPr>
          <w:p w14:paraId="0E81901B">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Pain</w:t>
            </w:r>
          </w:p>
        </w:tc>
        <w:tc>
          <w:tcPr>
            <w:tcW w:w="1417" w:type="dxa"/>
            <w:vAlign w:val="center"/>
          </w:tcPr>
          <w:p w14:paraId="51E3B641">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VAS</w:t>
            </w:r>
          </w:p>
        </w:tc>
        <w:tc>
          <w:tcPr>
            <w:tcW w:w="1984" w:type="dxa"/>
            <w:vAlign w:val="center"/>
          </w:tcPr>
          <w:p w14:paraId="1EDE68F5">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color w:val="000000"/>
                <w:kern w:val="0"/>
                <w:szCs w:val="21"/>
                <w:u w:val="none"/>
                <w:lang w:bidi="ar"/>
              </w:rPr>
              <w:t xml:space="preserve">Day </w:t>
            </w:r>
            <w:r>
              <w:rPr>
                <w:rFonts w:hint="eastAsia" w:ascii="Times New Roman" w:hAnsi="Times New Roman" w:eastAsia="宋体" w:cs="Times New Roman"/>
                <w:color w:val="000000"/>
                <w:kern w:val="0"/>
                <w:szCs w:val="21"/>
                <w:u w:val="none"/>
                <w:lang w:eastAsia="zh-CN" w:bidi="ar"/>
              </w:rPr>
              <w:t>1</w:t>
            </w:r>
            <w:r>
              <w:rPr>
                <w:rFonts w:hint="default" w:ascii="Times New Roman" w:hAnsi="Times New Roman" w:eastAsia="宋体" w:cs="Times New Roman"/>
                <w:color w:val="000000"/>
                <w:kern w:val="0"/>
                <w:szCs w:val="21"/>
                <w:u w:val="none"/>
                <w:lang w:bidi="ar"/>
              </w:rPr>
              <w:t xml:space="preserve">, 15 min after </w:t>
            </w:r>
            <w:r>
              <w:rPr>
                <w:rFonts w:hint="eastAsia" w:ascii="Times New Roman" w:hAnsi="Times New Roman" w:eastAsia="宋体" w:cs="Times New Roman"/>
                <w:color w:val="000000"/>
                <w:kern w:val="0"/>
                <w:szCs w:val="21"/>
                <w:u w:val="none"/>
                <w:lang w:eastAsia="zh-CN" w:bidi="ar"/>
              </w:rPr>
              <w:t>f</w:t>
            </w:r>
            <w:r>
              <w:rPr>
                <w:rFonts w:hint="eastAsia" w:ascii="Times New Roman" w:hAnsi="Times New Roman" w:eastAsia="宋体" w:cs="Times New Roman"/>
                <w:color w:val="000000"/>
                <w:kern w:val="0"/>
                <w:szCs w:val="21"/>
                <w:u w:val="none"/>
                <w:lang w:val="en-US" w:eastAsia="zh-CN" w:bidi="ar"/>
              </w:rPr>
              <w:t>irst</w:t>
            </w:r>
            <w:r>
              <w:rPr>
                <w:rFonts w:hint="default" w:ascii="Times New Roman" w:hAnsi="Times New Roman" w:eastAsia="宋体" w:cs="Times New Roman"/>
                <w:color w:val="000000"/>
                <w:kern w:val="0"/>
                <w:szCs w:val="21"/>
                <w:u w:val="none"/>
                <w:lang w:bidi="ar"/>
              </w:rPr>
              <w:t xml:space="preserve"> VRH/control session</w:t>
            </w:r>
          </w:p>
        </w:tc>
        <w:tc>
          <w:tcPr>
            <w:tcW w:w="1502" w:type="dxa"/>
            <w:vAlign w:val="center"/>
          </w:tcPr>
          <w:p w14:paraId="52EDE161">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1178C458">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4AE60DD8">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2741A033">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40B1D6C4">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39793268">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5BFAB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40513D9F">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color w:val="000000"/>
                <w:kern w:val="0"/>
                <w:szCs w:val="21"/>
                <w:u w:val="none"/>
                <w:lang w:bidi="ar"/>
              </w:rPr>
              <w:t>Menekseoglu et al.</w:t>
            </w:r>
          </w:p>
        </w:tc>
        <w:tc>
          <w:tcPr>
            <w:tcW w:w="1559" w:type="dxa"/>
            <w:vAlign w:val="center"/>
          </w:tcPr>
          <w:p w14:paraId="7170F3B2">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Pain</w:t>
            </w:r>
          </w:p>
        </w:tc>
        <w:tc>
          <w:tcPr>
            <w:tcW w:w="1417" w:type="dxa"/>
            <w:vAlign w:val="center"/>
          </w:tcPr>
          <w:p w14:paraId="23E0E18F">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VAS</w:t>
            </w:r>
          </w:p>
        </w:tc>
        <w:tc>
          <w:tcPr>
            <w:tcW w:w="1984" w:type="dxa"/>
            <w:vAlign w:val="center"/>
          </w:tcPr>
          <w:p w14:paraId="6B7F38FC">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At the end of the </w:t>
            </w:r>
            <w:r>
              <w:rPr>
                <w:rFonts w:hint="eastAsia" w:ascii="Times New Roman" w:hAnsi="Times New Roman" w:eastAsia="宋体" w:cs="Times New Roman"/>
                <w:i w:val="0"/>
                <w:iCs w:val="0"/>
                <w:color w:val="000000"/>
                <w:kern w:val="0"/>
                <w:sz w:val="21"/>
                <w:szCs w:val="21"/>
                <w:u w:val="none"/>
                <w:lang w:val="en-US" w:eastAsia="zh-CN" w:bidi="ar"/>
              </w:rPr>
              <w:t>3-</w:t>
            </w:r>
            <w:r>
              <w:rPr>
                <w:rFonts w:hint="default" w:ascii="Times New Roman" w:hAnsi="Times New Roman" w:eastAsia="宋体" w:cs="Times New Roman"/>
                <w:i w:val="0"/>
                <w:iCs w:val="0"/>
                <w:color w:val="000000"/>
                <w:kern w:val="0"/>
                <w:sz w:val="21"/>
                <w:szCs w:val="21"/>
                <w:u w:val="none"/>
                <w:lang w:val="en-US" w:eastAsia="zh-CN" w:bidi="ar"/>
              </w:rPr>
              <w:t>week intervention</w:t>
            </w:r>
          </w:p>
        </w:tc>
        <w:tc>
          <w:tcPr>
            <w:tcW w:w="1502" w:type="dxa"/>
            <w:vAlign w:val="center"/>
          </w:tcPr>
          <w:p w14:paraId="4A4E87CF">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197BC440">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19355FBE">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0A99D6B6">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53FE5890">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38813BA6">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650E7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351D74B0">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color w:val="000000"/>
                <w:kern w:val="0"/>
                <w:szCs w:val="21"/>
                <w:u w:val="none"/>
                <w:lang w:bidi="ar"/>
              </w:rPr>
              <w:t>Menekseoglu et al.</w:t>
            </w:r>
          </w:p>
        </w:tc>
        <w:tc>
          <w:tcPr>
            <w:tcW w:w="1559" w:type="dxa"/>
            <w:vAlign w:val="center"/>
          </w:tcPr>
          <w:p w14:paraId="32B91CDF">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Anxiety</w:t>
            </w:r>
          </w:p>
        </w:tc>
        <w:tc>
          <w:tcPr>
            <w:tcW w:w="1417" w:type="dxa"/>
            <w:vAlign w:val="center"/>
          </w:tcPr>
          <w:p w14:paraId="3DD03981">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HADS-A</w:t>
            </w:r>
          </w:p>
        </w:tc>
        <w:tc>
          <w:tcPr>
            <w:tcW w:w="1984" w:type="dxa"/>
            <w:vAlign w:val="center"/>
          </w:tcPr>
          <w:p w14:paraId="4FF54072">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At the end of the </w:t>
            </w:r>
            <w:r>
              <w:rPr>
                <w:rFonts w:hint="eastAsia" w:ascii="Times New Roman" w:hAnsi="Times New Roman" w:eastAsia="宋体" w:cs="Times New Roman"/>
                <w:i w:val="0"/>
                <w:iCs w:val="0"/>
                <w:color w:val="000000"/>
                <w:kern w:val="0"/>
                <w:sz w:val="21"/>
                <w:szCs w:val="21"/>
                <w:u w:val="none"/>
                <w:lang w:val="en-US" w:eastAsia="zh-CN" w:bidi="ar"/>
              </w:rPr>
              <w:t>3-</w:t>
            </w:r>
            <w:r>
              <w:rPr>
                <w:rFonts w:hint="default" w:ascii="Times New Roman" w:hAnsi="Times New Roman" w:eastAsia="宋体" w:cs="Times New Roman"/>
                <w:i w:val="0"/>
                <w:iCs w:val="0"/>
                <w:color w:val="000000"/>
                <w:kern w:val="0"/>
                <w:sz w:val="21"/>
                <w:szCs w:val="21"/>
                <w:u w:val="none"/>
                <w:lang w:val="en-US" w:eastAsia="zh-CN" w:bidi="ar"/>
              </w:rPr>
              <w:t>week intervention</w:t>
            </w:r>
          </w:p>
        </w:tc>
        <w:tc>
          <w:tcPr>
            <w:tcW w:w="1502" w:type="dxa"/>
            <w:vAlign w:val="center"/>
          </w:tcPr>
          <w:p w14:paraId="60581A6E">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66C2AFC9">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645D9C0E">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333DCCEA">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51F312D5">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60FBE667">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1B92B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4DEA089D">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color w:val="000000"/>
                <w:kern w:val="0"/>
                <w:szCs w:val="21"/>
                <w:u w:val="none"/>
                <w:lang w:bidi="ar"/>
              </w:rPr>
              <w:t>Menekseoglu et al.</w:t>
            </w:r>
          </w:p>
        </w:tc>
        <w:tc>
          <w:tcPr>
            <w:tcW w:w="1559" w:type="dxa"/>
            <w:vAlign w:val="center"/>
          </w:tcPr>
          <w:p w14:paraId="4F51D90B">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Depression</w:t>
            </w:r>
          </w:p>
        </w:tc>
        <w:tc>
          <w:tcPr>
            <w:tcW w:w="1417" w:type="dxa"/>
            <w:vAlign w:val="center"/>
          </w:tcPr>
          <w:p w14:paraId="429317D7">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HADS-D</w:t>
            </w:r>
          </w:p>
        </w:tc>
        <w:tc>
          <w:tcPr>
            <w:tcW w:w="1984" w:type="dxa"/>
            <w:vAlign w:val="center"/>
          </w:tcPr>
          <w:p w14:paraId="09C6E6B7">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At the end of the </w:t>
            </w:r>
            <w:r>
              <w:rPr>
                <w:rFonts w:hint="eastAsia" w:ascii="Times New Roman" w:hAnsi="Times New Roman" w:eastAsia="宋体" w:cs="Times New Roman"/>
                <w:i w:val="0"/>
                <w:iCs w:val="0"/>
                <w:color w:val="000000"/>
                <w:kern w:val="0"/>
                <w:sz w:val="21"/>
                <w:szCs w:val="21"/>
                <w:u w:val="none"/>
                <w:lang w:val="en-US" w:eastAsia="zh-CN" w:bidi="ar"/>
              </w:rPr>
              <w:t>3-</w:t>
            </w:r>
            <w:r>
              <w:rPr>
                <w:rFonts w:hint="default" w:ascii="Times New Roman" w:hAnsi="Times New Roman" w:eastAsia="宋体" w:cs="Times New Roman"/>
                <w:i w:val="0"/>
                <w:iCs w:val="0"/>
                <w:color w:val="000000"/>
                <w:kern w:val="0"/>
                <w:sz w:val="21"/>
                <w:szCs w:val="21"/>
                <w:u w:val="none"/>
                <w:lang w:val="en-US" w:eastAsia="zh-CN" w:bidi="ar"/>
              </w:rPr>
              <w:t>week intervention</w:t>
            </w:r>
          </w:p>
        </w:tc>
        <w:tc>
          <w:tcPr>
            <w:tcW w:w="1502" w:type="dxa"/>
            <w:vAlign w:val="center"/>
          </w:tcPr>
          <w:p w14:paraId="4E62B27B">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12B62BCA">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2AB2DFAD">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6D666475">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65AEBA19">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24D6265E">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5D420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00934AE0">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color w:val="000000"/>
                <w:kern w:val="0"/>
                <w:szCs w:val="21"/>
                <w:u w:val="none"/>
                <w:lang w:bidi="ar"/>
              </w:rPr>
              <w:t>Doan et al.</w:t>
            </w:r>
          </w:p>
        </w:tc>
        <w:tc>
          <w:tcPr>
            <w:tcW w:w="1559" w:type="dxa"/>
            <w:shd w:val="clear" w:color="auto" w:fill="auto"/>
            <w:vAlign w:val="center"/>
          </w:tcPr>
          <w:p w14:paraId="4CFF71C2">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Pain</w:t>
            </w:r>
          </w:p>
        </w:tc>
        <w:tc>
          <w:tcPr>
            <w:tcW w:w="1417" w:type="dxa"/>
            <w:vAlign w:val="center"/>
          </w:tcPr>
          <w:p w14:paraId="1AF4FE29">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color w:val="000000"/>
                <w:kern w:val="0"/>
                <w:szCs w:val="21"/>
                <w:u w:val="none"/>
                <w:lang w:bidi="ar"/>
              </w:rPr>
              <w:t>NRS</w:t>
            </w:r>
          </w:p>
        </w:tc>
        <w:tc>
          <w:tcPr>
            <w:tcW w:w="1984" w:type="dxa"/>
            <w:vAlign w:val="center"/>
          </w:tcPr>
          <w:p w14:paraId="6EE24504">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At the end of the </w:t>
            </w:r>
            <w:r>
              <w:rPr>
                <w:rFonts w:hint="eastAsia" w:ascii="Times New Roman" w:hAnsi="Times New Roman" w:eastAsia="宋体" w:cs="Times New Roman"/>
                <w:i w:val="0"/>
                <w:iCs w:val="0"/>
                <w:color w:val="000000"/>
                <w:kern w:val="0"/>
                <w:sz w:val="21"/>
                <w:szCs w:val="21"/>
                <w:u w:val="none"/>
                <w:lang w:val="en-US" w:eastAsia="zh-CN" w:bidi="ar"/>
              </w:rPr>
              <w:t>2-</w:t>
            </w:r>
            <w:r>
              <w:rPr>
                <w:rFonts w:hint="default" w:ascii="Times New Roman" w:hAnsi="Times New Roman" w:eastAsia="宋体" w:cs="Times New Roman"/>
                <w:i w:val="0"/>
                <w:iCs w:val="0"/>
                <w:color w:val="000000"/>
                <w:kern w:val="0"/>
                <w:sz w:val="21"/>
                <w:szCs w:val="21"/>
                <w:u w:val="none"/>
                <w:lang w:val="en-US" w:eastAsia="zh-CN" w:bidi="ar"/>
              </w:rPr>
              <w:t>week intervention</w:t>
            </w:r>
          </w:p>
        </w:tc>
        <w:tc>
          <w:tcPr>
            <w:tcW w:w="1502" w:type="dxa"/>
            <w:vAlign w:val="center"/>
          </w:tcPr>
          <w:p w14:paraId="0E9F52D6">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4BF828BE">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695BBB3A">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349FB552">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067A78AD">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178601F6">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4FF8B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4A6E2D6C">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color w:val="000000"/>
                <w:kern w:val="0"/>
                <w:szCs w:val="21"/>
                <w:u w:val="none"/>
                <w:lang w:bidi="ar"/>
              </w:rPr>
              <w:t>Doan et al.</w:t>
            </w:r>
          </w:p>
        </w:tc>
        <w:tc>
          <w:tcPr>
            <w:tcW w:w="1559" w:type="dxa"/>
            <w:shd w:val="clear" w:color="auto" w:fill="auto"/>
            <w:vAlign w:val="center"/>
          </w:tcPr>
          <w:p w14:paraId="1D6DFFB8">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Anxiety</w:t>
            </w:r>
          </w:p>
        </w:tc>
        <w:tc>
          <w:tcPr>
            <w:tcW w:w="1417" w:type="dxa"/>
            <w:vAlign w:val="center"/>
          </w:tcPr>
          <w:p w14:paraId="6DDC7AD4">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GAD-2</w:t>
            </w:r>
          </w:p>
        </w:tc>
        <w:tc>
          <w:tcPr>
            <w:tcW w:w="1984" w:type="dxa"/>
            <w:vAlign w:val="center"/>
          </w:tcPr>
          <w:p w14:paraId="2570CD87">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At the end of the </w:t>
            </w:r>
            <w:r>
              <w:rPr>
                <w:rFonts w:hint="eastAsia" w:ascii="Times New Roman" w:hAnsi="Times New Roman" w:eastAsia="宋体" w:cs="Times New Roman"/>
                <w:i w:val="0"/>
                <w:iCs w:val="0"/>
                <w:color w:val="000000"/>
                <w:kern w:val="0"/>
                <w:sz w:val="21"/>
                <w:szCs w:val="21"/>
                <w:u w:val="none"/>
                <w:lang w:val="en-US" w:eastAsia="zh-CN" w:bidi="ar"/>
              </w:rPr>
              <w:t>2-</w:t>
            </w:r>
            <w:r>
              <w:rPr>
                <w:rFonts w:hint="default" w:ascii="Times New Roman" w:hAnsi="Times New Roman" w:eastAsia="宋体" w:cs="Times New Roman"/>
                <w:i w:val="0"/>
                <w:iCs w:val="0"/>
                <w:color w:val="000000"/>
                <w:kern w:val="0"/>
                <w:sz w:val="21"/>
                <w:szCs w:val="21"/>
                <w:u w:val="none"/>
                <w:lang w:val="en-US" w:eastAsia="zh-CN" w:bidi="ar"/>
              </w:rPr>
              <w:t>week intervention</w:t>
            </w:r>
          </w:p>
        </w:tc>
        <w:tc>
          <w:tcPr>
            <w:tcW w:w="1502" w:type="dxa"/>
            <w:vAlign w:val="center"/>
          </w:tcPr>
          <w:p w14:paraId="6B954541">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0D5BB38A">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489E0E39">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61C66222">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355F6925">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5BF12E0D">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245B8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6898FB5A">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color w:val="000000"/>
                <w:kern w:val="0"/>
                <w:szCs w:val="21"/>
                <w:u w:val="none"/>
                <w:lang w:bidi="ar"/>
              </w:rPr>
              <w:t>Doan et al.</w:t>
            </w:r>
          </w:p>
        </w:tc>
        <w:tc>
          <w:tcPr>
            <w:tcW w:w="1559" w:type="dxa"/>
            <w:shd w:val="clear" w:color="auto" w:fill="auto"/>
            <w:vAlign w:val="center"/>
          </w:tcPr>
          <w:p w14:paraId="6851C1EA">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Depression</w:t>
            </w:r>
          </w:p>
        </w:tc>
        <w:tc>
          <w:tcPr>
            <w:tcW w:w="1417" w:type="dxa"/>
            <w:vAlign w:val="center"/>
          </w:tcPr>
          <w:p w14:paraId="6E330DE2">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PHQ-2</w:t>
            </w:r>
          </w:p>
        </w:tc>
        <w:tc>
          <w:tcPr>
            <w:tcW w:w="1984" w:type="dxa"/>
            <w:vAlign w:val="center"/>
          </w:tcPr>
          <w:p w14:paraId="7845455F">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 xml:space="preserve">At the end of the </w:t>
            </w:r>
            <w:r>
              <w:rPr>
                <w:rFonts w:hint="eastAsia" w:ascii="Times New Roman" w:hAnsi="Times New Roman" w:eastAsia="宋体" w:cs="Times New Roman"/>
                <w:i w:val="0"/>
                <w:iCs w:val="0"/>
                <w:color w:val="000000"/>
                <w:kern w:val="0"/>
                <w:sz w:val="21"/>
                <w:szCs w:val="21"/>
                <w:u w:val="none"/>
                <w:lang w:val="en-US" w:eastAsia="zh-CN" w:bidi="ar"/>
              </w:rPr>
              <w:t>2-</w:t>
            </w:r>
            <w:r>
              <w:rPr>
                <w:rFonts w:hint="default" w:ascii="Times New Roman" w:hAnsi="Times New Roman" w:eastAsia="宋体" w:cs="Times New Roman"/>
                <w:i w:val="0"/>
                <w:iCs w:val="0"/>
                <w:color w:val="000000"/>
                <w:kern w:val="0"/>
                <w:sz w:val="21"/>
                <w:szCs w:val="21"/>
                <w:u w:val="none"/>
                <w:lang w:val="en-US" w:eastAsia="zh-CN" w:bidi="ar"/>
              </w:rPr>
              <w:t>week intervention</w:t>
            </w:r>
          </w:p>
        </w:tc>
        <w:tc>
          <w:tcPr>
            <w:tcW w:w="1502" w:type="dxa"/>
            <w:vAlign w:val="center"/>
          </w:tcPr>
          <w:p w14:paraId="5EB183D3">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0282E230">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0FB3B796">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768766C6">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3ADFDF4A">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72A9676C">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75DDE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268" w:type="dxa"/>
            <w:vAlign w:val="center"/>
          </w:tcPr>
          <w:p w14:paraId="6DB490B2">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color w:val="000000"/>
                <w:kern w:val="0"/>
                <w:szCs w:val="21"/>
                <w:u w:val="none"/>
                <w:lang w:bidi="ar"/>
              </w:rPr>
              <w:t>Kim et al.</w:t>
            </w:r>
          </w:p>
        </w:tc>
        <w:tc>
          <w:tcPr>
            <w:tcW w:w="1559" w:type="dxa"/>
            <w:vAlign w:val="center"/>
          </w:tcPr>
          <w:p w14:paraId="4D834902">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Pain</w:t>
            </w:r>
          </w:p>
        </w:tc>
        <w:tc>
          <w:tcPr>
            <w:tcW w:w="1417" w:type="dxa"/>
            <w:vAlign w:val="center"/>
          </w:tcPr>
          <w:p w14:paraId="7ACF7497">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NRS</w:t>
            </w:r>
          </w:p>
        </w:tc>
        <w:tc>
          <w:tcPr>
            <w:tcW w:w="1984" w:type="dxa"/>
            <w:vAlign w:val="center"/>
          </w:tcPr>
          <w:p w14:paraId="79301A33">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Immediately after the first VR session (VR1), approximately 30 min after PTBD</w:t>
            </w:r>
          </w:p>
        </w:tc>
        <w:tc>
          <w:tcPr>
            <w:tcW w:w="1502" w:type="dxa"/>
            <w:vAlign w:val="center"/>
          </w:tcPr>
          <w:p w14:paraId="540A5AB8">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079F9BE6">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0BD7F689">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02" w:type="dxa"/>
            <w:vAlign w:val="center"/>
          </w:tcPr>
          <w:p w14:paraId="554F2893">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115A5E7B">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02" w:type="dxa"/>
            <w:vAlign w:val="center"/>
          </w:tcPr>
          <w:p w14:paraId="3FF2F470">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bl>
    <w:p w14:paraId="21E463E7">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eastAsia" w:eastAsia="仿宋" w:cs="Times New Roman"/>
          <w:b/>
          <w:bCs/>
          <w:i w:val="0"/>
          <w:iCs w:val="0"/>
          <w:caps w:val="0"/>
          <w:color w:val="auto"/>
          <w:spacing w:val="0"/>
          <w:kern w:val="0"/>
          <w:sz w:val="24"/>
          <w:szCs w:val="24"/>
          <w:shd w:val="clear"/>
          <w:lang w:val="en-US" w:eastAsia="zh-CN" w:bidi="ar"/>
        </w:rPr>
      </w:pPr>
    </w:p>
    <w:p w14:paraId="16CB5412">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eastAsia" w:ascii="Times New Roman" w:hAnsi="Times New Roman" w:eastAsia="仿宋" w:cs="Times New Roman"/>
          <w:b w:val="0"/>
          <w:bCs w:val="0"/>
          <w:i w:val="0"/>
          <w:iCs w:val="0"/>
          <w:caps w:val="0"/>
          <w:color w:val="auto"/>
          <w:spacing w:val="0"/>
          <w:kern w:val="0"/>
          <w:sz w:val="24"/>
          <w:szCs w:val="24"/>
          <w:shd w:val="clear"/>
          <w:lang w:val="en-US" w:eastAsia="zh-CN" w:bidi="ar"/>
        </w:rPr>
      </w:pPr>
      <w:r>
        <w:rPr>
          <w:rFonts w:hint="eastAsia" w:eastAsia="仿宋" w:cs="Times New Roman"/>
          <w:b/>
          <w:bCs/>
          <w:i w:val="0"/>
          <w:iCs w:val="0"/>
          <w:caps w:val="0"/>
          <w:color w:val="auto"/>
          <w:spacing w:val="0"/>
          <w:kern w:val="0"/>
          <w:sz w:val="24"/>
          <w:szCs w:val="24"/>
          <w:shd w:val="clear"/>
          <w:lang w:val="en-US" w:eastAsia="zh-CN" w:bidi="ar"/>
        </w:rPr>
        <w:t>B</w:t>
      </w:r>
      <w:r>
        <w:rPr>
          <w:rFonts w:hint="eastAsia" w:ascii="Times New Roman" w:hAnsi="Times New Roman" w:eastAsia="仿宋" w:cs="Times New Roman"/>
          <w:b/>
          <w:bCs/>
          <w:i w:val="0"/>
          <w:iCs w:val="0"/>
          <w:caps w:val="0"/>
          <w:color w:val="auto"/>
          <w:spacing w:val="0"/>
          <w:kern w:val="0"/>
          <w:sz w:val="24"/>
          <w:szCs w:val="24"/>
          <w:shd w:val="clear"/>
          <w:lang w:val="en-US" w:eastAsia="zh-CN" w:bidi="ar"/>
        </w:rPr>
        <w:t>.</w:t>
      </w:r>
      <w:r>
        <w:rPr>
          <w:rFonts w:hint="eastAsia" w:ascii="Times New Roman" w:hAnsi="Times New Roman" w:eastAsia="仿宋" w:cs="Times New Roman"/>
          <w:b w:val="0"/>
          <w:bCs w:val="0"/>
          <w:i w:val="0"/>
          <w:iCs w:val="0"/>
          <w:caps w:val="0"/>
          <w:color w:val="auto"/>
          <w:spacing w:val="0"/>
          <w:kern w:val="0"/>
          <w:sz w:val="24"/>
          <w:szCs w:val="24"/>
          <w:shd w:val="clear"/>
          <w:lang w:val="en-US" w:eastAsia="zh-CN" w:bidi="ar"/>
        </w:rPr>
        <w:t xml:space="preserve"> Results included in the narrative synthesis</w:t>
      </w:r>
    </w:p>
    <w:tbl>
      <w:tblPr>
        <w:tblStyle w:val="7"/>
        <w:tblW w:w="162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1276"/>
        <w:gridCol w:w="1134"/>
        <w:gridCol w:w="2976"/>
        <w:gridCol w:w="1531"/>
        <w:gridCol w:w="1531"/>
        <w:gridCol w:w="1531"/>
        <w:gridCol w:w="1531"/>
        <w:gridCol w:w="1531"/>
        <w:gridCol w:w="1531"/>
      </w:tblGrid>
      <w:tr w14:paraId="3145C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701" w:type="dxa"/>
            <w:vAlign w:val="top"/>
          </w:tcPr>
          <w:p w14:paraId="66E6871C">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pPr>
            <w:r>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t>Study</w:t>
            </w:r>
          </w:p>
        </w:tc>
        <w:tc>
          <w:tcPr>
            <w:tcW w:w="1276" w:type="dxa"/>
            <w:vAlign w:val="top"/>
          </w:tcPr>
          <w:p w14:paraId="51749702">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pPr>
            <w:r>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t>Outcome</w:t>
            </w:r>
          </w:p>
        </w:tc>
        <w:tc>
          <w:tcPr>
            <w:tcW w:w="1134" w:type="dxa"/>
            <w:vAlign w:val="top"/>
          </w:tcPr>
          <w:p w14:paraId="668BA866">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pPr>
            <w:r>
              <w:rPr>
                <w:rFonts w:hint="eastAsia" w:ascii="Times New Roman" w:hAnsi="Times New Roman" w:eastAsia="仿宋" w:cs="Times New Roman"/>
                <w:b/>
                <w:bCs/>
                <w:i w:val="0"/>
                <w:iCs w:val="0"/>
                <w:caps w:val="0"/>
                <w:color w:val="auto"/>
                <w:spacing w:val="0"/>
                <w:kern w:val="0"/>
                <w:sz w:val="21"/>
                <w:szCs w:val="21"/>
                <w:shd w:val="clear"/>
                <w:vertAlign w:val="baseline"/>
                <w:lang w:val="en-US" w:eastAsia="zh-CN" w:bidi="ar"/>
              </w:rPr>
              <w:t>Scale</w:t>
            </w:r>
          </w:p>
        </w:tc>
        <w:tc>
          <w:tcPr>
            <w:tcW w:w="2976" w:type="dxa"/>
            <w:vAlign w:val="top"/>
          </w:tcPr>
          <w:p w14:paraId="66D86640">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pPr>
            <w:r>
              <w:rPr>
                <w:rFonts w:hint="eastAsia" w:ascii="Times New Roman" w:hAnsi="Times New Roman" w:eastAsia="仿宋" w:cs="Times New Roman"/>
                <w:b/>
                <w:bCs/>
                <w:i w:val="0"/>
                <w:iCs w:val="0"/>
                <w:caps w:val="0"/>
                <w:color w:val="auto"/>
                <w:spacing w:val="0"/>
                <w:kern w:val="0"/>
                <w:sz w:val="21"/>
                <w:szCs w:val="21"/>
                <w:shd w:val="clear"/>
                <w:vertAlign w:val="baseline"/>
                <w:lang w:val="en-US" w:eastAsia="zh-CN" w:bidi="ar"/>
              </w:rPr>
              <w:t>Assessment time</w:t>
            </w:r>
          </w:p>
        </w:tc>
        <w:tc>
          <w:tcPr>
            <w:tcW w:w="1531" w:type="dxa"/>
            <w:vAlign w:val="top"/>
          </w:tcPr>
          <w:p w14:paraId="1D979D3D">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pPr>
            <w:r>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t>D1</w:t>
            </w:r>
          </w:p>
        </w:tc>
        <w:tc>
          <w:tcPr>
            <w:tcW w:w="1531" w:type="dxa"/>
            <w:vAlign w:val="top"/>
          </w:tcPr>
          <w:p w14:paraId="32CD8092">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pPr>
            <w:r>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t>D2</w:t>
            </w:r>
          </w:p>
        </w:tc>
        <w:tc>
          <w:tcPr>
            <w:tcW w:w="1531" w:type="dxa"/>
            <w:vAlign w:val="top"/>
          </w:tcPr>
          <w:p w14:paraId="540D471F">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pPr>
            <w:r>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t>D3</w:t>
            </w:r>
          </w:p>
        </w:tc>
        <w:tc>
          <w:tcPr>
            <w:tcW w:w="1531" w:type="dxa"/>
            <w:vAlign w:val="top"/>
          </w:tcPr>
          <w:p w14:paraId="777AFD29">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pPr>
            <w:r>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t>D4</w:t>
            </w:r>
          </w:p>
        </w:tc>
        <w:tc>
          <w:tcPr>
            <w:tcW w:w="1531" w:type="dxa"/>
            <w:vAlign w:val="top"/>
          </w:tcPr>
          <w:p w14:paraId="14FB5BCF">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pPr>
            <w:r>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t>D5</w:t>
            </w:r>
          </w:p>
        </w:tc>
        <w:tc>
          <w:tcPr>
            <w:tcW w:w="1531" w:type="dxa"/>
            <w:vAlign w:val="top"/>
          </w:tcPr>
          <w:p w14:paraId="415D7D0B">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pPr>
            <w:r>
              <w:rPr>
                <w:rFonts w:hint="default" w:ascii="Times New Roman" w:hAnsi="Times New Roman" w:eastAsia="仿宋" w:cs="Times New Roman"/>
                <w:b/>
                <w:bCs/>
                <w:i w:val="0"/>
                <w:iCs w:val="0"/>
                <w:caps w:val="0"/>
                <w:color w:val="auto"/>
                <w:spacing w:val="0"/>
                <w:kern w:val="0"/>
                <w:sz w:val="21"/>
                <w:szCs w:val="21"/>
                <w:shd w:val="clear"/>
                <w:vertAlign w:val="baseline"/>
                <w:lang w:val="en-US" w:eastAsia="zh-CN" w:bidi="ar"/>
              </w:rPr>
              <w:t>Overall</w:t>
            </w:r>
          </w:p>
        </w:tc>
      </w:tr>
      <w:tr w14:paraId="28846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01" w:type="dxa"/>
            <w:vAlign w:val="center"/>
          </w:tcPr>
          <w:p w14:paraId="5AD9054F">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Torres García</w:t>
            </w:r>
            <w:r>
              <w:rPr>
                <w:rFonts w:hint="eastAsia" w:ascii="Times New Roman" w:hAnsi="Times New Roman" w:eastAsia="宋体" w:cs="Times New Roman"/>
                <w:i w:val="0"/>
                <w:iCs w:val="0"/>
                <w:color w:val="000000"/>
                <w:kern w:val="0"/>
                <w:sz w:val="21"/>
                <w:szCs w:val="21"/>
                <w:u w:val="none"/>
                <w:lang w:val="en-US" w:eastAsia="zh-CN" w:bidi="ar"/>
              </w:rPr>
              <w:t xml:space="preserve"> et al.</w:t>
            </w:r>
          </w:p>
        </w:tc>
        <w:tc>
          <w:tcPr>
            <w:tcW w:w="1276" w:type="dxa"/>
            <w:vAlign w:val="center"/>
          </w:tcPr>
          <w:p w14:paraId="5665458C">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Anxiety</w:t>
            </w:r>
          </w:p>
        </w:tc>
        <w:tc>
          <w:tcPr>
            <w:tcW w:w="1134" w:type="dxa"/>
            <w:vAlign w:val="center"/>
          </w:tcPr>
          <w:p w14:paraId="65C0B00D">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HADS-A</w:t>
            </w:r>
          </w:p>
        </w:tc>
        <w:tc>
          <w:tcPr>
            <w:tcW w:w="2976" w:type="dxa"/>
            <w:vAlign w:val="center"/>
          </w:tcPr>
          <w:p w14:paraId="541E5192">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 xml:space="preserve">Immediately after Visit 4 </w:t>
            </w:r>
          </w:p>
          <w:p w14:paraId="7E343AB9">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 months after Visit 3)</w:t>
            </w:r>
          </w:p>
        </w:tc>
        <w:tc>
          <w:tcPr>
            <w:tcW w:w="1531" w:type="dxa"/>
            <w:vAlign w:val="center"/>
          </w:tcPr>
          <w:p w14:paraId="04BD8941">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31" w:type="dxa"/>
            <w:vAlign w:val="center"/>
          </w:tcPr>
          <w:p w14:paraId="5A20D465">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31" w:type="dxa"/>
            <w:vAlign w:val="center"/>
          </w:tcPr>
          <w:p w14:paraId="6E8C98AA">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31" w:type="dxa"/>
            <w:vAlign w:val="center"/>
          </w:tcPr>
          <w:p w14:paraId="3794FC45">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31" w:type="dxa"/>
            <w:vAlign w:val="center"/>
          </w:tcPr>
          <w:p w14:paraId="72446313">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31" w:type="dxa"/>
            <w:vAlign w:val="center"/>
          </w:tcPr>
          <w:p w14:paraId="61911DD1">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7D333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01" w:type="dxa"/>
            <w:vAlign w:val="center"/>
          </w:tcPr>
          <w:p w14:paraId="29737A4D">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Torres García</w:t>
            </w:r>
            <w:r>
              <w:rPr>
                <w:rFonts w:hint="eastAsia" w:ascii="Times New Roman" w:hAnsi="Times New Roman" w:eastAsia="宋体" w:cs="Times New Roman"/>
                <w:i w:val="0"/>
                <w:iCs w:val="0"/>
                <w:color w:val="000000"/>
                <w:kern w:val="0"/>
                <w:sz w:val="21"/>
                <w:szCs w:val="21"/>
                <w:u w:val="none"/>
                <w:lang w:val="en-US" w:eastAsia="zh-CN" w:bidi="ar"/>
              </w:rPr>
              <w:t xml:space="preserve"> et al.</w:t>
            </w:r>
          </w:p>
        </w:tc>
        <w:tc>
          <w:tcPr>
            <w:tcW w:w="1276" w:type="dxa"/>
            <w:vAlign w:val="center"/>
          </w:tcPr>
          <w:p w14:paraId="5DAE5241">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Depression</w:t>
            </w:r>
          </w:p>
        </w:tc>
        <w:tc>
          <w:tcPr>
            <w:tcW w:w="1134" w:type="dxa"/>
            <w:vAlign w:val="center"/>
          </w:tcPr>
          <w:p w14:paraId="10DE7717">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HADS-D</w:t>
            </w:r>
          </w:p>
        </w:tc>
        <w:tc>
          <w:tcPr>
            <w:tcW w:w="2976" w:type="dxa"/>
            <w:vAlign w:val="center"/>
          </w:tcPr>
          <w:p w14:paraId="09B379E8">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 xml:space="preserve">Immediately after Visit 4 </w:t>
            </w:r>
          </w:p>
          <w:p w14:paraId="33A04C01">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(3 months after Visit 3)</w:t>
            </w:r>
          </w:p>
        </w:tc>
        <w:tc>
          <w:tcPr>
            <w:tcW w:w="1531" w:type="dxa"/>
            <w:vAlign w:val="center"/>
          </w:tcPr>
          <w:p w14:paraId="29BAE868">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31" w:type="dxa"/>
            <w:vAlign w:val="center"/>
          </w:tcPr>
          <w:p w14:paraId="1B58E8A1">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31" w:type="dxa"/>
            <w:vAlign w:val="center"/>
          </w:tcPr>
          <w:p w14:paraId="46016311">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31" w:type="dxa"/>
            <w:vAlign w:val="center"/>
          </w:tcPr>
          <w:p w14:paraId="22C92572">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31" w:type="dxa"/>
            <w:vAlign w:val="center"/>
          </w:tcPr>
          <w:p w14:paraId="56E6069A">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31" w:type="dxa"/>
            <w:vAlign w:val="center"/>
          </w:tcPr>
          <w:p w14:paraId="72544872">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412C7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01" w:type="dxa"/>
            <w:vAlign w:val="center"/>
          </w:tcPr>
          <w:p w14:paraId="4E921D21">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Gromala</w:t>
            </w:r>
            <w:r>
              <w:rPr>
                <w:rFonts w:hint="eastAsia" w:ascii="Times New Roman" w:hAnsi="Times New Roman" w:eastAsia="宋体" w:cs="Times New Roman"/>
                <w:i w:val="0"/>
                <w:iCs w:val="0"/>
                <w:color w:val="000000"/>
                <w:kern w:val="0"/>
                <w:sz w:val="21"/>
                <w:szCs w:val="21"/>
                <w:u w:val="none"/>
                <w:lang w:val="en-US" w:eastAsia="zh-CN" w:bidi="ar"/>
              </w:rPr>
              <w:t xml:space="preserve"> et al.</w:t>
            </w:r>
          </w:p>
        </w:tc>
        <w:tc>
          <w:tcPr>
            <w:tcW w:w="1276" w:type="dxa"/>
            <w:vAlign w:val="center"/>
          </w:tcPr>
          <w:p w14:paraId="3F7F00DC">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Pain</w:t>
            </w:r>
          </w:p>
        </w:tc>
        <w:tc>
          <w:tcPr>
            <w:tcW w:w="1134" w:type="dxa"/>
            <w:vAlign w:val="center"/>
          </w:tcPr>
          <w:p w14:paraId="4C25623D">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NRS</w:t>
            </w:r>
          </w:p>
        </w:tc>
        <w:tc>
          <w:tcPr>
            <w:tcW w:w="2976" w:type="dxa"/>
            <w:vAlign w:val="center"/>
          </w:tcPr>
          <w:p w14:paraId="0A45DAE0">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Immediately after the single 12-minute intervention</w:t>
            </w:r>
          </w:p>
        </w:tc>
        <w:tc>
          <w:tcPr>
            <w:tcW w:w="1531" w:type="dxa"/>
            <w:vAlign w:val="center"/>
          </w:tcPr>
          <w:p w14:paraId="3ECAA15C">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31" w:type="dxa"/>
            <w:vAlign w:val="center"/>
          </w:tcPr>
          <w:p w14:paraId="7540965C">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31" w:type="dxa"/>
            <w:vAlign w:val="center"/>
          </w:tcPr>
          <w:p w14:paraId="51603F16">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31" w:type="dxa"/>
            <w:vAlign w:val="center"/>
          </w:tcPr>
          <w:p w14:paraId="2E32DF0E">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31" w:type="dxa"/>
            <w:vAlign w:val="center"/>
          </w:tcPr>
          <w:p w14:paraId="021DFF71">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31" w:type="dxa"/>
            <w:vAlign w:val="center"/>
          </w:tcPr>
          <w:p w14:paraId="38517670">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32674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01" w:type="dxa"/>
            <w:vAlign w:val="center"/>
          </w:tcPr>
          <w:p w14:paraId="606DEE8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Krishnamoorthy</w:t>
            </w:r>
            <w:r>
              <w:rPr>
                <w:rFonts w:hint="eastAsia" w:ascii="Times New Roman" w:hAnsi="Times New Roman" w:eastAsia="宋体" w:cs="Times New Roman"/>
                <w:i w:val="0"/>
                <w:iCs w:val="0"/>
                <w:color w:val="000000"/>
                <w:kern w:val="0"/>
                <w:sz w:val="21"/>
                <w:szCs w:val="21"/>
                <w:u w:val="none"/>
                <w:lang w:val="en-US" w:eastAsia="zh-CN" w:bidi="ar"/>
              </w:rPr>
              <w:t xml:space="preserve"> et al.</w:t>
            </w:r>
          </w:p>
        </w:tc>
        <w:tc>
          <w:tcPr>
            <w:tcW w:w="1276" w:type="dxa"/>
            <w:vAlign w:val="center"/>
          </w:tcPr>
          <w:p w14:paraId="65732E18">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Anxiety</w:t>
            </w:r>
          </w:p>
        </w:tc>
        <w:tc>
          <w:tcPr>
            <w:tcW w:w="1134" w:type="dxa"/>
            <w:vAlign w:val="center"/>
          </w:tcPr>
          <w:p w14:paraId="543D75C3">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STAI</w:t>
            </w:r>
          </w:p>
        </w:tc>
        <w:tc>
          <w:tcPr>
            <w:tcW w:w="2976" w:type="dxa"/>
            <w:vAlign w:val="center"/>
          </w:tcPr>
          <w:p w14:paraId="4290BADC">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Immediately after the preoperative session</w:t>
            </w:r>
          </w:p>
        </w:tc>
        <w:tc>
          <w:tcPr>
            <w:tcW w:w="1531" w:type="dxa"/>
            <w:vAlign w:val="center"/>
          </w:tcPr>
          <w:p w14:paraId="40A6BFA6">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31" w:type="dxa"/>
            <w:vAlign w:val="center"/>
          </w:tcPr>
          <w:p w14:paraId="723AAE67">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31" w:type="dxa"/>
            <w:vAlign w:val="center"/>
          </w:tcPr>
          <w:p w14:paraId="2B8DC325">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31" w:type="dxa"/>
            <w:vAlign w:val="center"/>
          </w:tcPr>
          <w:p w14:paraId="324BED8C">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31" w:type="dxa"/>
            <w:vAlign w:val="center"/>
          </w:tcPr>
          <w:p w14:paraId="1A91F1A0">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31" w:type="dxa"/>
            <w:vAlign w:val="center"/>
          </w:tcPr>
          <w:p w14:paraId="5F77120E">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r w14:paraId="68EDB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01" w:type="dxa"/>
            <w:vAlign w:val="center"/>
          </w:tcPr>
          <w:p w14:paraId="3187EB3A">
            <w:pPr>
              <w:keepNext w:val="0"/>
              <w:keepLines w:val="0"/>
              <w:widowControl/>
              <w:suppressLineNumbers w:val="0"/>
              <w:jc w:val="left"/>
              <w:textAlignment w:val="center"/>
              <w:rPr>
                <w:rFonts w:hint="default" w:ascii="Times New Roman" w:hAnsi="Times New Roman" w:eastAsia="宋体" w:cs="Times New Roman"/>
                <w:b/>
                <w:bCs/>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Krishnamoorthy</w:t>
            </w:r>
            <w:r>
              <w:rPr>
                <w:rFonts w:hint="eastAsia" w:ascii="Times New Roman" w:hAnsi="Times New Roman" w:eastAsia="宋体" w:cs="Times New Roman"/>
                <w:i w:val="0"/>
                <w:iCs w:val="0"/>
                <w:color w:val="000000"/>
                <w:kern w:val="0"/>
                <w:sz w:val="21"/>
                <w:szCs w:val="21"/>
                <w:u w:val="none"/>
                <w:lang w:val="en-US" w:eastAsia="zh-CN" w:bidi="ar"/>
              </w:rPr>
              <w:t xml:space="preserve"> et al.</w:t>
            </w:r>
          </w:p>
        </w:tc>
        <w:tc>
          <w:tcPr>
            <w:tcW w:w="1276" w:type="dxa"/>
            <w:vAlign w:val="center"/>
          </w:tcPr>
          <w:p w14:paraId="0184B110">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Anxiety</w:t>
            </w:r>
          </w:p>
        </w:tc>
        <w:tc>
          <w:tcPr>
            <w:tcW w:w="1134" w:type="dxa"/>
            <w:vAlign w:val="center"/>
          </w:tcPr>
          <w:p w14:paraId="4B0AC328">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STAI</w:t>
            </w:r>
          </w:p>
        </w:tc>
        <w:tc>
          <w:tcPr>
            <w:tcW w:w="2976" w:type="dxa"/>
            <w:vAlign w:val="center"/>
          </w:tcPr>
          <w:p w14:paraId="4B1F1673">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Immediately after the postoperative session on postoperative day 3</w:t>
            </w:r>
          </w:p>
        </w:tc>
        <w:tc>
          <w:tcPr>
            <w:tcW w:w="1531" w:type="dxa"/>
            <w:vAlign w:val="center"/>
          </w:tcPr>
          <w:p w14:paraId="67A8A6EC">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31" w:type="dxa"/>
            <w:vAlign w:val="center"/>
          </w:tcPr>
          <w:p w14:paraId="17131C7D">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31" w:type="dxa"/>
            <w:vAlign w:val="center"/>
          </w:tcPr>
          <w:p w14:paraId="7322A6DA">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High risk</w:t>
            </w:r>
          </w:p>
        </w:tc>
        <w:tc>
          <w:tcPr>
            <w:tcW w:w="1531" w:type="dxa"/>
            <w:vAlign w:val="center"/>
          </w:tcPr>
          <w:p w14:paraId="35362BE6">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31" w:type="dxa"/>
            <w:vAlign w:val="center"/>
          </w:tcPr>
          <w:p w14:paraId="596DE6C6">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31" w:type="dxa"/>
            <w:vAlign w:val="center"/>
          </w:tcPr>
          <w:p w14:paraId="11C15C3D">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High risk</w:t>
            </w:r>
          </w:p>
        </w:tc>
      </w:tr>
      <w:tr w14:paraId="6E11C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01" w:type="dxa"/>
            <w:vAlign w:val="center"/>
          </w:tcPr>
          <w:p w14:paraId="063E684B">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Krishnamoorthy</w:t>
            </w:r>
            <w:r>
              <w:rPr>
                <w:rFonts w:hint="eastAsia" w:ascii="Times New Roman" w:hAnsi="Times New Roman" w:eastAsia="宋体" w:cs="Times New Roman"/>
                <w:i w:val="0"/>
                <w:iCs w:val="0"/>
                <w:color w:val="000000"/>
                <w:kern w:val="0"/>
                <w:sz w:val="21"/>
                <w:szCs w:val="21"/>
                <w:u w:val="none"/>
                <w:lang w:val="en-US" w:eastAsia="zh-CN" w:bidi="ar"/>
              </w:rPr>
              <w:t xml:space="preserve"> et al.</w:t>
            </w:r>
          </w:p>
        </w:tc>
        <w:tc>
          <w:tcPr>
            <w:tcW w:w="1276" w:type="dxa"/>
            <w:vAlign w:val="center"/>
          </w:tcPr>
          <w:p w14:paraId="2F6CAF16">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Pain</w:t>
            </w:r>
          </w:p>
        </w:tc>
        <w:tc>
          <w:tcPr>
            <w:tcW w:w="1134" w:type="dxa"/>
            <w:vAlign w:val="center"/>
          </w:tcPr>
          <w:p w14:paraId="6CBC6575">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VAS</w:t>
            </w:r>
          </w:p>
        </w:tc>
        <w:tc>
          <w:tcPr>
            <w:tcW w:w="2976" w:type="dxa"/>
            <w:vAlign w:val="center"/>
          </w:tcPr>
          <w:p w14:paraId="31E6B9E3">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Immediately after the preoperative session</w:t>
            </w:r>
          </w:p>
        </w:tc>
        <w:tc>
          <w:tcPr>
            <w:tcW w:w="1531" w:type="dxa"/>
            <w:vAlign w:val="center"/>
          </w:tcPr>
          <w:p w14:paraId="0BBF4C37">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31" w:type="dxa"/>
            <w:vAlign w:val="center"/>
          </w:tcPr>
          <w:p w14:paraId="067DF61C">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31" w:type="dxa"/>
            <w:vAlign w:val="center"/>
          </w:tcPr>
          <w:p w14:paraId="247B4280">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31" w:type="dxa"/>
            <w:vAlign w:val="center"/>
          </w:tcPr>
          <w:p w14:paraId="26BF00D6">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31" w:type="dxa"/>
            <w:vAlign w:val="center"/>
          </w:tcPr>
          <w:p w14:paraId="68C6F60B">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High risk</w:t>
            </w:r>
          </w:p>
        </w:tc>
        <w:tc>
          <w:tcPr>
            <w:tcW w:w="1531" w:type="dxa"/>
            <w:vAlign w:val="center"/>
          </w:tcPr>
          <w:p w14:paraId="5E71FBD3">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High risk</w:t>
            </w:r>
          </w:p>
        </w:tc>
      </w:tr>
      <w:tr w14:paraId="13299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01" w:type="dxa"/>
            <w:vAlign w:val="center"/>
          </w:tcPr>
          <w:p w14:paraId="42DD1FD5">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Rousseaux</w:t>
            </w:r>
            <w:r>
              <w:rPr>
                <w:rFonts w:hint="eastAsia" w:ascii="Times New Roman" w:hAnsi="Times New Roman" w:eastAsia="宋体" w:cs="Times New Roman"/>
                <w:i w:val="0"/>
                <w:iCs w:val="0"/>
                <w:color w:val="000000"/>
                <w:kern w:val="0"/>
                <w:sz w:val="21"/>
                <w:szCs w:val="21"/>
                <w:u w:val="none"/>
                <w:lang w:val="en-US" w:eastAsia="zh-CN" w:bidi="ar"/>
              </w:rPr>
              <w:t xml:space="preserve"> et al.</w:t>
            </w:r>
          </w:p>
        </w:tc>
        <w:tc>
          <w:tcPr>
            <w:tcW w:w="1276" w:type="dxa"/>
            <w:shd w:val="clear" w:color="auto" w:fill="auto"/>
            <w:vAlign w:val="center"/>
          </w:tcPr>
          <w:p w14:paraId="74389975">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Anxiety</w:t>
            </w:r>
          </w:p>
        </w:tc>
        <w:tc>
          <w:tcPr>
            <w:tcW w:w="1134" w:type="dxa"/>
            <w:vAlign w:val="center"/>
          </w:tcPr>
          <w:p w14:paraId="6D27056F">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VAS</w:t>
            </w:r>
          </w:p>
        </w:tc>
        <w:tc>
          <w:tcPr>
            <w:tcW w:w="2976" w:type="dxa"/>
            <w:vAlign w:val="center"/>
          </w:tcPr>
          <w:p w14:paraId="5D78DA3E">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Across T0–T3 (pre- and postoperative assessments)</w:t>
            </w:r>
          </w:p>
        </w:tc>
        <w:tc>
          <w:tcPr>
            <w:tcW w:w="1531" w:type="dxa"/>
            <w:vAlign w:val="center"/>
          </w:tcPr>
          <w:p w14:paraId="70194B67">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31" w:type="dxa"/>
            <w:vAlign w:val="center"/>
          </w:tcPr>
          <w:p w14:paraId="00D7C2E8">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31" w:type="dxa"/>
            <w:vAlign w:val="center"/>
          </w:tcPr>
          <w:p w14:paraId="42CA03D2">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High risk</w:t>
            </w:r>
          </w:p>
        </w:tc>
        <w:tc>
          <w:tcPr>
            <w:tcW w:w="1531" w:type="dxa"/>
            <w:vAlign w:val="center"/>
          </w:tcPr>
          <w:p w14:paraId="2B883244">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31" w:type="dxa"/>
            <w:vAlign w:val="center"/>
          </w:tcPr>
          <w:p w14:paraId="1E98083F">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31" w:type="dxa"/>
            <w:vAlign w:val="center"/>
          </w:tcPr>
          <w:p w14:paraId="15203479">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High risk</w:t>
            </w:r>
          </w:p>
        </w:tc>
      </w:tr>
      <w:tr w14:paraId="1CEAC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01" w:type="dxa"/>
            <w:vAlign w:val="center"/>
          </w:tcPr>
          <w:p w14:paraId="3890C8DE">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Rousseaux</w:t>
            </w:r>
            <w:r>
              <w:rPr>
                <w:rFonts w:hint="eastAsia" w:ascii="Times New Roman" w:hAnsi="Times New Roman" w:eastAsia="宋体" w:cs="Times New Roman"/>
                <w:i w:val="0"/>
                <w:iCs w:val="0"/>
                <w:color w:val="000000"/>
                <w:kern w:val="0"/>
                <w:sz w:val="21"/>
                <w:szCs w:val="21"/>
                <w:u w:val="none"/>
                <w:lang w:val="en-US" w:eastAsia="zh-CN" w:bidi="ar"/>
              </w:rPr>
              <w:t xml:space="preserve"> et al.</w:t>
            </w:r>
          </w:p>
        </w:tc>
        <w:tc>
          <w:tcPr>
            <w:tcW w:w="1276" w:type="dxa"/>
            <w:shd w:val="clear" w:color="auto" w:fill="auto"/>
            <w:vAlign w:val="center"/>
          </w:tcPr>
          <w:p w14:paraId="586F8D81">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Pain</w:t>
            </w:r>
          </w:p>
        </w:tc>
        <w:tc>
          <w:tcPr>
            <w:tcW w:w="1134" w:type="dxa"/>
            <w:vAlign w:val="center"/>
          </w:tcPr>
          <w:p w14:paraId="6DCE1B44">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VAS</w:t>
            </w:r>
          </w:p>
        </w:tc>
        <w:tc>
          <w:tcPr>
            <w:tcW w:w="2976" w:type="dxa"/>
            <w:vAlign w:val="center"/>
          </w:tcPr>
          <w:p w14:paraId="459BE50B">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Across T0–T3 (pre- and postoperative assessments)</w:t>
            </w:r>
          </w:p>
        </w:tc>
        <w:tc>
          <w:tcPr>
            <w:tcW w:w="1531" w:type="dxa"/>
            <w:vAlign w:val="center"/>
          </w:tcPr>
          <w:p w14:paraId="05C4B1D3">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31" w:type="dxa"/>
            <w:vAlign w:val="center"/>
          </w:tcPr>
          <w:p w14:paraId="6AD7426B">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31" w:type="dxa"/>
            <w:vAlign w:val="center"/>
          </w:tcPr>
          <w:p w14:paraId="6E917FFF">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High risk</w:t>
            </w:r>
          </w:p>
        </w:tc>
        <w:tc>
          <w:tcPr>
            <w:tcW w:w="1531" w:type="dxa"/>
            <w:vAlign w:val="center"/>
          </w:tcPr>
          <w:p w14:paraId="2950E725">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31" w:type="dxa"/>
            <w:vAlign w:val="center"/>
          </w:tcPr>
          <w:p w14:paraId="1CA2DE20">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31" w:type="dxa"/>
            <w:vAlign w:val="center"/>
          </w:tcPr>
          <w:p w14:paraId="2BC70C77">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High risk</w:t>
            </w:r>
          </w:p>
        </w:tc>
      </w:tr>
      <w:tr w14:paraId="53704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01" w:type="dxa"/>
            <w:vAlign w:val="center"/>
          </w:tcPr>
          <w:p w14:paraId="59A386F0">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Bai et al.</w:t>
            </w:r>
          </w:p>
        </w:tc>
        <w:tc>
          <w:tcPr>
            <w:tcW w:w="1276" w:type="dxa"/>
            <w:vAlign w:val="center"/>
          </w:tcPr>
          <w:p w14:paraId="11EFD4D8">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Depression</w:t>
            </w:r>
          </w:p>
        </w:tc>
        <w:tc>
          <w:tcPr>
            <w:tcW w:w="1134" w:type="dxa"/>
            <w:vAlign w:val="center"/>
          </w:tcPr>
          <w:p w14:paraId="6F45C316">
            <w:pPr>
              <w:keepNext w:val="0"/>
              <w:keepLines w:val="0"/>
              <w:widowControl/>
              <w:suppressLineNumbers w:val="0"/>
              <w:jc w:val="left"/>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CES-D</w:t>
            </w:r>
          </w:p>
        </w:tc>
        <w:tc>
          <w:tcPr>
            <w:tcW w:w="2976" w:type="dxa"/>
            <w:vAlign w:val="center"/>
          </w:tcPr>
          <w:p w14:paraId="4E8FF789">
            <w:pPr>
              <w:keepNext w:val="0"/>
              <w:keepLines w:val="0"/>
              <w:widowControl/>
              <w:suppressLineNumbers w:val="0"/>
              <w:jc w:val="left"/>
              <w:textAlignment w:val="center"/>
              <w:rPr>
                <w:rFonts w:hint="eastAsia"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A</w:t>
            </w:r>
            <w:r>
              <w:rPr>
                <w:rFonts w:hint="default" w:ascii="Times New Roman" w:hAnsi="Times New Roman" w:eastAsia="宋体" w:cs="Times New Roman"/>
                <w:i w:val="0"/>
                <w:iCs w:val="0"/>
                <w:color w:val="000000"/>
                <w:kern w:val="0"/>
                <w:sz w:val="21"/>
                <w:szCs w:val="21"/>
                <w:u w:val="none"/>
                <w:lang w:val="en-US" w:eastAsia="zh-CN" w:bidi="ar"/>
              </w:rPr>
              <w:t xml:space="preserve">t the end of the </w:t>
            </w:r>
            <w:r>
              <w:rPr>
                <w:rFonts w:hint="eastAsia" w:ascii="Times New Roman" w:hAnsi="Times New Roman" w:eastAsia="宋体"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week intervention</w:t>
            </w:r>
          </w:p>
        </w:tc>
        <w:tc>
          <w:tcPr>
            <w:tcW w:w="1531" w:type="dxa"/>
            <w:vAlign w:val="center"/>
          </w:tcPr>
          <w:p w14:paraId="29BA1C9E">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31" w:type="dxa"/>
            <w:vAlign w:val="center"/>
          </w:tcPr>
          <w:p w14:paraId="3FA7D05C">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31" w:type="dxa"/>
            <w:vAlign w:val="center"/>
          </w:tcPr>
          <w:p w14:paraId="025BB85D">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Low risk</w:t>
            </w:r>
          </w:p>
        </w:tc>
        <w:tc>
          <w:tcPr>
            <w:tcW w:w="1531" w:type="dxa"/>
            <w:vAlign w:val="center"/>
          </w:tcPr>
          <w:p w14:paraId="1A0B5B2F">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31" w:type="dxa"/>
            <w:vAlign w:val="center"/>
          </w:tcPr>
          <w:p w14:paraId="73860E73">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c>
          <w:tcPr>
            <w:tcW w:w="1531" w:type="dxa"/>
            <w:vAlign w:val="center"/>
          </w:tcPr>
          <w:p w14:paraId="48F9A66E">
            <w:pPr>
              <w:keepNext w:val="0"/>
              <w:keepLines w:val="0"/>
              <w:widowControl/>
              <w:suppressLineNumbers w:val="0"/>
              <w:jc w:val="both"/>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Some concerns</w:t>
            </w:r>
          </w:p>
        </w:tc>
      </w:tr>
    </w:tbl>
    <w:p w14:paraId="250087CD">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eastAsia" w:ascii="Times New Roman" w:hAnsi="Times New Roman" w:eastAsia="仿宋" w:cs="Times New Roman"/>
          <w:b w:val="0"/>
          <w:bCs w:val="0"/>
          <w:i w:val="0"/>
          <w:iCs w:val="0"/>
          <w:caps w:val="0"/>
          <w:color w:val="auto"/>
          <w:spacing w:val="0"/>
          <w:kern w:val="0"/>
          <w:sz w:val="24"/>
          <w:szCs w:val="24"/>
          <w:shd w:val="clear"/>
          <w:lang w:val="en-US" w:eastAsia="zh-CN" w:bidi="ar"/>
        </w:rPr>
      </w:pPr>
      <w:r>
        <w:rPr>
          <w:rFonts w:hint="default" w:ascii="Times New Roman" w:hAnsi="Times New Roman" w:eastAsia="宋体" w:cs="Times New Roman"/>
          <w:b w:val="0"/>
          <w:bCs w:val="0"/>
          <w:i/>
          <w:iCs/>
          <w:sz w:val="24"/>
          <w:szCs w:val="24"/>
          <w:lang w:val="en-US" w:eastAsia="zh-CN"/>
        </w:rPr>
        <w:t>Note</w:t>
      </w:r>
      <w:r>
        <w:rPr>
          <w:rFonts w:hint="eastAsia" w:ascii="Times New Roman" w:hAnsi="Times New Roman" w:eastAsia="宋体" w:cs="Times New Roman"/>
          <w:b w:val="0"/>
          <w:bCs w:val="0"/>
          <w:i/>
          <w:iCs/>
          <w:sz w:val="24"/>
          <w:szCs w:val="24"/>
          <w:lang w:val="en-US" w:eastAsia="zh-CN"/>
        </w:rPr>
        <w:t>:</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eastAsia="zh-CN"/>
        </w:rPr>
        <w:t xml:space="preserve">The target effect for all assessments was the effect of assignment to intervention, regardless of adherence to the assigned intervention. D1, bias arising from the randomization process; D2, bias due to deviations from intended interventions; D3, bias due to missing outcome data; D4, bias in measurement of the outcome; D5, bias in selection of the reported result. RoB 2 judgments are outcome- and time-point-specific. “Low risk,” “Some concerns,” and “High risk” correspond to the standard RoB 2 overall judgment categories. CES-D, Center for Epidemiologic Studies Depression Scale; DASS-21, Depression Anxiety Stress Scales-21; ESRS, Edmonton Symptom Rating Scale; FFMQ, Five Facet Mindfulness Questionnaire; FFMQ-SF, Five Facet Mindfulness Questionnaire-Short Form; </w:t>
      </w:r>
      <w:r>
        <w:rPr>
          <w:rFonts w:hint="eastAsia" w:cs="Times New Roman"/>
          <w:sz w:val="24"/>
          <w:szCs w:val="24"/>
          <w:lang w:val="en-US" w:eastAsia="zh-CN"/>
        </w:rPr>
        <w:t xml:space="preserve">FS, Flourishing Scale; </w:t>
      </w:r>
      <w:r>
        <w:rPr>
          <w:rFonts w:hint="default" w:ascii="Times New Roman" w:hAnsi="Times New Roman" w:eastAsia="宋体" w:cs="Times New Roman"/>
          <w:sz w:val="24"/>
          <w:szCs w:val="24"/>
          <w:lang w:val="en-US" w:eastAsia="zh-CN"/>
        </w:rPr>
        <w:t>GAD-2/GAD-7, Generalized Anxiety Disorder-2/-7; GDS-30, 30-item Geriatric Depression Scale; HADS-A/HADS-D, Hospital Anxiety and Depression Scale anxiety/depression subscales; MAAS, Mindful Attention Awareness Scale; NRS, Numerical Rating Scale; PANAS, Positive and Negative Affect Schedule; PHQ-2/PHQ-9, Patient Health Questionnaire-2/-9; PROMIS-A/PROMIS-D, Patient-Reported Outcomes Measurement Information System anxiety/depression measures; PSS-4/PSS-10, Perceived Stress Scale-4/-10; PSQ, Perceived Stress Questionnaire; SPANE, Scale of Positive and Negative Experience; STAI, State-Trait Anxiety Inventory; STAI-6</w:t>
      </w:r>
      <w:r>
        <w:rPr>
          <w:rFonts w:hint="eastAsia" w:cs="Times New Roman"/>
          <w:sz w:val="24"/>
          <w:szCs w:val="24"/>
          <w:lang w:val="en-US" w:eastAsia="zh-CN"/>
        </w:rPr>
        <w:t xml:space="preserve">, six-item State-Trait Anxiety Inventory; </w:t>
      </w:r>
      <w:r>
        <w:rPr>
          <w:rFonts w:hint="default" w:ascii="Times New Roman" w:hAnsi="Times New Roman" w:eastAsia="宋体" w:cs="Times New Roman"/>
          <w:sz w:val="24"/>
          <w:szCs w:val="24"/>
          <w:lang w:val="en-US" w:eastAsia="zh-CN"/>
        </w:rPr>
        <w:t>STAI-SAI, State Anxiety Inventory (state form of the State-Trait Anxiety Inventory); STAI-X1, State-Trait Anxiety Inventory Form X-1; VAS, visual analogue scale.</w:t>
      </w:r>
    </w:p>
    <w:p w14:paraId="373C49C2">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default" w:ascii="Times New Roman" w:hAnsi="Times New Roman" w:eastAsia="HYSinMyeongJo-Medium" w:cs="Times New Roman"/>
          <w:b/>
          <w:bCs/>
          <w:sz w:val="24"/>
          <w:szCs w:val="24"/>
        </w:rPr>
      </w:pPr>
    </w:p>
    <w:p w14:paraId="39812160">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eastAsia" w:cs="Times New Roman"/>
          <w:b/>
          <w:bCs/>
          <w:color w:val="auto"/>
          <w:sz w:val="24"/>
          <w:szCs w:val="24"/>
          <w:lang w:val="en-US" w:eastAsia="zh-CN"/>
        </w:rPr>
      </w:pPr>
    </w:p>
    <w:p w14:paraId="5CC1E100">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eastAsia" w:cs="Times New Roman"/>
          <w:b/>
          <w:bCs/>
          <w:color w:val="auto"/>
          <w:sz w:val="24"/>
          <w:szCs w:val="24"/>
          <w:lang w:val="en-US" w:eastAsia="zh-CN"/>
        </w:rPr>
      </w:pPr>
    </w:p>
    <w:p w14:paraId="05973C20">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eastAsia" w:cs="Times New Roman"/>
          <w:b/>
          <w:bCs/>
          <w:color w:val="auto"/>
          <w:sz w:val="24"/>
          <w:szCs w:val="24"/>
          <w:lang w:val="en-US" w:eastAsia="zh-CN"/>
        </w:rPr>
      </w:pPr>
    </w:p>
    <w:p w14:paraId="1EC94FED">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eastAsia" w:cs="Times New Roman"/>
          <w:b/>
          <w:bCs/>
          <w:color w:val="auto"/>
          <w:sz w:val="24"/>
          <w:szCs w:val="24"/>
          <w:lang w:val="en-US" w:eastAsia="zh-CN"/>
        </w:rPr>
      </w:pPr>
    </w:p>
    <w:p w14:paraId="0348CD75">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eastAsia" w:cs="Times New Roman"/>
          <w:b/>
          <w:bCs/>
          <w:color w:val="auto"/>
          <w:sz w:val="24"/>
          <w:szCs w:val="24"/>
          <w:lang w:val="en-US" w:eastAsia="zh-CN"/>
        </w:rPr>
      </w:pPr>
    </w:p>
    <w:p w14:paraId="764884B9">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eastAsia" w:cs="Times New Roman"/>
          <w:b/>
          <w:bCs/>
          <w:color w:val="auto"/>
          <w:sz w:val="24"/>
          <w:szCs w:val="24"/>
          <w:lang w:val="en-US" w:eastAsia="zh-CN"/>
        </w:rPr>
      </w:pPr>
    </w:p>
    <w:p w14:paraId="20FD6A19">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eastAsia" w:cs="Times New Roman"/>
          <w:color w:val="auto"/>
          <w:sz w:val="24"/>
          <w:szCs w:val="24"/>
          <w:lang w:val="en-US" w:eastAsia="zh-CN"/>
        </w:rPr>
      </w:pPr>
      <w:r>
        <w:rPr>
          <w:rFonts w:hint="eastAsia" w:cs="Times New Roman"/>
          <w:b/>
          <w:bCs/>
          <w:color w:val="auto"/>
          <w:sz w:val="24"/>
          <w:szCs w:val="24"/>
          <w:lang w:val="en-US" w:eastAsia="zh-CN"/>
        </w:rPr>
        <w:t>Table S11.</w:t>
      </w:r>
      <w:r>
        <w:rPr>
          <w:rFonts w:hint="eastAsia" w:cs="Times New Roman"/>
          <w:color w:val="auto"/>
          <w:sz w:val="24"/>
          <w:szCs w:val="24"/>
          <w:lang w:val="en-US" w:eastAsia="zh-CN"/>
        </w:rPr>
        <w:t xml:space="preserve"> Reported adherence, safety, acceptability, usability, and supervision/technical assistance of VR interventions</w:t>
      </w:r>
    </w:p>
    <w:tbl>
      <w:tblPr>
        <w:tblStyle w:val="7"/>
        <w:tblW w:w="164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069"/>
        <w:gridCol w:w="3600"/>
        <w:gridCol w:w="3969"/>
        <w:gridCol w:w="3402"/>
        <w:gridCol w:w="3402"/>
      </w:tblGrid>
      <w:tr w14:paraId="28D70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blHeader/>
          <w:jc w:val="center"/>
        </w:trPr>
        <w:tc>
          <w:tcPr>
            <w:tcW w:w="2069" w:type="dxa"/>
            <w:shd w:val="clear" w:color="auto" w:fill="auto"/>
            <w:tcMar>
              <w:top w:w="60" w:type="dxa"/>
              <w:left w:w="70" w:type="dxa"/>
              <w:bottom w:w="60" w:type="dxa"/>
              <w:right w:w="70" w:type="dxa"/>
            </w:tcMar>
            <w:vAlign w:val="center"/>
          </w:tcPr>
          <w:p w14:paraId="5258D1EF">
            <w:pPr>
              <w:spacing w:after="0" w:line="240" w:lineRule="auto"/>
              <w:jc w:val="center"/>
              <w:rPr>
                <w:rFonts w:hint="default" w:ascii="Times New Roman" w:hAnsi="Times New Roman" w:cs="Times New Roman"/>
                <w:sz w:val="21"/>
                <w:szCs w:val="21"/>
              </w:rPr>
            </w:pPr>
            <w:r>
              <w:rPr>
                <w:rFonts w:hint="default" w:ascii="Times New Roman" w:hAnsi="Times New Roman" w:eastAsia="Times New Roman" w:cs="Times New Roman"/>
                <w:b/>
                <w:sz w:val="21"/>
                <w:szCs w:val="21"/>
              </w:rPr>
              <w:t>Study</w:t>
            </w:r>
          </w:p>
        </w:tc>
        <w:tc>
          <w:tcPr>
            <w:tcW w:w="3600" w:type="dxa"/>
            <w:shd w:val="clear" w:color="auto" w:fill="auto"/>
            <w:tcMar>
              <w:top w:w="60" w:type="dxa"/>
              <w:left w:w="70" w:type="dxa"/>
              <w:bottom w:w="60" w:type="dxa"/>
              <w:right w:w="70" w:type="dxa"/>
            </w:tcMar>
            <w:vAlign w:val="center"/>
          </w:tcPr>
          <w:p w14:paraId="04E611DB">
            <w:pPr>
              <w:spacing w:after="0" w:line="240" w:lineRule="auto"/>
              <w:jc w:val="center"/>
              <w:rPr>
                <w:rFonts w:hint="default" w:ascii="Times New Roman" w:hAnsi="Times New Roman" w:cs="Times New Roman"/>
                <w:sz w:val="21"/>
                <w:szCs w:val="21"/>
              </w:rPr>
            </w:pPr>
            <w:r>
              <w:rPr>
                <w:rFonts w:hint="default" w:ascii="Times New Roman" w:hAnsi="Times New Roman" w:eastAsia="Times New Roman" w:cs="Times New Roman"/>
                <w:b/>
                <w:sz w:val="21"/>
                <w:szCs w:val="21"/>
              </w:rPr>
              <w:t>Adherence/completion</w:t>
            </w:r>
          </w:p>
        </w:tc>
        <w:tc>
          <w:tcPr>
            <w:tcW w:w="3969" w:type="dxa"/>
            <w:shd w:val="clear" w:color="auto" w:fill="auto"/>
            <w:tcMar>
              <w:top w:w="60" w:type="dxa"/>
              <w:left w:w="70" w:type="dxa"/>
              <w:bottom w:w="60" w:type="dxa"/>
              <w:right w:w="70" w:type="dxa"/>
            </w:tcMar>
            <w:vAlign w:val="center"/>
          </w:tcPr>
          <w:p w14:paraId="434DAD2A">
            <w:pPr>
              <w:spacing w:after="0" w:line="240" w:lineRule="auto"/>
              <w:jc w:val="center"/>
              <w:rPr>
                <w:rFonts w:hint="default" w:ascii="Times New Roman" w:hAnsi="Times New Roman" w:cs="Times New Roman"/>
                <w:sz w:val="21"/>
                <w:szCs w:val="21"/>
              </w:rPr>
            </w:pPr>
            <w:r>
              <w:rPr>
                <w:rFonts w:hint="default" w:ascii="Times New Roman" w:hAnsi="Times New Roman" w:eastAsia="Times New Roman" w:cs="Times New Roman"/>
                <w:b/>
                <w:sz w:val="21"/>
                <w:szCs w:val="21"/>
              </w:rPr>
              <w:t>VR-related adverse events/discomfort</w:t>
            </w:r>
          </w:p>
        </w:tc>
        <w:tc>
          <w:tcPr>
            <w:tcW w:w="3402" w:type="dxa"/>
            <w:shd w:val="clear" w:color="auto" w:fill="auto"/>
            <w:tcMar>
              <w:top w:w="60" w:type="dxa"/>
              <w:left w:w="70" w:type="dxa"/>
              <w:bottom w:w="60" w:type="dxa"/>
              <w:right w:w="70" w:type="dxa"/>
            </w:tcMar>
            <w:vAlign w:val="center"/>
          </w:tcPr>
          <w:p w14:paraId="1274105E">
            <w:pPr>
              <w:spacing w:after="0" w:line="240" w:lineRule="auto"/>
              <w:jc w:val="center"/>
              <w:rPr>
                <w:rFonts w:hint="default" w:ascii="Times New Roman" w:hAnsi="Times New Roman" w:cs="Times New Roman"/>
                <w:sz w:val="21"/>
                <w:szCs w:val="21"/>
              </w:rPr>
            </w:pPr>
            <w:r>
              <w:rPr>
                <w:rFonts w:hint="default" w:ascii="Times New Roman" w:hAnsi="Times New Roman" w:eastAsia="Times New Roman" w:cs="Times New Roman"/>
                <w:b/>
                <w:sz w:val="21"/>
                <w:szCs w:val="21"/>
              </w:rPr>
              <w:t>Acceptability</w:t>
            </w:r>
          </w:p>
        </w:tc>
        <w:tc>
          <w:tcPr>
            <w:tcW w:w="3402" w:type="dxa"/>
            <w:shd w:val="clear" w:color="auto" w:fill="auto"/>
            <w:tcMar>
              <w:top w:w="60" w:type="dxa"/>
              <w:left w:w="70" w:type="dxa"/>
              <w:bottom w:w="60" w:type="dxa"/>
              <w:right w:w="70" w:type="dxa"/>
            </w:tcMar>
            <w:vAlign w:val="center"/>
          </w:tcPr>
          <w:p w14:paraId="06B206A1">
            <w:pPr>
              <w:spacing w:after="0" w:line="240" w:lineRule="auto"/>
              <w:jc w:val="center"/>
              <w:rPr>
                <w:rFonts w:hint="default" w:ascii="Times New Roman" w:hAnsi="Times New Roman" w:cs="Times New Roman"/>
                <w:sz w:val="21"/>
                <w:szCs w:val="21"/>
              </w:rPr>
            </w:pPr>
            <w:r>
              <w:rPr>
                <w:rFonts w:hint="default" w:ascii="Times New Roman" w:hAnsi="Times New Roman" w:eastAsia="Times New Roman" w:cs="Times New Roman"/>
                <w:b/>
                <w:sz w:val="21"/>
                <w:szCs w:val="21"/>
              </w:rPr>
              <w:t>Usability/technical issues and supervision/assistance</w:t>
            </w:r>
          </w:p>
        </w:tc>
      </w:tr>
      <w:tr w14:paraId="2B10A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2069" w:type="dxa"/>
            <w:shd w:val="clear" w:color="auto" w:fill="auto"/>
            <w:tcMar>
              <w:top w:w="60" w:type="dxa"/>
              <w:left w:w="70" w:type="dxa"/>
              <w:bottom w:w="60" w:type="dxa"/>
              <w:right w:w="70" w:type="dxa"/>
            </w:tcMar>
            <w:vAlign w:val="top"/>
          </w:tcPr>
          <w:p w14:paraId="6657A505">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Seethaler et al.</w:t>
            </w:r>
          </w:p>
        </w:tc>
        <w:tc>
          <w:tcPr>
            <w:tcW w:w="3600" w:type="dxa"/>
            <w:shd w:val="clear" w:color="auto" w:fill="auto"/>
            <w:tcMar>
              <w:top w:w="60" w:type="dxa"/>
              <w:left w:w="70" w:type="dxa"/>
              <w:bottom w:w="60" w:type="dxa"/>
              <w:right w:w="70" w:type="dxa"/>
            </w:tcMar>
            <w:vAlign w:val="top"/>
          </w:tcPr>
          <w:p w14:paraId="150D4219">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21/22 allocated participants received VR; all 21 recipients completed the intervention. One participant withdrew before receiving VR because of headache.</w:t>
            </w:r>
          </w:p>
        </w:tc>
        <w:tc>
          <w:tcPr>
            <w:tcW w:w="3969" w:type="dxa"/>
            <w:shd w:val="clear" w:color="auto" w:fill="auto"/>
            <w:tcMar>
              <w:top w:w="60" w:type="dxa"/>
              <w:left w:w="70" w:type="dxa"/>
              <w:bottom w:w="60" w:type="dxa"/>
              <w:right w:w="70" w:type="dxa"/>
            </w:tcMar>
            <w:vAlign w:val="top"/>
          </w:tcPr>
          <w:p w14:paraId="7186466C">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Actively assessed (FMS; n=21). Motion-sickness ratings were minimal (mean 0.25 ± 0.91), with 20/21 (95.2%) ratings ≤1; the authors also reported no other VR-related adverse events.</w:t>
            </w:r>
          </w:p>
        </w:tc>
        <w:tc>
          <w:tcPr>
            <w:tcW w:w="3402" w:type="dxa"/>
            <w:shd w:val="clear" w:color="auto" w:fill="auto"/>
            <w:tcMar>
              <w:top w:w="60" w:type="dxa"/>
              <w:left w:w="70" w:type="dxa"/>
              <w:bottom w:w="60" w:type="dxa"/>
              <w:right w:w="70" w:type="dxa"/>
            </w:tcMar>
            <w:vAlign w:val="top"/>
          </w:tcPr>
          <w:p w14:paraId="5115CADD">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Median satisfaction was 18/20 (IQR 4); 19/21 (90.5%) could envision VR being integrated into future clinical care.</w:t>
            </w:r>
          </w:p>
        </w:tc>
        <w:tc>
          <w:tcPr>
            <w:tcW w:w="3402" w:type="dxa"/>
            <w:shd w:val="clear" w:color="auto" w:fill="auto"/>
            <w:tcMar>
              <w:top w:w="60" w:type="dxa"/>
              <w:left w:w="70" w:type="dxa"/>
              <w:bottom w:w="60" w:type="dxa"/>
              <w:right w:w="70" w:type="dxa"/>
            </w:tcMar>
            <w:vAlign w:val="top"/>
          </w:tcPr>
          <w:p w14:paraId="099C8530">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A brief Meta Quest 2 orientation was provided; the second author was present throughout the procedure. Specific technical problems were not reported.</w:t>
            </w:r>
          </w:p>
        </w:tc>
      </w:tr>
      <w:tr w14:paraId="1F570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2069" w:type="dxa"/>
            <w:shd w:val="clear" w:color="auto" w:fill="auto"/>
            <w:tcMar>
              <w:top w:w="60" w:type="dxa"/>
              <w:left w:w="70" w:type="dxa"/>
              <w:bottom w:w="60" w:type="dxa"/>
              <w:right w:w="70" w:type="dxa"/>
            </w:tcMar>
            <w:vAlign w:val="top"/>
          </w:tcPr>
          <w:p w14:paraId="453A2E6A">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Sadowski et al.</w:t>
            </w:r>
          </w:p>
        </w:tc>
        <w:tc>
          <w:tcPr>
            <w:tcW w:w="3600" w:type="dxa"/>
            <w:shd w:val="clear" w:color="auto" w:fill="auto"/>
            <w:tcMar>
              <w:top w:w="60" w:type="dxa"/>
              <w:left w:w="70" w:type="dxa"/>
              <w:bottom w:w="60" w:type="dxa"/>
              <w:right w:w="70" w:type="dxa"/>
            </w:tcMar>
            <w:vAlign w:val="top"/>
          </w:tcPr>
          <w:p w14:paraId="11AA2DFF">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12/14 (85.7%) completed the VR program (≥6/8 sessions); one non-completer had scheduling difficulties and one discontinued because of headset discomfort. All 12 completers attended 8/8 sessions.</w:t>
            </w:r>
          </w:p>
        </w:tc>
        <w:tc>
          <w:tcPr>
            <w:tcW w:w="3969" w:type="dxa"/>
            <w:shd w:val="clear" w:color="auto" w:fill="auto"/>
            <w:tcMar>
              <w:top w:w="60" w:type="dxa"/>
              <w:left w:w="70" w:type="dxa"/>
              <w:bottom w:w="60" w:type="dxa"/>
              <w:right w:w="70" w:type="dxa"/>
            </w:tcMar>
            <w:vAlign w:val="top"/>
          </w:tcPr>
          <w:p w14:paraId="38C2A336">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Actively assessed (SSQ; n=12 at T1-T3). Total symptoms were generally minimal; nausea and disorientation were negligible-to-minimal, while oculomotor discomfort ranged from minimal to significant.</w:t>
            </w:r>
          </w:p>
        </w:tc>
        <w:tc>
          <w:tcPr>
            <w:tcW w:w="3402" w:type="dxa"/>
            <w:shd w:val="clear" w:color="auto" w:fill="auto"/>
            <w:tcMar>
              <w:top w:w="60" w:type="dxa"/>
              <w:left w:w="70" w:type="dxa"/>
              <w:bottom w:w="60" w:type="dxa"/>
              <w:right w:w="70" w:type="dxa"/>
            </w:tcMar>
            <w:vAlign w:val="top"/>
          </w:tcPr>
          <w:p w14:paraId="60D71317">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11/12 (91.7%) enjoyed the overall VR experience. Among respondents, 11/11 (100%) would use the program in the future and 11/11 (100%) would recommend it.</w:t>
            </w:r>
          </w:p>
        </w:tc>
        <w:tc>
          <w:tcPr>
            <w:tcW w:w="3402" w:type="dxa"/>
            <w:shd w:val="clear" w:color="auto" w:fill="auto"/>
            <w:tcMar>
              <w:top w:w="60" w:type="dxa"/>
              <w:left w:w="70" w:type="dxa"/>
              <w:bottom w:w="60" w:type="dxa"/>
              <w:right w:w="70" w:type="dxa"/>
            </w:tcMar>
            <w:vAlign w:val="top"/>
          </w:tcPr>
          <w:p w14:paraId="10644910">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Blurred images were reported by 4/12 (33.3%), headset heaviness by 2/12 (16.7%), and video-quality concerns by 3/12 (25.0%). The research team assisted with headset use and troubleshooting as needed.</w:t>
            </w:r>
          </w:p>
        </w:tc>
      </w:tr>
      <w:tr w14:paraId="1FBD0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2069" w:type="dxa"/>
            <w:shd w:val="clear" w:color="auto" w:fill="auto"/>
            <w:tcMar>
              <w:top w:w="60" w:type="dxa"/>
              <w:left w:w="70" w:type="dxa"/>
              <w:bottom w:w="60" w:type="dxa"/>
              <w:right w:w="70" w:type="dxa"/>
            </w:tcMar>
            <w:vAlign w:val="top"/>
          </w:tcPr>
          <w:p w14:paraId="6628EC23">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Prabhu et al.</w:t>
            </w:r>
          </w:p>
        </w:tc>
        <w:tc>
          <w:tcPr>
            <w:tcW w:w="3600" w:type="dxa"/>
            <w:shd w:val="clear" w:color="auto" w:fill="auto"/>
            <w:tcMar>
              <w:top w:w="60" w:type="dxa"/>
              <w:left w:w="70" w:type="dxa"/>
              <w:bottom w:w="60" w:type="dxa"/>
              <w:right w:w="70" w:type="dxa"/>
            </w:tcMar>
            <w:vAlign w:val="top"/>
          </w:tcPr>
          <w:p w14:paraId="418E05BB">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9/9 VR participants completed the preoperative and postoperative intervention procedures; one postoperative VR session was delayed by 45 min because of anesthesia-related drowsiness.</w:t>
            </w:r>
          </w:p>
        </w:tc>
        <w:tc>
          <w:tcPr>
            <w:tcW w:w="3969" w:type="dxa"/>
            <w:shd w:val="clear" w:color="auto" w:fill="auto"/>
            <w:tcMar>
              <w:top w:w="60" w:type="dxa"/>
              <w:left w:w="70" w:type="dxa"/>
              <w:bottom w:w="60" w:type="dxa"/>
              <w:right w:w="70" w:type="dxa"/>
            </w:tcMar>
            <w:vAlign w:val="top"/>
          </w:tcPr>
          <w:p w14:paraId="30EBD8E8">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Not systematically assessed after the intervention. The SSQ was used for pre-enrollment cybersickness screening, but no dedicated post-intervention adverse-event/cybersickness assessment or corresponding VR safety results were reported.</w:t>
            </w:r>
          </w:p>
        </w:tc>
        <w:tc>
          <w:tcPr>
            <w:tcW w:w="3402" w:type="dxa"/>
            <w:shd w:val="clear" w:color="auto" w:fill="auto"/>
            <w:tcMar>
              <w:top w:w="60" w:type="dxa"/>
              <w:left w:w="70" w:type="dxa"/>
              <w:bottom w:w="60" w:type="dxa"/>
              <w:right w:w="70" w:type="dxa"/>
            </w:tcMar>
            <w:vAlign w:val="top"/>
          </w:tcPr>
          <w:p w14:paraId="5B79ABEC">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Across the VR and 2D intervention groups, 18/18 (100%) participants were likely or highly likely to recommend the intervention.</w:t>
            </w:r>
          </w:p>
        </w:tc>
        <w:tc>
          <w:tcPr>
            <w:tcW w:w="3402" w:type="dxa"/>
            <w:shd w:val="clear" w:color="auto" w:fill="auto"/>
            <w:tcMar>
              <w:top w:w="60" w:type="dxa"/>
              <w:left w:w="70" w:type="dxa"/>
              <w:bottom w:w="60" w:type="dxa"/>
              <w:right w:w="70" w:type="dxa"/>
            </w:tcMar>
            <w:vAlign w:val="top"/>
          </w:tcPr>
          <w:p w14:paraId="17CDEB44">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VR SUS was 66.3 ± 4.0. Participants recommended simplifying the biofeedback setup. A researcher coached breathing, fitted the HMD, and provided a 5-min practice period before the intervention.</w:t>
            </w:r>
          </w:p>
        </w:tc>
      </w:tr>
      <w:tr w14:paraId="71E0E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2069" w:type="dxa"/>
            <w:shd w:val="clear" w:color="auto" w:fill="auto"/>
            <w:tcMar>
              <w:top w:w="60" w:type="dxa"/>
              <w:left w:w="70" w:type="dxa"/>
              <w:bottom w:w="60" w:type="dxa"/>
              <w:right w:w="70" w:type="dxa"/>
            </w:tcMar>
            <w:vAlign w:val="top"/>
          </w:tcPr>
          <w:p w14:paraId="44EE038F">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Szczepańska-Gieracha et al.</w:t>
            </w:r>
          </w:p>
        </w:tc>
        <w:tc>
          <w:tcPr>
            <w:tcW w:w="3600" w:type="dxa"/>
            <w:shd w:val="clear" w:color="auto" w:fill="auto"/>
            <w:tcMar>
              <w:top w:w="60" w:type="dxa"/>
              <w:left w:w="70" w:type="dxa"/>
              <w:bottom w:w="60" w:type="dxa"/>
              <w:right w:w="70" w:type="dxa"/>
            </w:tcMar>
            <w:vAlign w:val="top"/>
          </w:tcPr>
          <w:p w14:paraId="4181351D">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11/13 VR participants were retained for final analysis; two were excluded after allocation (religious beliefs, n=1; unrelated accident, n=1). Session-level adherence was not separately reported.</w:t>
            </w:r>
          </w:p>
        </w:tc>
        <w:tc>
          <w:tcPr>
            <w:tcW w:w="3969" w:type="dxa"/>
            <w:shd w:val="clear" w:color="auto" w:fill="auto"/>
            <w:tcMar>
              <w:top w:w="60" w:type="dxa"/>
              <w:left w:w="70" w:type="dxa"/>
              <w:bottom w:w="60" w:type="dxa"/>
              <w:right w:w="70" w:type="dxa"/>
            </w:tcMar>
            <w:vAlign w:val="top"/>
          </w:tcPr>
          <w:p w14:paraId="7ABC3F3C">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Not systematically assessed/reported.</w:t>
            </w:r>
          </w:p>
        </w:tc>
        <w:tc>
          <w:tcPr>
            <w:tcW w:w="3402" w:type="dxa"/>
            <w:shd w:val="clear" w:color="auto" w:fill="auto"/>
            <w:tcMar>
              <w:top w:w="60" w:type="dxa"/>
              <w:left w:w="70" w:type="dxa"/>
              <w:bottom w:w="60" w:type="dxa"/>
              <w:right w:w="70" w:type="dxa"/>
            </w:tcMar>
            <w:vAlign w:val="top"/>
          </w:tcPr>
          <w:p w14:paraId="4FE958F8">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Acceptability/feasibility was not directly assessed; the authors described the VR therapy as well tolerated.</w:t>
            </w:r>
          </w:p>
        </w:tc>
        <w:tc>
          <w:tcPr>
            <w:tcW w:w="3402" w:type="dxa"/>
            <w:shd w:val="clear" w:color="auto" w:fill="auto"/>
            <w:tcMar>
              <w:top w:w="60" w:type="dxa"/>
              <w:left w:w="70" w:type="dxa"/>
              <w:bottom w:w="60" w:type="dxa"/>
              <w:right w:w="70" w:type="dxa"/>
            </w:tcMar>
            <w:vAlign w:val="top"/>
          </w:tcPr>
          <w:p w14:paraId="62B784A4">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Not reported.</w:t>
            </w:r>
          </w:p>
        </w:tc>
      </w:tr>
      <w:tr w14:paraId="33375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2069" w:type="dxa"/>
            <w:shd w:val="clear" w:color="auto" w:fill="auto"/>
            <w:tcMar>
              <w:top w:w="60" w:type="dxa"/>
              <w:left w:w="70" w:type="dxa"/>
              <w:bottom w:w="60" w:type="dxa"/>
              <w:right w:w="70" w:type="dxa"/>
            </w:tcMar>
            <w:vAlign w:val="top"/>
          </w:tcPr>
          <w:p w14:paraId="32EC6D70">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Cieślik et al.</w:t>
            </w:r>
          </w:p>
        </w:tc>
        <w:tc>
          <w:tcPr>
            <w:tcW w:w="3600" w:type="dxa"/>
            <w:shd w:val="clear" w:color="auto" w:fill="auto"/>
            <w:tcMar>
              <w:top w:w="60" w:type="dxa"/>
              <w:left w:w="70" w:type="dxa"/>
              <w:bottom w:w="60" w:type="dxa"/>
              <w:right w:w="70" w:type="dxa"/>
            </w:tcMar>
            <w:vAlign w:val="top"/>
          </w:tcPr>
          <w:p w14:paraId="060BBF21">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30/30 (100%) VR participants completed the study; session-level attendance was not separately reported.</w:t>
            </w:r>
          </w:p>
        </w:tc>
        <w:tc>
          <w:tcPr>
            <w:tcW w:w="3969" w:type="dxa"/>
            <w:shd w:val="clear" w:color="auto" w:fill="auto"/>
            <w:tcMar>
              <w:top w:w="60" w:type="dxa"/>
              <w:left w:w="70" w:type="dxa"/>
              <w:bottom w:w="60" w:type="dxa"/>
              <w:right w:w="70" w:type="dxa"/>
            </w:tcMar>
            <w:vAlign w:val="top"/>
          </w:tcPr>
          <w:p w14:paraId="7E489DA7">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Not systematically assessed/reported.</w:t>
            </w:r>
          </w:p>
        </w:tc>
        <w:tc>
          <w:tcPr>
            <w:tcW w:w="3402" w:type="dxa"/>
            <w:shd w:val="clear" w:color="auto" w:fill="auto"/>
            <w:tcMar>
              <w:top w:w="60" w:type="dxa"/>
              <w:left w:w="70" w:type="dxa"/>
              <w:bottom w:w="60" w:type="dxa"/>
              <w:right w:w="70" w:type="dxa"/>
            </w:tcMar>
            <w:vAlign w:val="top"/>
          </w:tcPr>
          <w:p w14:paraId="593E4F4F">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Not reported.</w:t>
            </w:r>
          </w:p>
        </w:tc>
        <w:tc>
          <w:tcPr>
            <w:tcW w:w="3402" w:type="dxa"/>
            <w:shd w:val="clear" w:color="auto" w:fill="auto"/>
            <w:tcMar>
              <w:top w:w="60" w:type="dxa"/>
              <w:left w:w="70" w:type="dxa"/>
              <w:bottom w:w="60" w:type="dxa"/>
              <w:right w:w="70" w:type="dxa"/>
            </w:tcMar>
            <w:vAlign w:val="top"/>
          </w:tcPr>
          <w:p w14:paraId="1F976C28">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Not reported.</w:t>
            </w:r>
          </w:p>
        </w:tc>
      </w:tr>
      <w:tr w14:paraId="42473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2069" w:type="dxa"/>
            <w:shd w:val="clear" w:color="auto" w:fill="auto"/>
            <w:tcMar>
              <w:top w:w="60" w:type="dxa"/>
              <w:left w:w="70" w:type="dxa"/>
              <w:bottom w:w="60" w:type="dxa"/>
              <w:right w:w="70" w:type="dxa"/>
            </w:tcMar>
            <w:vAlign w:val="top"/>
          </w:tcPr>
          <w:p w14:paraId="20E10CEA">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Kwon et al.</w:t>
            </w:r>
          </w:p>
        </w:tc>
        <w:tc>
          <w:tcPr>
            <w:tcW w:w="3600" w:type="dxa"/>
            <w:shd w:val="clear" w:color="auto" w:fill="auto"/>
            <w:tcMar>
              <w:top w:w="60" w:type="dxa"/>
              <w:left w:w="70" w:type="dxa"/>
              <w:bottom w:w="60" w:type="dxa"/>
              <w:right w:w="70" w:type="dxa"/>
            </w:tcMar>
            <w:vAlign w:val="top"/>
          </w:tcPr>
          <w:p w14:paraId="53852D47">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15/16 (93.8%) completed all VR sessions and the post-intervention assessment; one participant withdrew after the first session because of severe dizziness/motion sickness.</w:t>
            </w:r>
          </w:p>
        </w:tc>
        <w:tc>
          <w:tcPr>
            <w:tcW w:w="3969" w:type="dxa"/>
            <w:shd w:val="clear" w:color="auto" w:fill="auto"/>
            <w:tcMar>
              <w:top w:w="60" w:type="dxa"/>
              <w:left w:w="70" w:type="dxa"/>
              <w:bottom w:w="60" w:type="dxa"/>
              <w:right w:w="70" w:type="dxa"/>
            </w:tcMar>
            <w:vAlign w:val="top"/>
          </w:tcPr>
          <w:p w14:paraId="18BE7AA1">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Actively assessed (n=15 completers). Cybersickness scores across the four VR modules ranged from 16.73 to 19.13/64 and were interpreted as minor. One of 16 allocated participants withdrew because of severe dizziness; facial pressure and eye strain were also reported qualitatively, but their frequencies were not reported.</w:t>
            </w:r>
          </w:p>
        </w:tc>
        <w:tc>
          <w:tcPr>
            <w:tcW w:w="3402" w:type="dxa"/>
            <w:shd w:val="clear" w:color="auto" w:fill="auto"/>
            <w:tcMar>
              <w:top w:w="60" w:type="dxa"/>
              <w:left w:w="70" w:type="dxa"/>
              <w:bottom w:w="60" w:type="dxa"/>
              <w:right w:w="70" w:type="dxa"/>
            </w:tcMar>
            <w:vAlign w:val="top"/>
          </w:tcPr>
          <w:p w14:paraId="3E45E174">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Among 15 completers, mean usefulness was 22.6/25; attitude toward VR ranged from 23.80 to 24.27/25 across modules.</w:t>
            </w:r>
          </w:p>
        </w:tc>
        <w:tc>
          <w:tcPr>
            <w:tcW w:w="3402" w:type="dxa"/>
            <w:shd w:val="clear" w:color="auto" w:fill="auto"/>
            <w:tcMar>
              <w:top w:w="60" w:type="dxa"/>
              <w:left w:w="70" w:type="dxa"/>
              <w:bottom w:w="60" w:type="dxa"/>
              <w:right w:w="70" w:type="dxa"/>
            </w:tcMar>
            <w:vAlign w:val="top"/>
          </w:tcPr>
          <w:p w14:paraId="0D3A88B9">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Mean ease-of-use score was 21.1/25 (n=15). Difficulties with controls/menu navigation and focus adjustment were reported qualitatively (frequencies not reported); VR-use instructions and fitting assistance were provided.</w:t>
            </w:r>
          </w:p>
        </w:tc>
      </w:tr>
      <w:tr w14:paraId="4CF40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2069" w:type="dxa"/>
            <w:shd w:val="clear" w:color="auto" w:fill="auto"/>
            <w:tcMar>
              <w:top w:w="60" w:type="dxa"/>
              <w:left w:w="70" w:type="dxa"/>
              <w:bottom w:w="60" w:type="dxa"/>
              <w:right w:w="70" w:type="dxa"/>
            </w:tcMar>
            <w:vAlign w:val="top"/>
          </w:tcPr>
          <w:p w14:paraId="0943A731">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Li et al.</w:t>
            </w:r>
          </w:p>
        </w:tc>
        <w:tc>
          <w:tcPr>
            <w:tcW w:w="3600" w:type="dxa"/>
            <w:shd w:val="clear" w:color="auto" w:fill="auto"/>
            <w:tcMar>
              <w:top w:w="60" w:type="dxa"/>
              <w:left w:w="70" w:type="dxa"/>
              <w:bottom w:w="60" w:type="dxa"/>
              <w:right w:w="70" w:type="dxa"/>
            </w:tcMar>
            <w:vAlign w:val="top"/>
          </w:tcPr>
          <w:p w14:paraId="2014001E">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45/53 (84.9%) completed the VR intervention. Eight discontinued: five were discharged before completing the intervention cycle and three refused to use the VR glasses.</w:t>
            </w:r>
          </w:p>
        </w:tc>
        <w:tc>
          <w:tcPr>
            <w:tcW w:w="3969" w:type="dxa"/>
            <w:shd w:val="clear" w:color="auto" w:fill="auto"/>
            <w:tcMar>
              <w:top w:w="60" w:type="dxa"/>
              <w:left w:w="70" w:type="dxa"/>
              <w:bottom w:w="60" w:type="dxa"/>
              <w:right w:w="70" w:type="dxa"/>
            </w:tcMar>
            <w:vAlign w:val="top"/>
          </w:tcPr>
          <w:p w14:paraId="3BCC594B">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Explicit zero-event statement; no dedicated cybersickness instrument was described. The authors reported that no additional adverse events or unintended effects occurred during the intervention.</w:t>
            </w:r>
          </w:p>
        </w:tc>
        <w:tc>
          <w:tcPr>
            <w:tcW w:w="3402" w:type="dxa"/>
            <w:shd w:val="clear" w:color="auto" w:fill="auto"/>
            <w:tcMar>
              <w:top w:w="60" w:type="dxa"/>
              <w:left w:w="70" w:type="dxa"/>
              <w:bottom w:w="60" w:type="dxa"/>
              <w:right w:w="70" w:type="dxa"/>
            </w:tcMar>
            <w:vAlign w:val="top"/>
          </w:tcPr>
          <w:p w14:paraId="42500635">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No formal acceptability measure was reported; the authors described overall acceptance as high.</w:t>
            </w:r>
          </w:p>
        </w:tc>
        <w:tc>
          <w:tcPr>
            <w:tcW w:w="3402" w:type="dxa"/>
            <w:shd w:val="clear" w:color="auto" w:fill="auto"/>
            <w:tcMar>
              <w:top w:w="60" w:type="dxa"/>
              <w:left w:w="70" w:type="dxa"/>
              <w:bottom w:w="60" w:type="dxa"/>
              <w:right w:w="70" w:type="dxa"/>
            </w:tcMar>
            <w:vAlign w:val="top"/>
          </w:tcPr>
          <w:p w14:paraId="7E7A5A27">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Participants received VR-use training; staff assistance and ward visits were provided to support VR use/adherence. No specific technical failures were reported.</w:t>
            </w:r>
          </w:p>
        </w:tc>
      </w:tr>
      <w:tr w14:paraId="5C02D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2069" w:type="dxa"/>
            <w:shd w:val="clear" w:color="auto" w:fill="auto"/>
            <w:tcMar>
              <w:top w:w="60" w:type="dxa"/>
              <w:left w:w="70" w:type="dxa"/>
              <w:bottom w:w="60" w:type="dxa"/>
              <w:right w:w="70" w:type="dxa"/>
            </w:tcMar>
            <w:vAlign w:val="top"/>
          </w:tcPr>
          <w:p w14:paraId="25D4AAFD">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Burrows et al.</w:t>
            </w:r>
          </w:p>
        </w:tc>
        <w:tc>
          <w:tcPr>
            <w:tcW w:w="3600" w:type="dxa"/>
            <w:shd w:val="clear" w:color="auto" w:fill="auto"/>
            <w:tcMar>
              <w:top w:w="60" w:type="dxa"/>
              <w:left w:w="70" w:type="dxa"/>
              <w:bottom w:w="60" w:type="dxa"/>
              <w:right w:w="70" w:type="dxa"/>
            </w:tcMar>
            <w:vAlign w:val="top"/>
          </w:tcPr>
          <w:p w14:paraId="087AE9D9">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VRM-specific session adherence was not explicitly reported. Six participants were allocated to VRM+PARx; one later withdrew because of an unrelated medical complication, leaving 5/6 for final analysis.</w:t>
            </w:r>
          </w:p>
        </w:tc>
        <w:tc>
          <w:tcPr>
            <w:tcW w:w="3969" w:type="dxa"/>
            <w:shd w:val="clear" w:color="auto" w:fill="auto"/>
            <w:tcMar>
              <w:top w:w="60" w:type="dxa"/>
              <w:left w:w="70" w:type="dxa"/>
              <w:bottom w:w="60" w:type="dxa"/>
              <w:right w:w="70" w:type="dxa"/>
            </w:tcMar>
            <w:vAlign w:val="top"/>
          </w:tcPr>
          <w:p w14:paraId="5898E523">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The authors stated that no adverse events were reported during the intervention; however, no dedicated adverse-event/cybersickness assessment was described.</w:t>
            </w:r>
          </w:p>
        </w:tc>
        <w:tc>
          <w:tcPr>
            <w:tcW w:w="3402" w:type="dxa"/>
            <w:shd w:val="clear" w:color="auto" w:fill="auto"/>
            <w:tcMar>
              <w:top w:w="60" w:type="dxa"/>
              <w:left w:w="70" w:type="dxa"/>
              <w:bottom w:w="60" w:type="dxa"/>
              <w:right w:w="70" w:type="dxa"/>
            </w:tcMar>
            <w:vAlign w:val="top"/>
          </w:tcPr>
          <w:p w14:paraId="6707BB84">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100% of treatment-group respondents found VRM enjoyable and easy to follow, the environments relaxing, and VRM a pleasant distraction from hemodialysis; the respondent denominator was not separately stated.</w:t>
            </w:r>
          </w:p>
        </w:tc>
        <w:tc>
          <w:tcPr>
            <w:tcW w:w="3402" w:type="dxa"/>
            <w:shd w:val="clear" w:color="auto" w:fill="auto"/>
            <w:tcMar>
              <w:top w:w="60" w:type="dxa"/>
              <w:left w:w="70" w:type="dxa"/>
              <w:bottom w:w="60" w:type="dxa"/>
              <w:right w:w="70" w:type="dxa"/>
            </w:tcMar>
            <w:vAlign w:val="top"/>
          </w:tcPr>
          <w:p w14:paraId="71D0A2F6">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Not reported.</w:t>
            </w:r>
          </w:p>
        </w:tc>
      </w:tr>
      <w:tr w14:paraId="73DEE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2069" w:type="dxa"/>
            <w:shd w:val="clear" w:color="auto" w:fill="auto"/>
            <w:tcMar>
              <w:top w:w="60" w:type="dxa"/>
              <w:left w:w="70" w:type="dxa"/>
              <w:bottom w:w="60" w:type="dxa"/>
              <w:right w:w="70" w:type="dxa"/>
            </w:tcMar>
            <w:vAlign w:val="top"/>
          </w:tcPr>
          <w:p w14:paraId="4AA68FFC">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bCs/>
                <w:sz w:val="21"/>
                <w:szCs w:val="21"/>
              </w:rPr>
              <w:t>Modrego-Alarcón et al.</w:t>
            </w:r>
            <w:r>
              <w:rPr>
                <w:rFonts w:hint="default" w:ascii="Times New Roman" w:hAnsi="Times New Roman" w:eastAsia="Times New Roman" w:cs="Times New Roman"/>
                <w:b w:val="0"/>
                <w:bCs/>
                <w:sz w:val="21"/>
                <w:szCs w:val="21"/>
                <w:vertAlign w:val="superscript"/>
              </w:rPr>
              <w:t>a</w:t>
            </w:r>
          </w:p>
        </w:tc>
        <w:tc>
          <w:tcPr>
            <w:tcW w:w="3600" w:type="dxa"/>
            <w:shd w:val="clear" w:color="auto" w:fill="auto"/>
            <w:tcMar>
              <w:top w:w="60" w:type="dxa"/>
              <w:left w:w="70" w:type="dxa"/>
              <w:bottom w:w="60" w:type="dxa"/>
              <w:right w:w="70" w:type="dxa"/>
            </w:tcMar>
            <w:vAlign w:val="top"/>
          </w:tcPr>
          <w:p w14:paraId="635D8075">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Attendance was high, but group-specific attendance values were internally inconsistent in the source (see note a).</w:t>
            </w:r>
          </w:p>
        </w:tc>
        <w:tc>
          <w:tcPr>
            <w:tcW w:w="3969" w:type="dxa"/>
            <w:shd w:val="clear" w:color="auto" w:fill="auto"/>
            <w:tcMar>
              <w:top w:w="60" w:type="dxa"/>
              <w:left w:w="70" w:type="dxa"/>
              <w:bottom w:w="60" w:type="dxa"/>
              <w:right w:w="70" w:type="dxa"/>
            </w:tcMar>
            <w:vAlign w:val="top"/>
          </w:tcPr>
          <w:p w14:paraId="3584798C">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Not systematically assessed. No serious adverse events were reported, but the authors explicitly stated that collection of potential adverse effects/cybersickness was not systematized and relied mainly on spontaneous comments to the on-site psychologist.</w:t>
            </w:r>
          </w:p>
        </w:tc>
        <w:tc>
          <w:tcPr>
            <w:tcW w:w="3402" w:type="dxa"/>
            <w:shd w:val="clear" w:color="auto" w:fill="auto"/>
            <w:tcMar>
              <w:top w:w="60" w:type="dxa"/>
              <w:left w:w="70" w:type="dxa"/>
              <w:bottom w:w="60" w:type="dxa"/>
              <w:right w:w="70" w:type="dxa"/>
            </w:tcMar>
            <w:vAlign w:val="top"/>
          </w:tcPr>
          <w:p w14:paraId="5B427D57">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For MBP+VR, satisfaction was 8.83 ± 1.75/10, recommendability 9.58 ± 0.79/10, and perceived VR usefulness 7.25 ± 2.90/10.</w:t>
            </w:r>
          </w:p>
        </w:tc>
        <w:tc>
          <w:tcPr>
            <w:tcW w:w="3402" w:type="dxa"/>
            <w:shd w:val="clear" w:color="auto" w:fill="auto"/>
            <w:tcMar>
              <w:top w:w="60" w:type="dxa"/>
              <w:left w:w="70" w:type="dxa"/>
              <w:bottom w:w="60" w:type="dxa"/>
              <w:right w:w="70" w:type="dxa"/>
            </w:tcMar>
            <w:vAlign w:val="top"/>
          </w:tcPr>
          <w:p w14:paraId="5D542C60">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A trained psychologist remained on site throughout the VR sessions to address technical issues, participant needs, or potential adverse effects. Specific technical failures were not reported.</w:t>
            </w:r>
          </w:p>
        </w:tc>
      </w:tr>
      <w:tr w14:paraId="54E1D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2069" w:type="dxa"/>
            <w:shd w:val="clear" w:color="auto" w:fill="auto"/>
            <w:tcMar>
              <w:top w:w="60" w:type="dxa"/>
              <w:left w:w="70" w:type="dxa"/>
              <w:bottom w:w="60" w:type="dxa"/>
              <w:right w:w="70" w:type="dxa"/>
            </w:tcMar>
            <w:vAlign w:val="top"/>
          </w:tcPr>
          <w:p w14:paraId="2D103576">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Rodrigues et al.</w:t>
            </w:r>
          </w:p>
        </w:tc>
        <w:tc>
          <w:tcPr>
            <w:tcW w:w="3600" w:type="dxa"/>
            <w:shd w:val="clear" w:color="auto" w:fill="auto"/>
            <w:tcMar>
              <w:top w:w="60" w:type="dxa"/>
              <w:left w:w="70" w:type="dxa"/>
              <w:bottom w:w="60" w:type="dxa"/>
              <w:right w:w="70" w:type="dxa"/>
            </w:tcMar>
            <w:vAlign w:val="top"/>
          </w:tcPr>
          <w:p w14:paraId="12BFE6A0">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22/22 (100%) completed the single therapeutic VR session; no intervention discontinuations occurred.</w:t>
            </w:r>
          </w:p>
        </w:tc>
        <w:tc>
          <w:tcPr>
            <w:tcW w:w="3969" w:type="dxa"/>
            <w:shd w:val="clear" w:color="auto" w:fill="auto"/>
            <w:tcMar>
              <w:top w:w="60" w:type="dxa"/>
              <w:left w:w="70" w:type="dxa"/>
              <w:bottom w:w="60" w:type="dxa"/>
              <w:right w:w="70" w:type="dxa"/>
            </w:tcMar>
            <w:vAlign w:val="top"/>
          </w:tcPr>
          <w:p w14:paraId="7709A5DB">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Cybersickness was not assessed. The authors explicitly stated that no participants reported discomfort and that participants tolerated VR.</w:t>
            </w:r>
          </w:p>
        </w:tc>
        <w:tc>
          <w:tcPr>
            <w:tcW w:w="3402" w:type="dxa"/>
            <w:shd w:val="clear" w:color="auto" w:fill="auto"/>
            <w:tcMar>
              <w:top w:w="60" w:type="dxa"/>
              <w:left w:w="70" w:type="dxa"/>
              <w:bottom w:w="60" w:type="dxa"/>
              <w:right w:w="70" w:type="dxa"/>
            </w:tcMar>
            <w:vAlign w:val="top"/>
          </w:tcPr>
          <w:p w14:paraId="3B8EB64A">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Technology acceptance was not formally assessed; tolerance of VR was reported qualitatively.</w:t>
            </w:r>
          </w:p>
        </w:tc>
        <w:tc>
          <w:tcPr>
            <w:tcW w:w="3402" w:type="dxa"/>
            <w:shd w:val="clear" w:color="auto" w:fill="auto"/>
            <w:tcMar>
              <w:top w:w="60" w:type="dxa"/>
              <w:left w:w="70" w:type="dxa"/>
              <w:bottom w:w="60" w:type="dxa"/>
              <w:right w:w="70" w:type="dxa"/>
            </w:tcMar>
            <w:vAlign w:val="top"/>
          </w:tcPr>
          <w:p w14:paraId="50E92193">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An occupational therapist positioned participants and placed the VR glasses; specific technical problems were not reported.</w:t>
            </w:r>
          </w:p>
        </w:tc>
      </w:tr>
      <w:tr w14:paraId="5F852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2069" w:type="dxa"/>
            <w:shd w:val="clear" w:color="auto" w:fill="auto"/>
            <w:tcMar>
              <w:top w:w="60" w:type="dxa"/>
              <w:left w:w="70" w:type="dxa"/>
              <w:bottom w:w="60" w:type="dxa"/>
              <w:right w:w="70" w:type="dxa"/>
            </w:tcMar>
            <w:vAlign w:val="top"/>
          </w:tcPr>
          <w:p w14:paraId="705B74B0">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Cinalioglu et al.</w:t>
            </w:r>
          </w:p>
        </w:tc>
        <w:tc>
          <w:tcPr>
            <w:tcW w:w="3600" w:type="dxa"/>
            <w:shd w:val="clear" w:color="auto" w:fill="auto"/>
            <w:tcMar>
              <w:top w:w="60" w:type="dxa"/>
              <w:left w:w="70" w:type="dxa"/>
              <w:bottom w:w="60" w:type="dxa"/>
              <w:right w:w="70" w:type="dxa"/>
            </w:tcMar>
            <w:vAlign w:val="top"/>
          </w:tcPr>
          <w:p w14:paraId="272DC16A">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The report states that eight participants initiated the VR intervention and all eight completed all eight sessions; participant counts are internally inconsistent across other sections of the thesis.</w:t>
            </w:r>
          </w:p>
        </w:tc>
        <w:tc>
          <w:tcPr>
            <w:tcW w:w="3969" w:type="dxa"/>
            <w:shd w:val="clear" w:color="auto" w:fill="auto"/>
            <w:tcMar>
              <w:top w:w="60" w:type="dxa"/>
              <w:left w:w="70" w:type="dxa"/>
              <w:bottom w:w="60" w:type="dxa"/>
              <w:right w:w="70" w:type="dxa"/>
            </w:tcMar>
            <w:vAlign w:val="top"/>
          </w:tcPr>
          <w:p w14:paraId="4490D0E8">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Actively monitored (SSQ administered, but scores not reported). The source explicitly states that no side effects or serious adverse events occurred during the VR sessions.</w:t>
            </w:r>
          </w:p>
        </w:tc>
        <w:tc>
          <w:tcPr>
            <w:tcW w:w="3402" w:type="dxa"/>
            <w:shd w:val="clear" w:color="auto" w:fill="auto"/>
            <w:tcMar>
              <w:top w:w="60" w:type="dxa"/>
              <w:left w:w="70" w:type="dxa"/>
              <w:bottom w:w="60" w:type="dxa"/>
              <w:right w:w="70" w:type="dxa"/>
            </w:tcMar>
            <w:vAlign w:val="top"/>
          </w:tcPr>
          <w:p w14:paraId="40A00ABD">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Program enjoyment was reported, but no quantitative acceptability result was provided.</w:t>
            </w:r>
          </w:p>
        </w:tc>
        <w:tc>
          <w:tcPr>
            <w:tcW w:w="3402" w:type="dxa"/>
            <w:shd w:val="clear" w:color="auto" w:fill="auto"/>
            <w:tcMar>
              <w:top w:w="60" w:type="dxa"/>
              <w:left w:w="70" w:type="dxa"/>
              <w:bottom w:w="60" w:type="dxa"/>
              <w:right w:w="70" w:type="dxa"/>
            </w:tcMar>
            <w:vAlign w:val="top"/>
          </w:tcPr>
          <w:p w14:paraId="54EFAE0F">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The source states that no technical interruptions or major technical difficulties occurred; facilitator support was available in person or via Zoom.</w:t>
            </w:r>
          </w:p>
        </w:tc>
      </w:tr>
      <w:tr w14:paraId="1FC8D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2069" w:type="dxa"/>
            <w:shd w:val="clear" w:color="auto" w:fill="auto"/>
            <w:tcMar>
              <w:top w:w="60" w:type="dxa"/>
              <w:left w:w="70" w:type="dxa"/>
              <w:bottom w:w="60" w:type="dxa"/>
              <w:right w:w="70" w:type="dxa"/>
            </w:tcMar>
            <w:vAlign w:val="top"/>
          </w:tcPr>
          <w:p w14:paraId="41B9F4CC">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Navarro-Haro et al.</w:t>
            </w:r>
          </w:p>
        </w:tc>
        <w:tc>
          <w:tcPr>
            <w:tcW w:w="3600" w:type="dxa"/>
            <w:shd w:val="clear" w:color="auto" w:fill="auto"/>
            <w:tcMar>
              <w:top w:w="60" w:type="dxa"/>
              <w:left w:w="70" w:type="dxa"/>
              <w:bottom w:w="60" w:type="dxa"/>
              <w:right w:w="70" w:type="dxa"/>
            </w:tcMar>
            <w:vAlign w:val="top"/>
          </w:tcPr>
          <w:p w14:paraId="3D93A00B">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19/19 (100%) met the study-defined completion criterion (attendance at ≥50% of mindfulness sessions). This criterion does not establish complete attendance at every VR-supported session.</w:t>
            </w:r>
          </w:p>
        </w:tc>
        <w:tc>
          <w:tcPr>
            <w:tcW w:w="3969" w:type="dxa"/>
            <w:shd w:val="clear" w:color="auto" w:fill="auto"/>
            <w:tcMar>
              <w:top w:w="60" w:type="dxa"/>
              <w:left w:w="70" w:type="dxa"/>
              <w:bottom w:w="60" w:type="dxa"/>
              <w:right w:w="70" w:type="dxa"/>
            </w:tcMar>
            <w:vAlign w:val="top"/>
          </w:tcPr>
          <w:p w14:paraId="70D6C9F2">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Not systematically assessed/reported.</w:t>
            </w:r>
          </w:p>
        </w:tc>
        <w:tc>
          <w:tcPr>
            <w:tcW w:w="3402" w:type="dxa"/>
            <w:shd w:val="clear" w:color="auto" w:fill="auto"/>
            <w:tcMar>
              <w:top w:w="60" w:type="dxa"/>
              <w:left w:w="70" w:type="dxa"/>
              <w:bottom w:w="60" w:type="dxa"/>
              <w:right w:w="70" w:type="dxa"/>
            </w:tcMar>
            <w:vAlign w:val="top"/>
          </w:tcPr>
          <w:p w14:paraId="7EB6F3A6">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Not directly assessed/reported.</w:t>
            </w:r>
          </w:p>
        </w:tc>
        <w:tc>
          <w:tcPr>
            <w:tcW w:w="3402" w:type="dxa"/>
            <w:shd w:val="clear" w:color="auto" w:fill="auto"/>
            <w:tcMar>
              <w:top w:w="60" w:type="dxa"/>
              <w:left w:w="70" w:type="dxa"/>
              <w:bottom w:w="60" w:type="dxa"/>
              <w:right w:w="70" w:type="dxa"/>
            </w:tcMar>
            <w:vAlign w:val="top"/>
          </w:tcPr>
          <w:p w14:paraId="575B2A5A">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A psychologist research assistant provided VR-use instructions and assistance; specific technical problems were not reported.</w:t>
            </w:r>
          </w:p>
        </w:tc>
      </w:tr>
      <w:tr w14:paraId="100A9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2069" w:type="dxa"/>
            <w:shd w:val="clear" w:color="auto" w:fill="auto"/>
            <w:tcMar>
              <w:top w:w="60" w:type="dxa"/>
              <w:left w:w="70" w:type="dxa"/>
              <w:bottom w:w="60" w:type="dxa"/>
              <w:right w:w="70" w:type="dxa"/>
            </w:tcMar>
            <w:vAlign w:val="top"/>
          </w:tcPr>
          <w:p w14:paraId="7D735F82">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Doncker et al.</w:t>
            </w:r>
          </w:p>
        </w:tc>
        <w:tc>
          <w:tcPr>
            <w:tcW w:w="3600" w:type="dxa"/>
            <w:shd w:val="clear" w:color="auto" w:fill="auto"/>
            <w:tcMar>
              <w:top w:w="60" w:type="dxa"/>
              <w:left w:w="70" w:type="dxa"/>
              <w:bottom w:w="60" w:type="dxa"/>
              <w:right w:w="70" w:type="dxa"/>
            </w:tcMar>
            <w:vAlign w:val="top"/>
          </w:tcPr>
          <w:p w14:paraId="02356444">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All 30 VRH participants contributed data on Day 1; 20 and 16 remained available on Days 2 and 3, respectively. Across both trial groups, 11/60 left early (recovery from aplasia, n=6; refusal to continue, n=5); group-specific exit counts were not reported.</w:t>
            </w:r>
          </w:p>
        </w:tc>
        <w:tc>
          <w:tcPr>
            <w:tcW w:w="3969" w:type="dxa"/>
            <w:shd w:val="clear" w:color="auto" w:fill="auto"/>
            <w:tcMar>
              <w:top w:w="60" w:type="dxa"/>
              <w:left w:w="70" w:type="dxa"/>
              <w:bottom w:w="60" w:type="dxa"/>
              <w:right w:w="70" w:type="dxa"/>
            </w:tcMar>
            <w:vAlign w:val="top"/>
          </w:tcPr>
          <w:p w14:paraId="671E90F0">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Actively assessed after each VRH session. Any side effect was reported by 2/30 (6.7%) on Day 1, 1/20 (5.0%) on Day 2, and 2/16 (12.5%) on Day 3. Nausea occurred in 4/30 (13.3%), 4/20 (20.0%), and 2/16 (12.5%), respectively; headache and dizziness each occurred in 1/16 (6.3%) on Day 3. One Day-1 session was stopped early because of vomiting and fever. Events were characterized as minor.</w:t>
            </w:r>
          </w:p>
        </w:tc>
        <w:tc>
          <w:tcPr>
            <w:tcW w:w="3402" w:type="dxa"/>
            <w:shd w:val="clear" w:color="auto" w:fill="auto"/>
            <w:tcMar>
              <w:top w:w="60" w:type="dxa"/>
              <w:left w:w="70" w:type="dxa"/>
              <w:bottom w:w="60" w:type="dxa"/>
              <w:right w:w="70" w:type="dxa"/>
            </w:tcMar>
            <w:vAlign w:val="top"/>
          </w:tcPr>
          <w:p w14:paraId="3667D0F3">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Mean satisfaction was 7.5 ± 2.7/10 (n=30) on Day 1, 7.9 ± 2.5/10 (n=20) on Day 2, and 7.4 ± 2.7/10 (n=16) on Day 3.</w:t>
            </w:r>
          </w:p>
        </w:tc>
        <w:tc>
          <w:tcPr>
            <w:tcW w:w="3402" w:type="dxa"/>
            <w:shd w:val="clear" w:color="auto" w:fill="auto"/>
            <w:tcMar>
              <w:top w:w="60" w:type="dxa"/>
              <w:left w:w="70" w:type="dxa"/>
              <w:bottom w:w="60" w:type="dxa"/>
              <w:right w:w="70" w:type="dxa"/>
            </w:tcMar>
            <w:vAlign w:val="top"/>
          </w:tcPr>
          <w:p w14:paraId="60E61444">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VRH was delivered at the bedside. The authors noted that equipment and staff training are required; specific technical failures were not reported.</w:t>
            </w:r>
          </w:p>
        </w:tc>
      </w:tr>
      <w:tr w14:paraId="5C962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069" w:type="dxa"/>
            <w:shd w:val="clear" w:color="auto" w:fill="auto"/>
            <w:tcMar>
              <w:top w:w="60" w:type="dxa"/>
              <w:left w:w="70" w:type="dxa"/>
              <w:bottom w:w="60" w:type="dxa"/>
              <w:right w:w="70" w:type="dxa"/>
            </w:tcMar>
            <w:vAlign w:val="top"/>
          </w:tcPr>
          <w:p w14:paraId="3AF01A75">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bCs/>
                <w:sz w:val="21"/>
                <w:szCs w:val="21"/>
              </w:rPr>
              <w:t>Menekseoglu et al.</w:t>
            </w:r>
            <w:r>
              <w:rPr>
                <w:rFonts w:hint="default" w:ascii="Times New Roman" w:hAnsi="Times New Roman" w:eastAsia="Times New Roman" w:cs="Times New Roman"/>
                <w:b w:val="0"/>
                <w:bCs/>
                <w:sz w:val="21"/>
                <w:szCs w:val="21"/>
                <w:vertAlign w:val="superscript"/>
              </w:rPr>
              <w:t>b</w:t>
            </w:r>
          </w:p>
        </w:tc>
        <w:tc>
          <w:tcPr>
            <w:tcW w:w="3600" w:type="dxa"/>
            <w:shd w:val="clear" w:color="auto" w:fill="auto"/>
            <w:tcMar>
              <w:top w:w="60" w:type="dxa"/>
              <w:left w:w="70" w:type="dxa"/>
              <w:bottom w:w="60" w:type="dxa"/>
              <w:right w:w="70" w:type="dxa"/>
            </w:tcMar>
            <w:vAlign w:val="top"/>
          </w:tcPr>
          <w:p w14:paraId="3CEF2367">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Participant-flow counts were internally inconsistent in the source (see note b). Session-level attendance across the 15 VRH sessions was not reported.</w:t>
            </w:r>
          </w:p>
        </w:tc>
        <w:tc>
          <w:tcPr>
            <w:tcW w:w="3969" w:type="dxa"/>
            <w:shd w:val="clear" w:color="auto" w:fill="auto"/>
            <w:tcMar>
              <w:top w:w="60" w:type="dxa"/>
              <w:left w:w="70" w:type="dxa"/>
              <w:bottom w:w="60" w:type="dxa"/>
              <w:right w:w="70" w:type="dxa"/>
            </w:tcMar>
            <w:vAlign w:val="top"/>
          </w:tcPr>
          <w:p w14:paraId="38BAF2E8">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Safety events were reported, but the assessment procedure was not described. Three VRH participants experienced transient dizziness lasting &lt;5 min after the first session; no other adverse effects were reported. Because allocation/withdrawal counts are inconsistent, a definitive exposed-participant denominator cannot be established from the report.</w:t>
            </w:r>
          </w:p>
        </w:tc>
        <w:tc>
          <w:tcPr>
            <w:tcW w:w="3402" w:type="dxa"/>
            <w:shd w:val="clear" w:color="auto" w:fill="auto"/>
            <w:tcMar>
              <w:top w:w="60" w:type="dxa"/>
              <w:left w:w="70" w:type="dxa"/>
              <w:bottom w:w="60" w:type="dxa"/>
              <w:right w:w="70" w:type="dxa"/>
            </w:tcMar>
            <w:vAlign w:val="top"/>
          </w:tcPr>
          <w:p w14:paraId="5BE372F4">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A separate acceptability measure was not reported.</w:t>
            </w:r>
          </w:p>
        </w:tc>
        <w:tc>
          <w:tcPr>
            <w:tcW w:w="3402" w:type="dxa"/>
            <w:shd w:val="clear" w:color="auto" w:fill="auto"/>
            <w:tcMar>
              <w:top w:w="60" w:type="dxa"/>
              <w:left w:w="70" w:type="dxa"/>
              <w:bottom w:w="60" w:type="dxa"/>
              <w:right w:w="70" w:type="dxa"/>
            </w:tcMar>
            <w:vAlign w:val="top"/>
          </w:tcPr>
          <w:p w14:paraId="69E14BFB">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SUS was 72.4 ± 8.1 (median 73; range 55-90), interpreted by the authors as good usability. VRH was administered under clinical supervision; the accompanying physiotherapy was supervised by the same physiotherapist.</w:t>
            </w:r>
          </w:p>
        </w:tc>
      </w:tr>
      <w:tr w14:paraId="6906C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2069" w:type="dxa"/>
            <w:shd w:val="clear" w:color="auto" w:fill="auto"/>
            <w:tcMar>
              <w:top w:w="60" w:type="dxa"/>
              <w:left w:w="70" w:type="dxa"/>
              <w:bottom w:w="60" w:type="dxa"/>
              <w:right w:w="70" w:type="dxa"/>
            </w:tcMar>
            <w:vAlign w:val="top"/>
          </w:tcPr>
          <w:p w14:paraId="381BDB99">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Doan et al.</w:t>
            </w:r>
          </w:p>
        </w:tc>
        <w:tc>
          <w:tcPr>
            <w:tcW w:w="3600" w:type="dxa"/>
            <w:shd w:val="clear" w:color="auto" w:fill="auto"/>
            <w:tcMar>
              <w:top w:w="60" w:type="dxa"/>
              <w:left w:w="70" w:type="dxa"/>
              <w:bottom w:w="60" w:type="dxa"/>
              <w:right w:w="70" w:type="dxa"/>
            </w:tcMar>
            <w:vAlign w:val="top"/>
          </w:tcPr>
          <w:p w14:paraId="35293FB8">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24 participants were randomized to VR-GI; 21 completed the study (one discontinued because of difficulty using the VR headset and two were lost to follow-up). Among completers, mean adherence was 66.4%, equivalent to 9.3/14 planned daily sessions.</w:t>
            </w:r>
          </w:p>
        </w:tc>
        <w:tc>
          <w:tcPr>
            <w:tcW w:w="3969" w:type="dxa"/>
            <w:shd w:val="clear" w:color="auto" w:fill="auto"/>
            <w:tcMar>
              <w:top w:w="60" w:type="dxa"/>
              <w:left w:w="70" w:type="dxa"/>
              <w:bottom w:w="60" w:type="dxa"/>
              <w:right w:w="70" w:type="dxa"/>
            </w:tcMar>
            <w:vAlign w:val="top"/>
          </w:tcPr>
          <w:p w14:paraId="574771AA">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Actively elicited. Five of 21 completers (23.8%) reported non-serious adverse events, including dizziness, nausea, or headache. Participants also described headset heaviness/discomfort, movement-triggered neck pain, nose pressure, or headache; frequencies for these qualitative complaints were not reported.</w:t>
            </w:r>
          </w:p>
        </w:tc>
        <w:tc>
          <w:tcPr>
            <w:tcW w:w="3402" w:type="dxa"/>
            <w:shd w:val="clear" w:color="auto" w:fill="auto"/>
            <w:tcMar>
              <w:top w:w="60" w:type="dxa"/>
              <w:left w:w="70" w:type="dxa"/>
              <w:bottom w:w="60" w:type="dxa"/>
              <w:right w:w="70" w:type="dxa"/>
            </w:tcMar>
            <w:vAlign w:val="top"/>
          </w:tcPr>
          <w:p w14:paraId="1DC1DC62">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Among VR-GI completers (n=21), ease of integrating VR into daily routine was 8.38 ± 1.91/10, ease of equipment use 8.76 ± 2.41/10, equipment comfort 4.71 ± 3.23/10, willingness to continue 7.00 ± 3.51/10, and willingness to recommend 7.05 ± 3.07/10. Enjoyment was 6.29 ± 2.53 and 7.25 ± 2.65/10 for the two VR experiences.</w:t>
            </w:r>
          </w:p>
        </w:tc>
        <w:tc>
          <w:tcPr>
            <w:tcW w:w="3402" w:type="dxa"/>
            <w:shd w:val="clear" w:color="auto" w:fill="auto"/>
            <w:tcMar>
              <w:top w:w="60" w:type="dxa"/>
              <w:left w:w="70" w:type="dxa"/>
              <w:bottom w:w="60" w:type="dxa"/>
              <w:right w:w="70" w:type="dxa"/>
            </w:tcMar>
            <w:vAlign w:val="top"/>
          </w:tcPr>
          <w:p w14:paraId="4C2986B0">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One participant discontinued because of difficulty using the headset. Virtual onboarding</w:t>
            </w:r>
            <w:r>
              <w:rPr>
                <w:rFonts w:hint="eastAsia" w:ascii="Times New Roman" w:hAnsi="Times New Roman" w:eastAsia="宋体" w:cs="Times New Roman"/>
                <w:sz w:val="21"/>
                <w:szCs w:val="21"/>
                <w:lang w:val="en-US" w:eastAsia="zh-CN"/>
              </w:rPr>
              <w:t xml:space="preserve"> and </w:t>
            </w:r>
            <w:r>
              <w:rPr>
                <w:rFonts w:hint="default" w:ascii="Times New Roman" w:hAnsi="Times New Roman" w:eastAsia="Times New Roman" w:cs="Times New Roman"/>
                <w:sz w:val="21"/>
                <w:szCs w:val="21"/>
              </w:rPr>
              <w:t>basic training were provided, with video calls, reminders, and support from research coordinators during the at-home intervention.</w:t>
            </w:r>
          </w:p>
        </w:tc>
      </w:tr>
      <w:tr w14:paraId="39F8C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2069" w:type="dxa"/>
            <w:shd w:val="clear" w:color="auto" w:fill="auto"/>
            <w:tcMar>
              <w:top w:w="60" w:type="dxa"/>
              <w:left w:w="70" w:type="dxa"/>
              <w:bottom w:w="60" w:type="dxa"/>
              <w:right w:w="70" w:type="dxa"/>
            </w:tcMar>
            <w:vAlign w:val="top"/>
          </w:tcPr>
          <w:p w14:paraId="79F05A68">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Kim et al.</w:t>
            </w:r>
          </w:p>
        </w:tc>
        <w:tc>
          <w:tcPr>
            <w:tcW w:w="3600" w:type="dxa"/>
            <w:shd w:val="clear" w:color="auto" w:fill="auto"/>
            <w:tcMar>
              <w:top w:w="60" w:type="dxa"/>
              <w:left w:w="70" w:type="dxa"/>
              <w:bottom w:w="60" w:type="dxa"/>
              <w:right w:w="70" w:type="dxa"/>
            </w:tcMar>
            <w:vAlign w:val="top"/>
          </w:tcPr>
          <w:p w14:paraId="4AAEA199">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23 participants were randomized to guided-breathing VR (VRBG); one was excluded because of septic shock during PTBD, leaving 22 for analysis. Exact completion of both planned VR sessions was not reported; the authors noted more refusals/delays for the first session than the second, without exact counts.</w:t>
            </w:r>
          </w:p>
        </w:tc>
        <w:tc>
          <w:tcPr>
            <w:tcW w:w="3969" w:type="dxa"/>
            <w:shd w:val="clear" w:color="auto" w:fill="auto"/>
            <w:tcMar>
              <w:top w:w="60" w:type="dxa"/>
              <w:left w:w="70" w:type="dxa"/>
              <w:bottom w:w="60" w:type="dxa"/>
              <w:right w:w="70" w:type="dxa"/>
            </w:tcMar>
            <w:vAlign w:val="top"/>
          </w:tcPr>
          <w:p w14:paraId="300455E5">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Actively assessed. In VRBG, dizziness occurred in 1/22 (4.6%); nausea, headache, and eye strain were 0/22, and no Grade 3/4 events occurred. In the VR-without-guided-breathing comparator, nausea occurred in 2/23 (8.7%), dizziness in 1/23 (4.3%), and eye strain in 1/23 (4.3%); all Grade 3/4 counts were zero. Reported symptoms were mild/self-limiting.</w:t>
            </w:r>
          </w:p>
        </w:tc>
        <w:tc>
          <w:tcPr>
            <w:tcW w:w="3402" w:type="dxa"/>
            <w:shd w:val="clear" w:color="auto" w:fill="auto"/>
            <w:tcMar>
              <w:top w:w="60" w:type="dxa"/>
              <w:left w:w="70" w:type="dxa"/>
              <w:bottom w:w="60" w:type="dxa"/>
              <w:right w:w="70" w:type="dxa"/>
            </w:tcMar>
            <w:vAlign w:val="top"/>
          </w:tcPr>
          <w:p w14:paraId="78C81024">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VRBG mean satisfaction was 4.05/5 and willingness to reuse 3.45/5; 15/22 (68.2%) rated satisfaction 4-5 and 11/22 (50.0%) rated willingness to reuse 4-5. Comparator means were 3.81/5 and 3.76/5, respectively; between-group differences were not significant.</w:t>
            </w:r>
          </w:p>
        </w:tc>
        <w:tc>
          <w:tcPr>
            <w:tcW w:w="3402" w:type="dxa"/>
            <w:shd w:val="clear" w:color="auto" w:fill="auto"/>
            <w:tcMar>
              <w:top w:w="60" w:type="dxa"/>
              <w:left w:w="70" w:type="dxa"/>
              <w:bottom w:w="60" w:type="dxa"/>
              <w:right w:w="70" w:type="dxa"/>
            </w:tcMar>
            <w:vAlign w:val="top"/>
          </w:tcPr>
          <w:p w14:paraId="394A8A4C">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Some participants had difficulty engaging immediately after PTBD, and unfamiliarity with VR was noted as a possible influence. Specific technical failures or staff-assistance requirements were not reported.</w:t>
            </w:r>
          </w:p>
        </w:tc>
      </w:tr>
      <w:tr w14:paraId="5DD53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2069" w:type="dxa"/>
            <w:shd w:val="clear" w:color="auto" w:fill="auto"/>
            <w:tcMar>
              <w:top w:w="60" w:type="dxa"/>
              <w:left w:w="70" w:type="dxa"/>
              <w:bottom w:w="60" w:type="dxa"/>
              <w:right w:w="70" w:type="dxa"/>
            </w:tcMar>
            <w:vAlign w:val="top"/>
          </w:tcPr>
          <w:p w14:paraId="03391AC3">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Torres García et al.</w:t>
            </w:r>
          </w:p>
        </w:tc>
        <w:tc>
          <w:tcPr>
            <w:tcW w:w="3600" w:type="dxa"/>
            <w:shd w:val="clear" w:color="auto" w:fill="auto"/>
            <w:tcMar>
              <w:top w:w="60" w:type="dxa"/>
              <w:left w:w="70" w:type="dxa"/>
              <w:bottom w:w="60" w:type="dxa"/>
              <w:right w:w="70" w:type="dxa"/>
            </w:tcMar>
            <w:vAlign w:val="top"/>
          </w:tcPr>
          <w:p w14:paraId="330B075B">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71/71 (100%) participants in the VR group completed all four intervention sessions.</w:t>
            </w:r>
          </w:p>
        </w:tc>
        <w:tc>
          <w:tcPr>
            <w:tcW w:w="3969" w:type="dxa"/>
            <w:shd w:val="clear" w:color="auto" w:fill="auto"/>
            <w:tcMar>
              <w:top w:w="60" w:type="dxa"/>
              <w:left w:w="70" w:type="dxa"/>
              <w:bottom w:w="60" w:type="dxa"/>
              <w:right w:w="70" w:type="dxa"/>
            </w:tcMar>
            <w:vAlign w:val="top"/>
          </w:tcPr>
          <w:p w14:paraId="29C4B7C6">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Monitored, but outcome data were not reported. The VR platform recorded nausea and physical discomfort among session variables, but corresponding VR-related adverse-event results were not provided; a dedicated cybersickness instrument was not described.</w:t>
            </w:r>
          </w:p>
        </w:tc>
        <w:tc>
          <w:tcPr>
            <w:tcW w:w="3402" w:type="dxa"/>
            <w:shd w:val="clear" w:color="auto" w:fill="auto"/>
            <w:tcMar>
              <w:top w:w="60" w:type="dxa"/>
              <w:left w:w="70" w:type="dxa"/>
              <w:bottom w:w="60" w:type="dxa"/>
              <w:right w:w="70" w:type="dxa"/>
            </w:tcMar>
            <w:vAlign w:val="top"/>
          </w:tcPr>
          <w:p w14:paraId="3957C513">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No quantitative acceptability measure was reported; VR was described as generally pleasant and well received.</w:t>
            </w:r>
          </w:p>
        </w:tc>
        <w:tc>
          <w:tcPr>
            <w:tcW w:w="3402" w:type="dxa"/>
            <w:shd w:val="clear" w:color="auto" w:fill="auto"/>
            <w:tcMar>
              <w:top w:w="60" w:type="dxa"/>
              <w:left w:w="70" w:type="dxa"/>
              <w:bottom w:w="60" w:type="dxa"/>
              <w:right w:w="70" w:type="dxa"/>
            </w:tcMar>
            <w:vAlign w:val="top"/>
          </w:tcPr>
          <w:p w14:paraId="4BFAFF85">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Therapist guidance was provided throughout the VR intervention; specific technical problems were not reported.</w:t>
            </w:r>
          </w:p>
        </w:tc>
      </w:tr>
      <w:tr w14:paraId="581AF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2069" w:type="dxa"/>
            <w:shd w:val="clear" w:color="auto" w:fill="auto"/>
            <w:tcMar>
              <w:top w:w="60" w:type="dxa"/>
              <w:left w:w="70" w:type="dxa"/>
              <w:bottom w:w="60" w:type="dxa"/>
              <w:right w:w="70" w:type="dxa"/>
            </w:tcMar>
            <w:vAlign w:val="top"/>
          </w:tcPr>
          <w:p w14:paraId="4AF68BED">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Gromala et al.</w:t>
            </w:r>
          </w:p>
        </w:tc>
        <w:tc>
          <w:tcPr>
            <w:tcW w:w="3600" w:type="dxa"/>
            <w:shd w:val="clear" w:color="auto" w:fill="auto"/>
            <w:tcMar>
              <w:top w:w="60" w:type="dxa"/>
              <w:left w:w="70" w:type="dxa"/>
              <w:bottom w:w="60" w:type="dxa"/>
              <w:right w:w="70" w:type="dxa"/>
            </w:tcMar>
            <w:vAlign w:val="top"/>
          </w:tcPr>
          <w:p w14:paraId="6309D5DF">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Seven VR participants were included in the final analysis; formal adherence/session-completion data were not reported.</w:t>
            </w:r>
          </w:p>
        </w:tc>
        <w:tc>
          <w:tcPr>
            <w:tcW w:w="3969" w:type="dxa"/>
            <w:shd w:val="clear" w:color="auto" w:fill="auto"/>
            <w:tcMar>
              <w:top w:w="60" w:type="dxa"/>
              <w:left w:w="70" w:type="dxa"/>
              <w:bottom w:w="60" w:type="dxa"/>
              <w:right w:w="70" w:type="dxa"/>
            </w:tcMar>
            <w:vAlign w:val="top"/>
          </w:tcPr>
          <w:p w14:paraId="3BF19ED1">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Not systematically assessed/reported.</w:t>
            </w:r>
          </w:p>
        </w:tc>
        <w:tc>
          <w:tcPr>
            <w:tcW w:w="3402" w:type="dxa"/>
            <w:shd w:val="clear" w:color="auto" w:fill="auto"/>
            <w:tcMar>
              <w:top w:w="60" w:type="dxa"/>
              <w:left w:w="70" w:type="dxa"/>
              <w:bottom w:w="60" w:type="dxa"/>
              <w:right w:w="70" w:type="dxa"/>
            </w:tcMar>
            <w:vAlign w:val="top"/>
          </w:tcPr>
          <w:p w14:paraId="714CFC9A">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Not reported.</w:t>
            </w:r>
          </w:p>
        </w:tc>
        <w:tc>
          <w:tcPr>
            <w:tcW w:w="3402" w:type="dxa"/>
            <w:shd w:val="clear" w:color="auto" w:fill="auto"/>
            <w:tcMar>
              <w:top w:w="60" w:type="dxa"/>
              <w:left w:w="70" w:type="dxa"/>
              <w:bottom w:w="60" w:type="dxa"/>
              <w:right w:w="70" w:type="dxa"/>
            </w:tcMar>
            <w:vAlign w:val="top"/>
          </w:tcPr>
          <w:p w14:paraId="65C39263">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A movable-arm, non-gripping DeepStream viewer was used to minimize head pressure/discomfort; specific technical problems were not reported.</w:t>
            </w:r>
          </w:p>
        </w:tc>
      </w:tr>
      <w:tr w14:paraId="0E2F7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2069" w:type="dxa"/>
            <w:shd w:val="clear" w:color="auto" w:fill="auto"/>
            <w:tcMar>
              <w:top w:w="60" w:type="dxa"/>
              <w:left w:w="70" w:type="dxa"/>
              <w:bottom w:w="60" w:type="dxa"/>
              <w:right w:w="70" w:type="dxa"/>
            </w:tcMar>
            <w:vAlign w:val="top"/>
          </w:tcPr>
          <w:p w14:paraId="35D9C047">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Krishnamoorthy et al.</w:t>
            </w:r>
          </w:p>
        </w:tc>
        <w:tc>
          <w:tcPr>
            <w:tcW w:w="3600" w:type="dxa"/>
            <w:shd w:val="clear" w:color="auto" w:fill="auto"/>
            <w:tcMar>
              <w:top w:w="60" w:type="dxa"/>
              <w:left w:w="70" w:type="dxa"/>
              <w:bottom w:w="60" w:type="dxa"/>
              <w:right w:w="70" w:type="dxa"/>
            </w:tcMar>
            <w:vAlign w:val="top"/>
          </w:tcPr>
          <w:p w14:paraId="633AC092">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19/19 completed the preoperative VR session. Postoperative questionnaire data were available for 10/19, and complete paired postoperative STAI data were available for 8/19.</w:t>
            </w:r>
          </w:p>
        </w:tc>
        <w:tc>
          <w:tcPr>
            <w:tcW w:w="3969" w:type="dxa"/>
            <w:shd w:val="clear" w:color="auto" w:fill="auto"/>
            <w:tcMar>
              <w:top w:w="60" w:type="dxa"/>
              <w:left w:w="70" w:type="dxa"/>
              <w:bottom w:w="60" w:type="dxa"/>
              <w:right w:w="70" w:type="dxa"/>
            </w:tcMar>
            <w:vAlign w:val="top"/>
          </w:tcPr>
          <w:p w14:paraId="63AA812E">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Actively assessed using the participant-experience questionnaire (including nausea/vomiting, dizziness, claustrophobia, skin irritation, and headache), but exact VR-group frequencies were not reported in the available article.</w:t>
            </w:r>
          </w:p>
        </w:tc>
        <w:tc>
          <w:tcPr>
            <w:tcW w:w="3402" w:type="dxa"/>
            <w:shd w:val="clear" w:color="auto" w:fill="auto"/>
            <w:tcMar>
              <w:top w:w="60" w:type="dxa"/>
              <w:left w:w="70" w:type="dxa"/>
              <w:bottom w:w="60" w:type="dxa"/>
              <w:right w:w="70" w:type="dxa"/>
            </w:tcMar>
            <w:vAlign w:val="top"/>
          </w:tcPr>
          <w:p w14:paraId="4F6E1FE7">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No dedicated acceptability score was reported. As participant-experience proxies, median immersion and absorption were both 90/100 (n=18). Five patients declined VR before randomization because of preferences concerning the VR religious content.</w:t>
            </w:r>
          </w:p>
        </w:tc>
        <w:tc>
          <w:tcPr>
            <w:tcW w:w="3402" w:type="dxa"/>
            <w:shd w:val="clear" w:color="auto" w:fill="auto"/>
            <w:tcMar>
              <w:top w:w="60" w:type="dxa"/>
              <w:left w:w="70" w:type="dxa"/>
              <w:bottom w:w="60" w:type="dxa"/>
              <w:right w:w="70" w:type="dxa"/>
            </w:tcMar>
            <w:vAlign w:val="top"/>
          </w:tcPr>
          <w:p w14:paraId="7D1E2612">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Specific technical-assistance requirements were not reported.</w:t>
            </w:r>
          </w:p>
        </w:tc>
      </w:tr>
      <w:tr w14:paraId="326A6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2069" w:type="dxa"/>
            <w:shd w:val="clear" w:color="auto" w:fill="auto"/>
            <w:tcMar>
              <w:top w:w="60" w:type="dxa"/>
              <w:left w:w="70" w:type="dxa"/>
              <w:bottom w:w="60" w:type="dxa"/>
              <w:right w:w="70" w:type="dxa"/>
            </w:tcMar>
            <w:vAlign w:val="top"/>
          </w:tcPr>
          <w:p w14:paraId="01A7BEA7">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Rousseaux et al.</w:t>
            </w:r>
          </w:p>
        </w:tc>
        <w:tc>
          <w:tcPr>
            <w:tcW w:w="3600" w:type="dxa"/>
            <w:shd w:val="clear" w:color="auto" w:fill="auto"/>
            <w:tcMar>
              <w:top w:w="60" w:type="dxa"/>
              <w:left w:w="70" w:type="dxa"/>
              <w:bottom w:w="60" w:type="dxa"/>
              <w:right w:w="70" w:type="dxa"/>
            </w:tcMar>
            <w:vAlign w:val="top"/>
          </w:tcPr>
          <w:p w14:paraId="7CFB8F20">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In both the VR and VRH arms, 25/25 participants were analyzed preoperatively and 15/25 postoperatively. These figures reflect availability for postoperative assessment rather than documented session-level adherence.</w:t>
            </w:r>
          </w:p>
        </w:tc>
        <w:tc>
          <w:tcPr>
            <w:tcW w:w="3969" w:type="dxa"/>
            <w:shd w:val="clear" w:color="auto" w:fill="auto"/>
            <w:tcMar>
              <w:top w:w="60" w:type="dxa"/>
              <w:left w:w="70" w:type="dxa"/>
              <w:bottom w:w="60" w:type="dxa"/>
              <w:right w:w="70" w:type="dxa"/>
            </w:tcMar>
            <w:vAlign w:val="top"/>
          </w:tcPr>
          <w:p w14:paraId="07539D1A">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Not systematically assessed/reported.</w:t>
            </w:r>
          </w:p>
        </w:tc>
        <w:tc>
          <w:tcPr>
            <w:tcW w:w="3402" w:type="dxa"/>
            <w:shd w:val="clear" w:color="auto" w:fill="auto"/>
            <w:tcMar>
              <w:top w:w="60" w:type="dxa"/>
              <w:left w:w="70" w:type="dxa"/>
              <w:bottom w:w="60" w:type="dxa"/>
              <w:right w:w="70" w:type="dxa"/>
            </w:tcMar>
            <w:vAlign w:val="top"/>
          </w:tcPr>
          <w:p w14:paraId="55D95711">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Not formally assessed. Dislike of hypnosis/VR/VRH was listed among reasons for postoperative missing data, but group-specific counts were not reported.</w:t>
            </w:r>
          </w:p>
        </w:tc>
        <w:tc>
          <w:tcPr>
            <w:tcW w:w="3402" w:type="dxa"/>
            <w:shd w:val="clear" w:color="auto" w:fill="auto"/>
            <w:tcMar>
              <w:top w:w="60" w:type="dxa"/>
              <w:left w:w="70" w:type="dxa"/>
              <w:bottom w:w="60" w:type="dxa"/>
              <w:right w:w="70" w:type="dxa"/>
            </w:tcMar>
            <w:vAlign w:val="top"/>
          </w:tcPr>
          <w:p w14:paraId="6BE26729">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Not reported.</w:t>
            </w:r>
          </w:p>
        </w:tc>
      </w:tr>
      <w:tr w14:paraId="629E7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2069" w:type="dxa"/>
            <w:shd w:val="clear" w:color="auto" w:fill="auto"/>
            <w:tcMar>
              <w:top w:w="60" w:type="dxa"/>
              <w:left w:w="70" w:type="dxa"/>
              <w:bottom w:w="60" w:type="dxa"/>
              <w:right w:w="70" w:type="dxa"/>
            </w:tcMar>
            <w:vAlign w:val="top"/>
          </w:tcPr>
          <w:p w14:paraId="7F166E8B">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Bai et al.</w:t>
            </w:r>
          </w:p>
        </w:tc>
        <w:tc>
          <w:tcPr>
            <w:tcW w:w="3600" w:type="dxa"/>
            <w:shd w:val="clear" w:color="auto" w:fill="auto"/>
            <w:tcMar>
              <w:top w:w="60" w:type="dxa"/>
              <w:left w:w="70" w:type="dxa"/>
              <w:bottom w:w="60" w:type="dxa"/>
              <w:right w:w="70" w:type="dxa"/>
            </w:tcMar>
            <w:vAlign w:val="top"/>
          </w:tcPr>
          <w:p w14:paraId="2DA4B93B">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8/8 VR participants were included in the post-intervention analysis; session-level attendance was not separately reported.</w:t>
            </w:r>
          </w:p>
        </w:tc>
        <w:tc>
          <w:tcPr>
            <w:tcW w:w="3969" w:type="dxa"/>
            <w:shd w:val="clear" w:color="auto" w:fill="auto"/>
            <w:tcMar>
              <w:top w:w="60" w:type="dxa"/>
              <w:left w:w="70" w:type="dxa"/>
              <w:bottom w:w="60" w:type="dxa"/>
              <w:right w:w="70" w:type="dxa"/>
            </w:tcMar>
            <w:vAlign w:val="top"/>
          </w:tcPr>
          <w:p w14:paraId="6DF1A38F">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Actively monitored (no dedicated cybersickness instrument described). Participants were instructed to pause/stop for dizziness, nausea, or discomfort, staff were available, and adverse symptoms were recorded; the authors explicitly reported no VR-related adverse symptoms.</w:t>
            </w:r>
          </w:p>
        </w:tc>
        <w:tc>
          <w:tcPr>
            <w:tcW w:w="3402" w:type="dxa"/>
            <w:shd w:val="clear" w:color="auto" w:fill="auto"/>
            <w:tcMar>
              <w:top w:w="60" w:type="dxa"/>
              <w:left w:w="70" w:type="dxa"/>
              <w:bottom w:w="60" w:type="dxa"/>
              <w:right w:w="70" w:type="dxa"/>
            </w:tcMar>
            <w:vAlign w:val="top"/>
          </w:tcPr>
          <w:p w14:paraId="07514075">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Not directly assessed/reported.</w:t>
            </w:r>
          </w:p>
        </w:tc>
        <w:tc>
          <w:tcPr>
            <w:tcW w:w="3402" w:type="dxa"/>
            <w:shd w:val="clear" w:color="auto" w:fill="auto"/>
            <w:tcMar>
              <w:top w:w="60" w:type="dxa"/>
              <w:left w:w="70" w:type="dxa"/>
              <w:bottom w:w="60" w:type="dxa"/>
              <w:right w:w="70" w:type="dxa"/>
            </w:tcMar>
            <w:vAlign w:val="top"/>
          </w:tcPr>
          <w:p w14:paraId="43429A0F">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Participants received orientation/familiarization before the first session, with staff monitoring/support available as needed; specific technical problems were not reported.</w:t>
            </w:r>
          </w:p>
        </w:tc>
      </w:tr>
    </w:tbl>
    <w:p w14:paraId="1F739122">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color w:val="auto"/>
          <w:sz w:val="24"/>
          <w:szCs w:val="24"/>
          <w:lang w:val="en-US" w:eastAsia="zh-CN"/>
        </w:rPr>
      </w:pPr>
      <w:r>
        <w:rPr>
          <w:rFonts w:hint="default" w:ascii="Times New Roman" w:hAnsi="Times New Roman" w:cs="Times New Roman"/>
          <w:i/>
          <w:iCs/>
          <w:color w:val="auto"/>
          <w:sz w:val="24"/>
          <w:szCs w:val="24"/>
          <w:lang w:val="en-US" w:eastAsia="zh-CN"/>
        </w:rPr>
        <w:t>Note:</w:t>
      </w:r>
      <w:r>
        <w:rPr>
          <w:rFonts w:hint="default" w:ascii="Times New Roman" w:hAnsi="Times New Roman" w:cs="Times New Roman"/>
          <w:color w:val="auto"/>
          <w:sz w:val="24"/>
          <w:szCs w:val="24"/>
          <w:lang w:val="en-US" w:eastAsia="zh-CN"/>
        </w:rPr>
        <w:t xml:space="preserve"> Information refers to the experimental VR intervention group unless otherwise specified; when both trial arms used VR, group-specific information is presented where relevant. “Not systematically assessed/reported” indicates that the source did not describe a dedicated assessment and/or did not provide corresponding outcome data and must not be interpreted as evidence of zero events. Zero-event wording is used only when the original authors explicitly reported that no adverse events or symptoms occurred. Percentages are accompanied by numerators/denominators whenever these could be established from the source. When VR-specific session adherence was unavailable, retention or follow-up information is reported and identified as such. For Doncker et al., symptom-specific counts and the reported overall “any side effect” counts were not fully concordant in the source report and are reproduced as reported. 2D, two-dimensional; FMS, Fast Motion Sickness Scale; HMD, head-mounted display; IQR, interquartile range; MBP, mindfulness-based programme; PTBD, percutaneous transhepatic biliary drainage; SD, standard deviation; SSQ, Simulator Sickness Questionnaire; STAI, State-Trait Anxiety Inventory; SUS, System Usability Scale; VR, virtual reality; VRBG, virtual reality with guided breathing; VR-GI, virtual reality guided imagery; VRH, virtual reality hypnosis; VRM, virtual reality mindfulness.</w:t>
      </w:r>
    </w:p>
    <w:p w14:paraId="045F4231">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a Modrego-Alarcón et al.: the Results text reports MBP+VR attendance of 5.71/6 sessions (SD 0.49), whereas Table 3 displays 5.58/6 (SD 0.79) under the MBP+VR column; neither value was silently preferred.</w:t>
      </w:r>
    </w:p>
    <w:p w14:paraId="5C22855A">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b Menekseoglu et al.: the Abstract/Methods state 30 participants per arm, whereas the Results state 31 per arm randomized with one dropout per arm and 30 per arm analyzed; another Methods passage reports two VRH and one control withdrawal. These inconsistencies are reported transparently.</w:t>
      </w:r>
    </w:p>
    <w:p w14:paraId="122CB40D">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HYSinMyeongJo-Medium" w:cs="Times New Roman"/>
          <w:b/>
          <w:bCs/>
          <w:sz w:val="24"/>
          <w:szCs w:val="24"/>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14:paraId="215DC3BA">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eastAsia="宋体" w:cs="Times New Roman"/>
          <w:sz w:val="24"/>
          <w:szCs w:val="24"/>
          <w:lang w:val="en-US" w:eastAsia="zh-CN"/>
        </w:rPr>
      </w:pPr>
      <w:r>
        <w:rPr>
          <w:rFonts w:hint="default" w:ascii="Times New Roman" w:hAnsi="Times New Roman" w:eastAsia="HYSinMyeongJo-Medium" w:cs="Times New Roman"/>
          <w:b/>
          <w:bCs/>
          <w:sz w:val="24"/>
          <w:szCs w:val="24"/>
        </w:rPr>
        <w:t xml:space="preserve">Table </w:t>
      </w:r>
      <w:r>
        <w:rPr>
          <w:rFonts w:hint="default" w:ascii="Times New Roman" w:hAnsi="Times New Roman" w:eastAsia="宋体" w:cs="Times New Roman"/>
          <w:b/>
          <w:bCs/>
          <w:sz w:val="24"/>
          <w:szCs w:val="24"/>
          <w:lang w:val="en-US" w:eastAsia="zh-CN"/>
        </w:rPr>
        <w:t>S</w:t>
      </w:r>
      <w:r>
        <w:rPr>
          <w:rFonts w:hint="eastAsia" w:ascii="Times New Roman" w:hAnsi="Times New Roman" w:eastAsia="宋体" w:cs="Times New Roman"/>
          <w:b/>
          <w:bCs/>
          <w:sz w:val="24"/>
          <w:szCs w:val="24"/>
          <w:lang w:val="en-US" w:eastAsia="zh-CN"/>
        </w:rPr>
        <w:t>12.</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HYSinMyeongJo-Medium" w:cs="Times New Roman"/>
          <w:sz w:val="24"/>
          <w:szCs w:val="24"/>
        </w:rPr>
        <w:t xml:space="preserve">Subgroup meta-analysis for </w:t>
      </w:r>
      <w:r>
        <w:rPr>
          <w:rFonts w:hint="eastAsia" w:ascii="Times New Roman" w:hAnsi="Times New Roman" w:eastAsia="宋体" w:cs="Times New Roman"/>
          <w:sz w:val="24"/>
          <w:szCs w:val="24"/>
          <w:lang w:val="en-US" w:eastAsia="zh-CN"/>
        </w:rPr>
        <w:t>stress</w:t>
      </w:r>
    </w:p>
    <w:tbl>
      <w:tblPr>
        <w:tblStyle w:val="7"/>
        <w:tblW w:w="1088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56"/>
        <w:gridCol w:w="567"/>
        <w:gridCol w:w="2126"/>
        <w:gridCol w:w="850"/>
        <w:gridCol w:w="850"/>
        <w:gridCol w:w="1984"/>
        <w:gridCol w:w="2551"/>
      </w:tblGrid>
      <w:tr w14:paraId="505C6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956" w:type="dxa"/>
            <w:tcBorders>
              <w:top w:val="single" w:color="auto" w:sz="12" w:space="0"/>
              <w:bottom w:val="single" w:color="auto" w:sz="6" w:space="0"/>
            </w:tcBorders>
            <w:vAlign w:val="top"/>
          </w:tcPr>
          <w:p w14:paraId="0F8B92C4">
            <w:pPr>
              <w:spacing w:beforeLines="0" w:afterLines="0" w:line="240" w:lineRule="auto"/>
              <w:jc w:val="left"/>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Subgroups</w:t>
            </w:r>
          </w:p>
        </w:tc>
        <w:tc>
          <w:tcPr>
            <w:tcW w:w="567" w:type="dxa"/>
            <w:tcBorders>
              <w:top w:val="single" w:color="auto" w:sz="12" w:space="0"/>
              <w:bottom w:val="single" w:color="auto" w:sz="6" w:space="0"/>
            </w:tcBorders>
            <w:vAlign w:val="top"/>
          </w:tcPr>
          <w:p w14:paraId="2EF66173">
            <w:pPr>
              <w:spacing w:beforeLines="0" w:afterLines="0" w:line="240" w:lineRule="auto"/>
              <w:jc w:val="left"/>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i/>
                <w:iCs/>
                <w:color w:val="auto"/>
                <w:sz w:val="21"/>
                <w:szCs w:val="21"/>
                <w:vertAlign w:val="baseline"/>
                <w:lang w:val="en-US" w:eastAsia="zh-CN"/>
              </w:rPr>
              <w:t>k</w:t>
            </w:r>
          </w:p>
        </w:tc>
        <w:tc>
          <w:tcPr>
            <w:tcW w:w="2126" w:type="dxa"/>
            <w:tcBorders>
              <w:top w:val="single" w:color="auto" w:sz="12" w:space="0"/>
              <w:bottom w:val="single" w:color="auto" w:sz="6" w:space="0"/>
            </w:tcBorders>
            <w:vAlign w:val="top"/>
          </w:tcPr>
          <w:p w14:paraId="5FA455B8">
            <w:pPr>
              <w:spacing w:beforeLines="0" w:afterLines="0" w:line="240" w:lineRule="auto"/>
              <w:jc w:val="left"/>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 xml:space="preserve">Hedges’ </w:t>
            </w:r>
            <w:r>
              <w:rPr>
                <w:rFonts w:hint="default" w:ascii="Times New Roman" w:hAnsi="Times New Roman" w:eastAsia="宋体" w:cs="Times New Roman"/>
                <w:b/>
                <w:bCs/>
                <w:i/>
                <w:iCs/>
                <w:color w:val="auto"/>
                <w:sz w:val="21"/>
                <w:szCs w:val="21"/>
                <w:vertAlign w:val="baseline"/>
                <w:lang w:val="en-US" w:eastAsia="zh-CN"/>
              </w:rPr>
              <w:t>g</w:t>
            </w:r>
            <w:r>
              <w:rPr>
                <w:rFonts w:hint="default" w:ascii="Times New Roman" w:hAnsi="Times New Roman" w:eastAsia="宋体" w:cs="Times New Roman"/>
                <w:b/>
                <w:bCs/>
                <w:color w:val="auto"/>
                <w:sz w:val="21"/>
                <w:szCs w:val="21"/>
                <w:vertAlign w:val="baseline"/>
                <w:lang w:val="en-US" w:eastAsia="zh-CN"/>
              </w:rPr>
              <w:t xml:space="preserve"> (95% </w:t>
            </w:r>
            <w:r>
              <w:rPr>
                <w:rFonts w:hint="default" w:ascii="Times New Roman" w:hAnsi="Times New Roman" w:eastAsia="宋体" w:cs="Times New Roman"/>
                <w:b/>
                <w:bCs/>
                <w:i/>
                <w:iCs/>
                <w:color w:val="auto"/>
                <w:sz w:val="21"/>
                <w:szCs w:val="21"/>
                <w:vertAlign w:val="baseline"/>
                <w:lang w:val="en-US" w:eastAsia="zh-CN"/>
              </w:rPr>
              <w:t>CI</w:t>
            </w:r>
            <w:r>
              <w:rPr>
                <w:rFonts w:hint="default" w:ascii="Times New Roman" w:hAnsi="Times New Roman" w:eastAsia="宋体" w:cs="Times New Roman"/>
                <w:b/>
                <w:bCs/>
                <w:color w:val="auto"/>
                <w:sz w:val="21"/>
                <w:szCs w:val="21"/>
                <w:vertAlign w:val="baseline"/>
                <w:lang w:val="en-US" w:eastAsia="zh-CN"/>
              </w:rPr>
              <w:t>)</w:t>
            </w:r>
          </w:p>
        </w:tc>
        <w:tc>
          <w:tcPr>
            <w:tcW w:w="850" w:type="dxa"/>
            <w:tcBorders>
              <w:top w:val="single" w:color="auto" w:sz="12" w:space="0"/>
              <w:bottom w:val="single" w:color="auto" w:sz="6" w:space="0"/>
            </w:tcBorders>
            <w:shd w:val="clear" w:color="auto" w:fill="auto"/>
            <w:vAlign w:val="top"/>
          </w:tcPr>
          <w:p w14:paraId="5E614223">
            <w:pPr>
              <w:spacing w:beforeLines="0" w:afterLines="0" w:line="240" w:lineRule="auto"/>
              <w:jc w:val="left"/>
              <w:rPr>
                <w:rFonts w:hint="default" w:ascii="Times New Roman" w:hAnsi="Times New Roman" w:eastAsia="宋体" w:cs="Times New Roman"/>
                <w:b/>
                <w:bCs/>
                <w:color w:val="auto"/>
                <w:kern w:val="2"/>
                <w:sz w:val="21"/>
                <w:szCs w:val="21"/>
                <w:vertAlign w:val="baseline"/>
                <w:lang w:val="en-US" w:eastAsia="zh-CN" w:bidi="ar-SA"/>
              </w:rPr>
            </w:pPr>
            <w:r>
              <w:rPr>
                <w:rFonts w:hint="default" w:ascii="Times New Roman" w:hAnsi="Times New Roman" w:eastAsia="宋体" w:cs="Times New Roman"/>
                <w:b/>
                <w:bCs/>
                <w:i/>
                <w:iCs/>
                <w:color w:val="auto"/>
                <w:sz w:val="21"/>
                <w:szCs w:val="21"/>
                <w:vertAlign w:val="baseline"/>
                <w:lang w:val="en-US" w:eastAsia="zh-CN"/>
              </w:rPr>
              <w:t>I</w:t>
            </w:r>
            <w:r>
              <w:rPr>
                <w:rFonts w:hint="default" w:ascii="Times New Roman" w:hAnsi="Times New Roman" w:eastAsia="宋体" w:cs="Times New Roman"/>
                <w:b/>
                <w:bCs/>
                <w:color w:val="auto"/>
                <w:sz w:val="21"/>
                <w:szCs w:val="21"/>
                <w:vertAlign w:val="superscript"/>
                <w:lang w:val="en-US" w:eastAsia="zh-CN"/>
              </w:rPr>
              <w:t xml:space="preserve">2 </w:t>
            </w:r>
            <w:r>
              <w:rPr>
                <w:rFonts w:hint="default" w:ascii="Times New Roman" w:hAnsi="Times New Roman" w:eastAsia="宋体" w:cs="Times New Roman"/>
                <w:b/>
                <w:bCs/>
                <w:color w:val="auto"/>
                <w:sz w:val="21"/>
                <w:szCs w:val="21"/>
                <w:vertAlign w:val="baseline"/>
                <w:lang w:val="en-US" w:eastAsia="zh-CN"/>
              </w:rPr>
              <w:t>(%)</w:t>
            </w:r>
          </w:p>
        </w:tc>
        <w:tc>
          <w:tcPr>
            <w:tcW w:w="850" w:type="dxa"/>
            <w:tcBorders>
              <w:top w:val="single" w:color="auto" w:sz="12" w:space="0"/>
              <w:bottom w:val="single" w:color="auto" w:sz="6" w:space="0"/>
            </w:tcBorders>
            <w:shd w:val="clear" w:color="auto" w:fill="auto"/>
            <w:vAlign w:val="top"/>
          </w:tcPr>
          <w:p w14:paraId="6552C46E">
            <w:pPr>
              <w:spacing w:beforeLines="0" w:afterLines="0" w:line="240" w:lineRule="auto"/>
              <w:jc w:val="left"/>
              <w:rPr>
                <w:rFonts w:hint="default" w:ascii="Times New Roman" w:hAnsi="Times New Roman" w:eastAsia="宋体" w:cs="Times New Roman"/>
                <w:b/>
                <w:bCs/>
                <w:color w:val="auto"/>
                <w:kern w:val="2"/>
                <w:sz w:val="21"/>
                <w:szCs w:val="21"/>
                <w:vertAlign w:val="baseline"/>
                <w:lang w:val="en-US" w:eastAsia="zh-CN" w:bidi="ar-SA"/>
              </w:rPr>
            </w:pPr>
            <w:r>
              <w:rPr>
                <w:rFonts w:hint="default" w:ascii="Times New Roman" w:hAnsi="Times New Roman" w:cs="Times New Roman"/>
                <w:b/>
                <w:bCs/>
                <w:i/>
                <w:iCs/>
                <w:color w:val="auto"/>
                <w:sz w:val="21"/>
                <w:szCs w:val="21"/>
                <w:highlight w:val="none"/>
              </w:rPr>
              <w:t>τ²</w:t>
            </w:r>
          </w:p>
        </w:tc>
        <w:tc>
          <w:tcPr>
            <w:tcW w:w="1984" w:type="dxa"/>
            <w:tcBorders>
              <w:top w:val="single" w:color="auto" w:sz="12" w:space="0"/>
              <w:bottom w:val="single" w:color="auto" w:sz="6" w:space="0"/>
            </w:tcBorders>
            <w:vAlign w:val="top"/>
          </w:tcPr>
          <w:p w14:paraId="6064A4BE">
            <w:pPr>
              <w:spacing w:beforeLines="0" w:afterLines="0" w:line="240" w:lineRule="auto"/>
              <w:jc w:val="left"/>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i/>
                <w:iCs/>
                <w:color w:val="auto"/>
                <w:sz w:val="21"/>
                <w:szCs w:val="21"/>
                <w:vertAlign w:val="baseline"/>
                <w:lang w:val="en-US" w:eastAsia="zh-CN"/>
              </w:rPr>
              <w:t>P</w:t>
            </w:r>
            <w:r>
              <w:rPr>
                <w:rFonts w:hint="default" w:ascii="Times New Roman" w:hAnsi="Times New Roman" w:eastAsia="宋体" w:cs="Times New Roman"/>
                <w:b/>
                <w:bCs/>
                <w:color w:val="auto"/>
                <w:sz w:val="21"/>
                <w:szCs w:val="21"/>
                <w:vertAlign w:val="baseline"/>
                <w:lang w:val="en-US" w:eastAsia="zh-CN"/>
              </w:rPr>
              <w:t xml:space="preserve"> for heterogeneity</w:t>
            </w:r>
          </w:p>
        </w:tc>
        <w:tc>
          <w:tcPr>
            <w:tcW w:w="2551" w:type="dxa"/>
            <w:tcBorders>
              <w:top w:val="single" w:color="auto" w:sz="12" w:space="0"/>
              <w:bottom w:val="single" w:color="auto" w:sz="6" w:space="0"/>
            </w:tcBorders>
            <w:vAlign w:val="top"/>
          </w:tcPr>
          <w:p w14:paraId="694358EE">
            <w:pPr>
              <w:spacing w:beforeLines="0" w:afterLines="0" w:line="240" w:lineRule="auto"/>
              <w:jc w:val="left"/>
              <w:rPr>
                <w:rFonts w:hint="default" w:ascii="Times New Roman" w:hAnsi="Times New Roman" w:eastAsia="宋体" w:cs="Times New Roman"/>
                <w:b/>
                <w:bCs/>
                <w:i/>
                <w:iCs/>
                <w:color w:val="auto"/>
                <w:sz w:val="21"/>
                <w:szCs w:val="21"/>
                <w:vertAlign w:val="baseline"/>
                <w:lang w:val="en-US" w:eastAsia="zh-CN"/>
              </w:rPr>
            </w:pPr>
            <w:r>
              <w:rPr>
                <w:rFonts w:hint="default" w:ascii="Times New Roman" w:hAnsi="Times New Roman" w:eastAsia="宋体" w:cs="Times New Roman"/>
                <w:b/>
                <w:bCs/>
                <w:i/>
                <w:iCs/>
                <w:color w:val="auto"/>
                <w:sz w:val="21"/>
                <w:szCs w:val="21"/>
                <w:vertAlign w:val="baseline"/>
                <w:lang w:val="en-US" w:eastAsia="zh-CN"/>
              </w:rPr>
              <w:t>P</w:t>
            </w:r>
            <w:r>
              <w:rPr>
                <w:rFonts w:hint="default" w:ascii="Times New Roman" w:hAnsi="Times New Roman" w:eastAsia="宋体" w:cs="Times New Roman"/>
                <w:b/>
                <w:bCs/>
                <w:color w:val="auto"/>
                <w:sz w:val="21"/>
                <w:szCs w:val="21"/>
                <w:vertAlign w:val="baseline"/>
                <w:lang w:val="en-US" w:eastAsia="zh-CN"/>
              </w:rPr>
              <w:t xml:space="preserve"> for subgroup difference</w:t>
            </w:r>
          </w:p>
        </w:tc>
      </w:tr>
      <w:tr w14:paraId="224B9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jc w:val="center"/>
        </w:trPr>
        <w:tc>
          <w:tcPr>
            <w:tcW w:w="1956" w:type="dxa"/>
            <w:vAlign w:val="top"/>
          </w:tcPr>
          <w:p w14:paraId="2937AD14">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Overall</w:t>
            </w:r>
          </w:p>
        </w:tc>
        <w:tc>
          <w:tcPr>
            <w:tcW w:w="567" w:type="dxa"/>
            <w:vAlign w:val="top"/>
          </w:tcPr>
          <w:p w14:paraId="48948EC7">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6</w:t>
            </w:r>
          </w:p>
        </w:tc>
        <w:tc>
          <w:tcPr>
            <w:tcW w:w="2126" w:type="dxa"/>
            <w:vAlign w:val="top"/>
          </w:tcPr>
          <w:p w14:paraId="44173A15">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rPr>
              <w:t>−0.47 (−1.32, 0.39)</w:t>
            </w:r>
          </w:p>
        </w:tc>
        <w:tc>
          <w:tcPr>
            <w:tcW w:w="850" w:type="dxa"/>
            <w:shd w:val="clear" w:color="auto" w:fill="auto"/>
            <w:vAlign w:val="top"/>
          </w:tcPr>
          <w:p w14:paraId="10E0A8A6">
            <w:pPr>
              <w:spacing w:beforeLines="0" w:afterLines="0" w:line="240" w:lineRule="auto"/>
              <w:jc w:val="left"/>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z w:val="21"/>
                <w:szCs w:val="21"/>
                <w:vertAlign w:val="baseline"/>
                <w:lang w:val="en-US" w:eastAsia="zh-CN"/>
              </w:rPr>
              <w:t>76.17</w:t>
            </w:r>
          </w:p>
        </w:tc>
        <w:tc>
          <w:tcPr>
            <w:tcW w:w="850" w:type="dxa"/>
            <w:shd w:val="clear" w:color="auto" w:fill="auto"/>
            <w:vAlign w:val="top"/>
          </w:tcPr>
          <w:p w14:paraId="07DAD0D6">
            <w:pPr>
              <w:spacing w:beforeLines="0" w:afterLines="0" w:line="240" w:lineRule="auto"/>
              <w:jc w:val="left"/>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2"/>
                <w:sz w:val="21"/>
                <w:szCs w:val="21"/>
                <w:vertAlign w:val="baseline"/>
                <w:lang w:val="en-US" w:eastAsia="zh-CN" w:bidi="ar-SA"/>
              </w:rPr>
              <w:t>0.512</w:t>
            </w:r>
          </w:p>
        </w:tc>
        <w:tc>
          <w:tcPr>
            <w:tcW w:w="1984" w:type="dxa"/>
            <w:vAlign w:val="top"/>
          </w:tcPr>
          <w:p w14:paraId="6750F266">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&lt; 0.001</w:t>
            </w:r>
          </w:p>
        </w:tc>
        <w:tc>
          <w:tcPr>
            <w:tcW w:w="2551" w:type="dxa"/>
            <w:vAlign w:val="top"/>
          </w:tcPr>
          <w:p w14:paraId="33902085">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7BE3A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1956" w:type="dxa"/>
            <w:vAlign w:val="top"/>
          </w:tcPr>
          <w:p w14:paraId="0E22154D">
            <w:pPr>
              <w:spacing w:beforeLines="0" w:afterLines="0" w:line="240" w:lineRule="auto"/>
              <w:jc w:val="left"/>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Intervention type</w:t>
            </w:r>
          </w:p>
          <w:p w14:paraId="05CC0B81">
            <w:pPr>
              <w:spacing w:beforeLines="0" w:afterLines="0" w:line="240" w:lineRule="auto"/>
              <w:ind w:firstLine="210" w:firstLineChars="100"/>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VR mindfulness</w:t>
            </w:r>
          </w:p>
          <w:p w14:paraId="0356443A">
            <w:pPr>
              <w:spacing w:beforeLines="0" w:afterLines="0" w:line="240" w:lineRule="auto"/>
              <w:ind w:firstLine="210" w:firstLineChars="100"/>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Others</w:t>
            </w:r>
          </w:p>
        </w:tc>
        <w:tc>
          <w:tcPr>
            <w:tcW w:w="567" w:type="dxa"/>
            <w:vAlign w:val="top"/>
          </w:tcPr>
          <w:p w14:paraId="2385560B">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p>
          <w:p w14:paraId="15D89A00">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3</w:t>
            </w:r>
          </w:p>
          <w:p w14:paraId="56CC3B7A">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3</w:t>
            </w:r>
          </w:p>
        </w:tc>
        <w:tc>
          <w:tcPr>
            <w:tcW w:w="2126" w:type="dxa"/>
            <w:vAlign w:val="top"/>
          </w:tcPr>
          <w:p w14:paraId="381564BA">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p>
          <w:p w14:paraId="761672CE">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−0.17 (−1.64, 1.29)</w:t>
            </w:r>
          </w:p>
          <w:p w14:paraId="3EE40A4A">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−0.77 (−3.30, 1.77)</w:t>
            </w:r>
          </w:p>
        </w:tc>
        <w:tc>
          <w:tcPr>
            <w:tcW w:w="850" w:type="dxa"/>
            <w:shd w:val="clear" w:color="auto" w:fill="auto"/>
            <w:vAlign w:val="top"/>
          </w:tcPr>
          <w:p w14:paraId="14F39148">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p>
          <w:p w14:paraId="37396353">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48.92</w:t>
            </w:r>
          </w:p>
          <w:p w14:paraId="1793EFC7">
            <w:pPr>
              <w:spacing w:beforeLines="0" w:afterLines="0" w:line="240" w:lineRule="auto"/>
              <w:jc w:val="left"/>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z w:val="21"/>
                <w:szCs w:val="21"/>
                <w:vertAlign w:val="baseline"/>
                <w:lang w:val="en-US" w:eastAsia="zh-CN"/>
              </w:rPr>
              <w:t>86.27</w:t>
            </w:r>
          </w:p>
        </w:tc>
        <w:tc>
          <w:tcPr>
            <w:tcW w:w="850" w:type="dxa"/>
            <w:shd w:val="clear" w:color="auto" w:fill="auto"/>
            <w:vAlign w:val="top"/>
          </w:tcPr>
          <w:p w14:paraId="238C4BD6">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p>
          <w:p w14:paraId="667D2F21">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0.173</w:t>
            </w:r>
          </w:p>
          <w:p w14:paraId="2F7B6A87">
            <w:pPr>
              <w:spacing w:beforeLines="0" w:afterLines="0" w:line="240" w:lineRule="auto"/>
              <w:jc w:val="left"/>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z w:val="21"/>
                <w:szCs w:val="21"/>
                <w:vertAlign w:val="baseline"/>
                <w:lang w:val="en-US" w:eastAsia="zh-CN"/>
              </w:rPr>
              <w:t>0.920</w:t>
            </w:r>
          </w:p>
        </w:tc>
        <w:tc>
          <w:tcPr>
            <w:tcW w:w="1984" w:type="dxa"/>
            <w:vAlign w:val="top"/>
          </w:tcPr>
          <w:p w14:paraId="45BC12FB">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p>
          <w:p w14:paraId="0C66297D">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0.141</w:t>
            </w:r>
          </w:p>
          <w:p w14:paraId="4165437A">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&lt; 0.001</w:t>
            </w:r>
          </w:p>
        </w:tc>
        <w:tc>
          <w:tcPr>
            <w:tcW w:w="2551" w:type="dxa"/>
            <w:vAlign w:val="top"/>
          </w:tcPr>
          <w:p w14:paraId="24F4654A">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0.391</w:t>
            </w:r>
          </w:p>
          <w:p w14:paraId="238E8C53">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p>
        </w:tc>
      </w:tr>
      <w:tr w14:paraId="39A4A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1956" w:type="dxa"/>
            <w:vAlign w:val="top"/>
          </w:tcPr>
          <w:p w14:paraId="29568242">
            <w:pPr>
              <w:spacing w:beforeLines="0" w:afterLines="0" w:line="240" w:lineRule="auto"/>
              <w:jc w:val="left"/>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Comparator type</w:t>
            </w:r>
          </w:p>
          <w:p w14:paraId="12D6A251">
            <w:pPr>
              <w:spacing w:beforeLines="0" w:afterLines="0" w:line="240" w:lineRule="auto"/>
              <w:ind w:firstLine="210" w:firstLineChars="100"/>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Active</w:t>
            </w:r>
          </w:p>
          <w:p w14:paraId="3998E0B4">
            <w:pPr>
              <w:spacing w:beforeLines="0" w:afterLines="0" w:line="240" w:lineRule="auto"/>
              <w:ind w:firstLine="210" w:firstLineChars="100"/>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Nonactive</w:t>
            </w:r>
          </w:p>
        </w:tc>
        <w:tc>
          <w:tcPr>
            <w:tcW w:w="567" w:type="dxa"/>
            <w:vAlign w:val="top"/>
          </w:tcPr>
          <w:p w14:paraId="212F7458">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p>
          <w:p w14:paraId="71390016">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3</w:t>
            </w:r>
          </w:p>
          <w:p w14:paraId="58A0795D">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3</w:t>
            </w:r>
          </w:p>
        </w:tc>
        <w:tc>
          <w:tcPr>
            <w:tcW w:w="2126" w:type="dxa"/>
            <w:vAlign w:val="top"/>
          </w:tcPr>
          <w:p w14:paraId="61CB2B9D">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p>
          <w:p w14:paraId="09549C31">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−0.01 (−1.62, 1.61)</w:t>
            </w:r>
          </w:p>
          <w:p w14:paraId="70AFECE0">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−0.94 (−2.87, 0.98)</w:t>
            </w:r>
          </w:p>
        </w:tc>
        <w:tc>
          <w:tcPr>
            <w:tcW w:w="850" w:type="dxa"/>
            <w:shd w:val="clear" w:color="auto" w:fill="auto"/>
            <w:vAlign w:val="top"/>
          </w:tcPr>
          <w:p w14:paraId="6F38DF22">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p>
          <w:p w14:paraId="30980D74">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64.66</w:t>
            </w:r>
          </w:p>
          <w:p w14:paraId="3C10AEAE">
            <w:pPr>
              <w:spacing w:beforeLines="0" w:afterLines="0" w:line="240" w:lineRule="auto"/>
              <w:jc w:val="left"/>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z w:val="21"/>
                <w:szCs w:val="21"/>
                <w:vertAlign w:val="baseline"/>
                <w:lang w:val="en-US" w:eastAsia="zh-CN"/>
              </w:rPr>
              <w:t>69.83</w:t>
            </w:r>
          </w:p>
        </w:tc>
        <w:tc>
          <w:tcPr>
            <w:tcW w:w="850" w:type="dxa"/>
            <w:shd w:val="clear" w:color="auto" w:fill="auto"/>
            <w:vAlign w:val="top"/>
          </w:tcPr>
          <w:p w14:paraId="7CD19DB9">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p>
          <w:p w14:paraId="159E4752">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0.267</w:t>
            </w:r>
          </w:p>
          <w:p w14:paraId="48D16EBD">
            <w:pPr>
              <w:spacing w:beforeLines="0" w:afterLines="0" w:line="240" w:lineRule="auto"/>
              <w:jc w:val="left"/>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z w:val="21"/>
                <w:szCs w:val="21"/>
                <w:vertAlign w:val="baseline"/>
                <w:lang w:val="en-US" w:eastAsia="zh-CN"/>
              </w:rPr>
              <w:t>0.420</w:t>
            </w:r>
          </w:p>
        </w:tc>
        <w:tc>
          <w:tcPr>
            <w:tcW w:w="1984" w:type="dxa"/>
            <w:vAlign w:val="top"/>
          </w:tcPr>
          <w:p w14:paraId="03CF4735">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p>
          <w:p w14:paraId="403033A9">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0.062</w:t>
            </w:r>
          </w:p>
          <w:p w14:paraId="5D0C5B36">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0.036</w:t>
            </w:r>
          </w:p>
        </w:tc>
        <w:tc>
          <w:tcPr>
            <w:tcW w:w="2551" w:type="dxa"/>
            <w:vAlign w:val="top"/>
          </w:tcPr>
          <w:p w14:paraId="7CEB653D">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0.107</w:t>
            </w:r>
          </w:p>
          <w:p w14:paraId="2B748C7B">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p>
        </w:tc>
      </w:tr>
      <w:tr w14:paraId="0C599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1956" w:type="dxa"/>
            <w:vAlign w:val="top"/>
          </w:tcPr>
          <w:p w14:paraId="4BCD2760">
            <w:pPr>
              <w:spacing w:beforeLines="0" w:afterLines="0" w:line="240" w:lineRule="auto"/>
              <w:jc w:val="left"/>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 xml:space="preserve">Population group </w:t>
            </w:r>
          </w:p>
          <w:p w14:paraId="125D31D5">
            <w:pPr>
              <w:spacing w:beforeLines="0" w:afterLines="0" w:line="240" w:lineRule="auto"/>
              <w:ind w:firstLine="210" w:firstLineChars="100"/>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Clinical</w:t>
            </w:r>
          </w:p>
          <w:p w14:paraId="59455D61">
            <w:pPr>
              <w:spacing w:beforeLines="0" w:afterLines="0" w:line="240" w:lineRule="auto"/>
              <w:ind w:firstLine="210" w:firstLineChars="100"/>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Nonclinical</w:t>
            </w:r>
          </w:p>
        </w:tc>
        <w:tc>
          <w:tcPr>
            <w:tcW w:w="567" w:type="dxa"/>
            <w:vAlign w:val="top"/>
          </w:tcPr>
          <w:p w14:paraId="3C17F659">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p>
          <w:p w14:paraId="0F59F61D">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2</w:t>
            </w:r>
          </w:p>
          <w:p w14:paraId="3A7DF9B3">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4</w:t>
            </w:r>
          </w:p>
        </w:tc>
        <w:tc>
          <w:tcPr>
            <w:tcW w:w="2126" w:type="dxa"/>
            <w:vAlign w:val="top"/>
          </w:tcPr>
          <w:p w14:paraId="7554A5A7">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p>
          <w:p w14:paraId="0B55CE04">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−0.35 (−9.54, 8.84)</w:t>
            </w:r>
          </w:p>
          <w:p w14:paraId="603F50B4">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−0.53 (−1.91, 0.84)</w:t>
            </w:r>
          </w:p>
        </w:tc>
        <w:tc>
          <w:tcPr>
            <w:tcW w:w="850" w:type="dxa"/>
            <w:shd w:val="clear" w:color="auto" w:fill="auto"/>
            <w:vAlign w:val="top"/>
          </w:tcPr>
          <w:p w14:paraId="14A7B57A">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p>
          <w:p w14:paraId="03190F03">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86.21</w:t>
            </w:r>
          </w:p>
          <w:p w14:paraId="6B4DF44B">
            <w:pPr>
              <w:spacing w:beforeLines="0" w:afterLines="0" w:line="240" w:lineRule="auto"/>
              <w:jc w:val="left"/>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z w:val="21"/>
                <w:szCs w:val="21"/>
                <w:vertAlign w:val="baseline"/>
                <w:lang w:val="en-US" w:eastAsia="zh-CN"/>
              </w:rPr>
              <w:t>76.55</w:t>
            </w:r>
          </w:p>
        </w:tc>
        <w:tc>
          <w:tcPr>
            <w:tcW w:w="850" w:type="dxa"/>
            <w:shd w:val="clear" w:color="auto" w:fill="auto"/>
            <w:vAlign w:val="top"/>
          </w:tcPr>
          <w:p w14:paraId="0935D714">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p>
          <w:p w14:paraId="7953D062">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0.903</w:t>
            </w:r>
          </w:p>
          <w:p w14:paraId="161029D8">
            <w:pPr>
              <w:spacing w:beforeLines="0" w:afterLines="0" w:line="240" w:lineRule="auto"/>
              <w:jc w:val="left"/>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z w:val="21"/>
                <w:szCs w:val="21"/>
                <w:vertAlign w:val="baseline"/>
                <w:lang w:val="en-US" w:eastAsia="zh-CN"/>
              </w:rPr>
              <w:t>0.576</w:t>
            </w:r>
          </w:p>
        </w:tc>
        <w:tc>
          <w:tcPr>
            <w:tcW w:w="1984" w:type="dxa"/>
            <w:vAlign w:val="top"/>
          </w:tcPr>
          <w:p w14:paraId="59CF8E16">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p>
          <w:p w14:paraId="09D2F6BA">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0.007</w:t>
            </w:r>
          </w:p>
          <w:p w14:paraId="35F3F2E8">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0.005</w:t>
            </w:r>
          </w:p>
        </w:tc>
        <w:tc>
          <w:tcPr>
            <w:tcW w:w="2551" w:type="dxa"/>
            <w:vAlign w:val="top"/>
          </w:tcPr>
          <w:p w14:paraId="5858C718">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0.830</w:t>
            </w:r>
          </w:p>
        </w:tc>
      </w:tr>
      <w:tr w14:paraId="630D0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1956" w:type="dxa"/>
            <w:tcBorders>
              <w:bottom w:val="single" w:color="auto" w:sz="12" w:space="0"/>
            </w:tcBorders>
            <w:vAlign w:val="top"/>
          </w:tcPr>
          <w:p w14:paraId="78888D59">
            <w:pPr>
              <w:spacing w:beforeLines="0" w:afterLines="0" w:line="240" w:lineRule="auto"/>
              <w:jc w:val="left"/>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Time-matched</w:t>
            </w:r>
          </w:p>
          <w:p w14:paraId="4253D611">
            <w:pPr>
              <w:spacing w:beforeLines="0" w:afterLines="0" w:line="240" w:lineRule="auto"/>
              <w:ind w:firstLine="210" w:firstLineChars="100"/>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Yes</w:t>
            </w:r>
          </w:p>
          <w:p w14:paraId="0DD19167">
            <w:pPr>
              <w:spacing w:beforeLines="0" w:afterLines="0" w:line="240" w:lineRule="auto"/>
              <w:ind w:firstLine="210" w:firstLineChars="100"/>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No</w:t>
            </w:r>
          </w:p>
        </w:tc>
        <w:tc>
          <w:tcPr>
            <w:tcW w:w="567" w:type="dxa"/>
            <w:tcBorders>
              <w:bottom w:val="single" w:color="auto" w:sz="12" w:space="0"/>
            </w:tcBorders>
            <w:vAlign w:val="top"/>
          </w:tcPr>
          <w:p w14:paraId="58B127C9">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p>
          <w:p w14:paraId="387C244A">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2</w:t>
            </w:r>
          </w:p>
          <w:p w14:paraId="2EFEA78B">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4</w:t>
            </w:r>
          </w:p>
        </w:tc>
        <w:tc>
          <w:tcPr>
            <w:tcW w:w="2126" w:type="dxa"/>
            <w:tcBorders>
              <w:bottom w:val="single" w:color="auto" w:sz="12" w:space="0"/>
            </w:tcBorders>
            <w:vAlign w:val="top"/>
          </w:tcPr>
          <w:p w14:paraId="2F4C85CA">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p>
          <w:p w14:paraId="062C73A5">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0.35 (0.15, 0.56)</w:t>
            </w:r>
          </w:p>
          <w:p w14:paraId="6BF89CDC">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−0.91 (−1.92, 0.11)</w:t>
            </w:r>
          </w:p>
        </w:tc>
        <w:tc>
          <w:tcPr>
            <w:tcW w:w="850" w:type="dxa"/>
            <w:tcBorders>
              <w:bottom w:val="single" w:color="auto" w:sz="12" w:space="0"/>
            </w:tcBorders>
            <w:shd w:val="clear" w:color="auto" w:fill="auto"/>
            <w:vAlign w:val="top"/>
          </w:tcPr>
          <w:p w14:paraId="52D0AF1B">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p>
          <w:p w14:paraId="4299F8AC">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0.00</w:t>
            </w:r>
          </w:p>
          <w:p w14:paraId="7173A74A">
            <w:pPr>
              <w:spacing w:beforeLines="0" w:afterLines="0" w:line="240" w:lineRule="auto"/>
              <w:jc w:val="left"/>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z w:val="21"/>
                <w:szCs w:val="21"/>
                <w:vertAlign w:val="baseline"/>
                <w:lang w:val="en-US" w:eastAsia="zh-CN"/>
              </w:rPr>
              <w:t>55.79</w:t>
            </w:r>
          </w:p>
        </w:tc>
        <w:tc>
          <w:tcPr>
            <w:tcW w:w="850" w:type="dxa"/>
            <w:tcBorders>
              <w:bottom w:val="single" w:color="auto" w:sz="12" w:space="0"/>
            </w:tcBorders>
            <w:shd w:val="clear" w:color="auto" w:fill="auto"/>
            <w:vAlign w:val="top"/>
          </w:tcPr>
          <w:p w14:paraId="547D897D">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p>
          <w:p w14:paraId="37174E49">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0.00</w:t>
            </w:r>
          </w:p>
          <w:p w14:paraId="3391586D">
            <w:pPr>
              <w:spacing w:beforeLines="0" w:afterLines="0" w:line="240" w:lineRule="auto"/>
              <w:jc w:val="left"/>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z w:val="21"/>
                <w:szCs w:val="21"/>
                <w:vertAlign w:val="baseline"/>
                <w:lang w:val="en-US" w:eastAsia="zh-CN"/>
              </w:rPr>
              <w:t>0.224</w:t>
            </w:r>
          </w:p>
        </w:tc>
        <w:tc>
          <w:tcPr>
            <w:tcW w:w="1984" w:type="dxa"/>
            <w:tcBorders>
              <w:bottom w:val="single" w:color="auto" w:sz="12" w:space="0"/>
            </w:tcBorders>
            <w:vAlign w:val="top"/>
          </w:tcPr>
          <w:p w14:paraId="23FE3C35">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p>
          <w:p w14:paraId="53F814EC">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0.949</w:t>
            </w:r>
          </w:p>
          <w:p w14:paraId="5BA6BCCB">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0.079</w:t>
            </w:r>
          </w:p>
        </w:tc>
        <w:tc>
          <w:tcPr>
            <w:tcW w:w="2551" w:type="dxa"/>
            <w:tcBorders>
              <w:bottom w:val="single" w:color="auto" w:sz="12" w:space="0"/>
            </w:tcBorders>
            <w:vAlign w:val="top"/>
          </w:tcPr>
          <w:p w14:paraId="3E829B98">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0.002</w:t>
            </w:r>
          </w:p>
        </w:tc>
      </w:tr>
    </w:tbl>
    <w:p w14:paraId="78BECB6B">
      <w:pPr>
        <w:spacing w:line="360" w:lineRule="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bCs w:val="0"/>
          <w:i/>
          <w:iCs/>
          <w:sz w:val="24"/>
          <w:szCs w:val="24"/>
          <w:lang w:val="en-US" w:eastAsia="zh-CN"/>
        </w:rPr>
        <w:t>Note:</w:t>
      </w:r>
      <w:r>
        <w:rPr>
          <w:rFonts w:hint="default" w:ascii="Times New Roman" w:hAnsi="Times New Roman" w:eastAsia="宋体" w:cs="Times New Roman"/>
          <w:b w:val="0"/>
          <w:bCs w:val="0"/>
          <w:sz w:val="24"/>
          <w:szCs w:val="24"/>
          <w:lang w:val="en-US" w:eastAsia="zh-CN"/>
        </w:rPr>
        <w:t xml:space="preserve"> For intervention-type subgroup analyses, VR mindfulness included Sadowski et al., Modrego-Alarcón et al., and Cinalioglu et al.; “Others” included Seethaler et al., Szczepańska-Gieracha et al., and Kwon et al.</w:t>
      </w:r>
      <w:r>
        <w:rPr>
          <w:rFonts w:hint="eastAsia" w:ascii="Times New Roman" w:hAnsi="Times New Roman" w:eastAsia="宋体" w:cs="Times New Roman"/>
          <w:b w:val="0"/>
          <w:bCs w:val="0"/>
          <w:sz w:val="24"/>
          <w:szCs w:val="24"/>
          <w:lang w:val="en-US" w:eastAsia="zh-CN"/>
        </w:rPr>
        <w:t xml:space="preserve"> No multiplicity correction was applied to subgroup interaction tests. All subgroup analyses were exploratory, and nominal </w:t>
      </w:r>
      <w:r>
        <w:rPr>
          <w:rFonts w:hint="eastAsia" w:ascii="Times New Roman" w:hAnsi="Times New Roman" w:eastAsia="宋体" w:cs="Times New Roman"/>
          <w:b w:val="0"/>
          <w:bCs w:val="0"/>
          <w:i/>
          <w:iCs/>
          <w:sz w:val="24"/>
          <w:szCs w:val="24"/>
          <w:lang w:val="en-US" w:eastAsia="zh-CN"/>
        </w:rPr>
        <w:t>P</w:t>
      </w:r>
      <w:r>
        <w:rPr>
          <w:rFonts w:hint="eastAsia" w:ascii="Times New Roman" w:hAnsi="Times New Roman" w:eastAsia="宋体" w:cs="Times New Roman"/>
          <w:b w:val="0"/>
          <w:bCs w:val="0"/>
          <w:sz w:val="24"/>
          <w:szCs w:val="24"/>
          <w:lang w:val="en-US" w:eastAsia="zh-CN"/>
        </w:rPr>
        <w:t xml:space="preserve"> values &lt;0.05 should be interpreted as hypothesis-generating rather than as confirmatory evidence of effect modification.</w:t>
      </w:r>
    </w:p>
    <w:p w14:paraId="76AB110E">
      <w:pPr>
        <w:spacing w:line="360" w:lineRule="auto"/>
        <w:rPr>
          <w:rFonts w:hint="default" w:ascii="Times New Roman" w:hAnsi="Times New Roman" w:eastAsia="宋体" w:cs="Times New Roman"/>
          <w:b w:val="0"/>
          <w:bCs w:val="0"/>
          <w:sz w:val="24"/>
          <w:szCs w:val="24"/>
          <w:lang w:val="en-US" w:eastAsia="zh-CN"/>
        </w:rPr>
      </w:pPr>
    </w:p>
    <w:p w14:paraId="0548FF02">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eastAsia" w:ascii="Times New Roman" w:hAnsi="Times New Roman" w:eastAsia="宋体" w:cs="Times New Roman"/>
          <w:sz w:val="24"/>
          <w:szCs w:val="24"/>
          <w:lang w:val="en-US" w:eastAsia="zh-CN"/>
        </w:rPr>
      </w:pPr>
      <w:r>
        <w:rPr>
          <w:rFonts w:hint="default" w:ascii="Times New Roman" w:hAnsi="Times New Roman" w:eastAsia="HYSinMyeongJo-Medium" w:cs="Times New Roman"/>
          <w:b/>
          <w:bCs/>
          <w:sz w:val="24"/>
          <w:szCs w:val="24"/>
        </w:rPr>
        <w:t xml:space="preserve">Table </w:t>
      </w:r>
      <w:r>
        <w:rPr>
          <w:rFonts w:hint="default" w:ascii="Times New Roman" w:hAnsi="Times New Roman" w:eastAsia="宋体" w:cs="Times New Roman"/>
          <w:b/>
          <w:bCs/>
          <w:sz w:val="24"/>
          <w:szCs w:val="24"/>
          <w:lang w:val="en-US" w:eastAsia="zh-CN"/>
        </w:rPr>
        <w:t>S</w:t>
      </w:r>
      <w:r>
        <w:rPr>
          <w:rFonts w:hint="eastAsia" w:ascii="Times New Roman" w:hAnsi="Times New Roman" w:eastAsia="宋体" w:cs="Times New Roman"/>
          <w:b/>
          <w:bCs/>
          <w:sz w:val="24"/>
          <w:szCs w:val="24"/>
          <w:lang w:val="en-US" w:eastAsia="zh-CN"/>
        </w:rPr>
        <w:t>13.</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HYSinMyeongJo-Medium" w:cs="Times New Roman"/>
          <w:sz w:val="24"/>
          <w:szCs w:val="24"/>
        </w:rPr>
        <w:t xml:space="preserve">Subgroup meta-analysis for </w:t>
      </w:r>
      <w:r>
        <w:rPr>
          <w:rFonts w:hint="eastAsia" w:ascii="Times New Roman" w:hAnsi="Times New Roman" w:eastAsia="宋体" w:cs="Times New Roman"/>
          <w:sz w:val="24"/>
          <w:szCs w:val="24"/>
          <w:lang w:val="en-US" w:eastAsia="zh-CN"/>
        </w:rPr>
        <w:t>mindfulness</w:t>
      </w:r>
    </w:p>
    <w:tbl>
      <w:tblPr>
        <w:tblStyle w:val="7"/>
        <w:tblW w:w="1088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56"/>
        <w:gridCol w:w="567"/>
        <w:gridCol w:w="2126"/>
        <w:gridCol w:w="850"/>
        <w:gridCol w:w="850"/>
        <w:gridCol w:w="1984"/>
        <w:gridCol w:w="2551"/>
      </w:tblGrid>
      <w:tr w14:paraId="7237F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956" w:type="dxa"/>
            <w:tcBorders>
              <w:top w:val="single" w:color="auto" w:sz="12" w:space="0"/>
              <w:bottom w:val="single" w:color="auto" w:sz="6" w:space="0"/>
            </w:tcBorders>
            <w:vAlign w:val="top"/>
          </w:tcPr>
          <w:p w14:paraId="295E9EEA">
            <w:pPr>
              <w:spacing w:beforeLines="0" w:afterLines="0" w:line="240" w:lineRule="auto"/>
              <w:jc w:val="left"/>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Subgroups</w:t>
            </w:r>
          </w:p>
        </w:tc>
        <w:tc>
          <w:tcPr>
            <w:tcW w:w="567" w:type="dxa"/>
            <w:tcBorders>
              <w:top w:val="single" w:color="auto" w:sz="12" w:space="0"/>
              <w:bottom w:val="single" w:color="auto" w:sz="6" w:space="0"/>
            </w:tcBorders>
            <w:vAlign w:val="top"/>
          </w:tcPr>
          <w:p w14:paraId="0D711A97">
            <w:pPr>
              <w:spacing w:beforeLines="0" w:afterLines="0" w:line="240" w:lineRule="auto"/>
              <w:jc w:val="left"/>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i/>
                <w:iCs/>
                <w:color w:val="auto"/>
                <w:sz w:val="21"/>
                <w:szCs w:val="21"/>
                <w:vertAlign w:val="baseline"/>
                <w:lang w:val="en-US" w:eastAsia="zh-CN"/>
              </w:rPr>
              <w:t>k</w:t>
            </w:r>
          </w:p>
        </w:tc>
        <w:tc>
          <w:tcPr>
            <w:tcW w:w="2126" w:type="dxa"/>
            <w:tcBorders>
              <w:top w:val="single" w:color="auto" w:sz="12" w:space="0"/>
              <w:bottom w:val="single" w:color="auto" w:sz="6" w:space="0"/>
            </w:tcBorders>
            <w:vAlign w:val="top"/>
          </w:tcPr>
          <w:p w14:paraId="5C522632">
            <w:pPr>
              <w:spacing w:beforeLines="0" w:afterLines="0" w:line="240" w:lineRule="auto"/>
              <w:jc w:val="left"/>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 xml:space="preserve">Hedges’ </w:t>
            </w:r>
            <w:r>
              <w:rPr>
                <w:rFonts w:hint="default" w:ascii="Times New Roman" w:hAnsi="Times New Roman" w:eastAsia="宋体" w:cs="Times New Roman"/>
                <w:b/>
                <w:bCs/>
                <w:i/>
                <w:iCs/>
                <w:color w:val="auto"/>
                <w:sz w:val="21"/>
                <w:szCs w:val="21"/>
                <w:vertAlign w:val="baseline"/>
                <w:lang w:val="en-US" w:eastAsia="zh-CN"/>
              </w:rPr>
              <w:t>g</w:t>
            </w:r>
            <w:r>
              <w:rPr>
                <w:rFonts w:hint="default" w:ascii="Times New Roman" w:hAnsi="Times New Roman" w:eastAsia="宋体" w:cs="Times New Roman"/>
                <w:b/>
                <w:bCs/>
                <w:color w:val="auto"/>
                <w:sz w:val="21"/>
                <w:szCs w:val="21"/>
                <w:vertAlign w:val="baseline"/>
                <w:lang w:val="en-US" w:eastAsia="zh-CN"/>
              </w:rPr>
              <w:t xml:space="preserve"> (95% </w:t>
            </w:r>
            <w:r>
              <w:rPr>
                <w:rFonts w:hint="default" w:ascii="Times New Roman" w:hAnsi="Times New Roman" w:eastAsia="宋体" w:cs="Times New Roman"/>
                <w:b/>
                <w:bCs/>
                <w:i/>
                <w:iCs/>
                <w:color w:val="auto"/>
                <w:sz w:val="21"/>
                <w:szCs w:val="21"/>
                <w:vertAlign w:val="baseline"/>
                <w:lang w:val="en-US" w:eastAsia="zh-CN"/>
              </w:rPr>
              <w:t>CI</w:t>
            </w:r>
            <w:r>
              <w:rPr>
                <w:rFonts w:hint="default" w:ascii="Times New Roman" w:hAnsi="Times New Roman" w:eastAsia="宋体" w:cs="Times New Roman"/>
                <w:b/>
                <w:bCs/>
                <w:color w:val="auto"/>
                <w:sz w:val="21"/>
                <w:szCs w:val="21"/>
                <w:vertAlign w:val="baseline"/>
                <w:lang w:val="en-US" w:eastAsia="zh-CN"/>
              </w:rPr>
              <w:t>)</w:t>
            </w:r>
          </w:p>
        </w:tc>
        <w:tc>
          <w:tcPr>
            <w:tcW w:w="850" w:type="dxa"/>
            <w:tcBorders>
              <w:top w:val="single" w:color="auto" w:sz="12" w:space="0"/>
              <w:bottom w:val="single" w:color="auto" w:sz="6" w:space="0"/>
            </w:tcBorders>
            <w:vAlign w:val="top"/>
          </w:tcPr>
          <w:p w14:paraId="0A532533">
            <w:pPr>
              <w:spacing w:beforeLines="0" w:afterLines="0" w:line="240" w:lineRule="auto"/>
              <w:jc w:val="left"/>
              <w:rPr>
                <w:rFonts w:hint="default" w:ascii="Times New Roman" w:hAnsi="Times New Roman" w:eastAsia="宋体" w:cs="Times New Roman"/>
                <w:b/>
                <w:bCs/>
                <w:i/>
                <w:iCs/>
                <w:color w:val="auto"/>
                <w:sz w:val="21"/>
                <w:szCs w:val="21"/>
                <w:vertAlign w:val="baseline"/>
                <w:lang w:val="en-US" w:eastAsia="zh-CN"/>
              </w:rPr>
            </w:pPr>
            <w:r>
              <w:rPr>
                <w:rFonts w:hint="default" w:ascii="Times New Roman" w:hAnsi="Times New Roman" w:cs="Times New Roman"/>
                <w:b/>
                <w:bCs/>
                <w:i/>
                <w:iCs/>
                <w:color w:val="auto"/>
                <w:sz w:val="21"/>
                <w:szCs w:val="21"/>
                <w:highlight w:val="none"/>
                <w:vertAlign w:val="baseline"/>
                <w:lang w:val="en-US" w:eastAsia="zh-CN"/>
              </w:rPr>
              <w:t>I</w:t>
            </w:r>
            <w:r>
              <w:rPr>
                <w:rFonts w:hint="default" w:ascii="Times New Roman" w:hAnsi="Times New Roman" w:cs="Times New Roman"/>
                <w:b/>
                <w:bCs/>
                <w:color w:val="auto"/>
                <w:sz w:val="21"/>
                <w:szCs w:val="21"/>
                <w:highlight w:val="none"/>
                <w:vertAlign w:val="superscript"/>
                <w:lang w:val="en-US" w:eastAsia="zh-CN"/>
              </w:rPr>
              <w:t xml:space="preserve">2 </w:t>
            </w:r>
            <w:r>
              <w:rPr>
                <w:rFonts w:hint="default" w:ascii="Times New Roman" w:hAnsi="Times New Roman" w:cs="Times New Roman"/>
                <w:b/>
                <w:bCs/>
                <w:color w:val="auto"/>
                <w:sz w:val="21"/>
                <w:szCs w:val="21"/>
                <w:highlight w:val="none"/>
                <w:vertAlign w:val="baseline"/>
                <w:lang w:val="en-US" w:eastAsia="zh-CN"/>
              </w:rPr>
              <w:t>(%)</w:t>
            </w:r>
          </w:p>
        </w:tc>
        <w:tc>
          <w:tcPr>
            <w:tcW w:w="850" w:type="dxa"/>
            <w:tcBorders>
              <w:top w:val="single" w:color="auto" w:sz="12" w:space="0"/>
              <w:bottom w:val="single" w:color="auto" w:sz="6" w:space="0"/>
            </w:tcBorders>
            <w:vAlign w:val="top"/>
          </w:tcPr>
          <w:p w14:paraId="1058B9C6">
            <w:pPr>
              <w:spacing w:beforeLines="0" w:afterLines="0" w:line="240" w:lineRule="auto"/>
              <w:jc w:val="left"/>
              <w:rPr>
                <w:rFonts w:hint="default" w:ascii="Times New Roman" w:hAnsi="Times New Roman" w:eastAsia="宋体" w:cs="Times New Roman"/>
                <w:b/>
                <w:bCs/>
                <w:i/>
                <w:iCs/>
                <w:color w:val="auto"/>
                <w:sz w:val="21"/>
                <w:szCs w:val="21"/>
                <w:vertAlign w:val="baseline"/>
                <w:lang w:val="en-US" w:eastAsia="zh-CN"/>
              </w:rPr>
            </w:pPr>
            <w:r>
              <w:rPr>
                <w:rFonts w:hint="default" w:ascii="Times New Roman" w:hAnsi="Times New Roman" w:cs="Times New Roman"/>
                <w:b/>
                <w:bCs/>
                <w:i/>
                <w:iCs/>
                <w:color w:val="auto"/>
                <w:sz w:val="21"/>
                <w:szCs w:val="21"/>
                <w:highlight w:val="none"/>
              </w:rPr>
              <w:t>τ²</w:t>
            </w:r>
          </w:p>
        </w:tc>
        <w:tc>
          <w:tcPr>
            <w:tcW w:w="1984" w:type="dxa"/>
            <w:tcBorders>
              <w:top w:val="single" w:color="auto" w:sz="12" w:space="0"/>
              <w:bottom w:val="single" w:color="auto" w:sz="6" w:space="0"/>
            </w:tcBorders>
            <w:vAlign w:val="top"/>
          </w:tcPr>
          <w:p w14:paraId="74D843FE">
            <w:pPr>
              <w:spacing w:beforeLines="0" w:afterLines="0" w:line="240" w:lineRule="auto"/>
              <w:jc w:val="left"/>
              <w:rPr>
                <w:rFonts w:hint="default" w:ascii="Times New Roman" w:hAnsi="Times New Roman" w:eastAsia="宋体" w:cs="Times New Roman"/>
                <w:b/>
                <w:bCs/>
                <w:i/>
                <w:iCs/>
                <w:color w:val="auto"/>
                <w:sz w:val="21"/>
                <w:szCs w:val="21"/>
                <w:vertAlign w:val="baseline"/>
                <w:lang w:val="en-US" w:eastAsia="zh-CN"/>
              </w:rPr>
            </w:pPr>
            <w:r>
              <w:rPr>
                <w:rFonts w:hint="default" w:ascii="Times New Roman" w:hAnsi="Times New Roman" w:cs="Times New Roman"/>
                <w:b/>
                <w:bCs/>
                <w:i/>
                <w:iCs/>
                <w:color w:val="auto"/>
                <w:sz w:val="21"/>
                <w:szCs w:val="21"/>
                <w:highlight w:val="none"/>
                <w:vertAlign w:val="baseline"/>
                <w:lang w:val="en-US" w:eastAsia="zh-CN"/>
              </w:rPr>
              <w:t>P</w:t>
            </w:r>
            <w:r>
              <w:rPr>
                <w:rFonts w:hint="default" w:ascii="Times New Roman" w:hAnsi="Times New Roman" w:cs="Times New Roman"/>
                <w:b/>
                <w:bCs/>
                <w:color w:val="auto"/>
                <w:sz w:val="21"/>
                <w:szCs w:val="21"/>
                <w:highlight w:val="none"/>
                <w:vertAlign w:val="baseline"/>
                <w:lang w:val="en-US" w:eastAsia="zh-CN"/>
              </w:rPr>
              <w:t xml:space="preserve"> for heterogeneity</w:t>
            </w:r>
          </w:p>
        </w:tc>
        <w:tc>
          <w:tcPr>
            <w:tcW w:w="2551" w:type="dxa"/>
            <w:tcBorders>
              <w:top w:val="single" w:color="auto" w:sz="12" w:space="0"/>
              <w:bottom w:val="single" w:color="auto" w:sz="6" w:space="0"/>
            </w:tcBorders>
            <w:vAlign w:val="top"/>
          </w:tcPr>
          <w:p w14:paraId="0F1BCA90">
            <w:pPr>
              <w:spacing w:beforeLines="0" w:afterLines="0" w:line="240" w:lineRule="auto"/>
              <w:jc w:val="left"/>
              <w:rPr>
                <w:rFonts w:hint="default" w:ascii="Times New Roman" w:hAnsi="Times New Roman" w:cs="Times New Roman"/>
                <w:b/>
                <w:bCs/>
                <w:i/>
                <w:iCs/>
                <w:color w:val="auto"/>
                <w:sz w:val="21"/>
                <w:szCs w:val="21"/>
                <w:highlight w:val="none"/>
                <w:vertAlign w:val="baseline"/>
                <w:lang w:val="en-US" w:eastAsia="zh-CN"/>
              </w:rPr>
            </w:pPr>
            <w:r>
              <w:rPr>
                <w:rFonts w:hint="default" w:ascii="Times New Roman" w:hAnsi="Times New Roman" w:eastAsia="宋体" w:cs="Times New Roman"/>
                <w:b/>
                <w:bCs/>
                <w:i/>
                <w:iCs/>
                <w:color w:val="auto"/>
                <w:sz w:val="21"/>
                <w:szCs w:val="21"/>
                <w:vertAlign w:val="baseline"/>
                <w:lang w:val="en-US" w:eastAsia="zh-CN"/>
              </w:rPr>
              <w:t>P</w:t>
            </w:r>
            <w:r>
              <w:rPr>
                <w:rFonts w:hint="default" w:ascii="Times New Roman" w:hAnsi="Times New Roman" w:eastAsia="宋体" w:cs="Times New Roman"/>
                <w:b/>
                <w:bCs/>
                <w:color w:val="auto"/>
                <w:sz w:val="21"/>
                <w:szCs w:val="21"/>
                <w:vertAlign w:val="baseline"/>
                <w:lang w:val="en-US" w:eastAsia="zh-CN"/>
              </w:rPr>
              <w:t xml:space="preserve"> for subgroup difference</w:t>
            </w:r>
          </w:p>
        </w:tc>
      </w:tr>
      <w:tr w14:paraId="6B220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6" w:hRule="atLeast"/>
          <w:jc w:val="center"/>
        </w:trPr>
        <w:tc>
          <w:tcPr>
            <w:tcW w:w="1956" w:type="dxa"/>
            <w:vAlign w:val="top"/>
          </w:tcPr>
          <w:p w14:paraId="6AC7CB9A">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Overall</w:t>
            </w:r>
          </w:p>
        </w:tc>
        <w:tc>
          <w:tcPr>
            <w:tcW w:w="567" w:type="dxa"/>
            <w:vAlign w:val="top"/>
          </w:tcPr>
          <w:p w14:paraId="4CED26B9">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5</w:t>
            </w:r>
          </w:p>
        </w:tc>
        <w:tc>
          <w:tcPr>
            <w:tcW w:w="2126" w:type="dxa"/>
            <w:vAlign w:val="top"/>
          </w:tcPr>
          <w:p w14:paraId="4E8BDDD2">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0.55 (−0.12, 1.21)</w:t>
            </w:r>
          </w:p>
        </w:tc>
        <w:tc>
          <w:tcPr>
            <w:tcW w:w="850" w:type="dxa"/>
            <w:vAlign w:val="top"/>
          </w:tcPr>
          <w:p w14:paraId="7D0DCF4C">
            <w:pPr>
              <w:spacing w:beforeLines="0" w:afterLines="0" w:line="240" w:lineRule="auto"/>
              <w:jc w:val="left"/>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10.37</w:t>
            </w:r>
          </w:p>
        </w:tc>
        <w:tc>
          <w:tcPr>
            <w:tcW w:w="850" w:type="dxa"/>
            <w:vAlign w:val="top"/>
          </w:tcPr>
          <w:p w14:paraId="3B895B80">
            <w:pPr>
              <w:spacing w:beforeLines="0" w:afterLines="0" w:line="240" w:lineRule="auto"/>
              <w:jc w:val="left"/>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0.023</w:t>
            </w:r>
          </w:p>
        </w:tc>
        <w:tc>
          <w:tcPr>
            <w:tcW w:w="1984" w:type="dxa"/>
            <w:vAlign w:val="top"/>
          </w:tcPr>
          <w:p w14:paraId="45FA854B">
            <w:pPr>
              <w:spacing w:beforeLines="0" w:afterLines="0" w:line="240" w:lineRule="auto"/>
              <w:jc w:val="left"/>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0.220</w:t>
            </w:r>
          </w:p>
        </w:tc>
        <w:tc>
          <w:tcPr>
            <w:tcW w:w="2551" w:type="dxa"/>
            <w:vAlign w:val="top"/>
          </w:tcPr>
          <w:p w14:paraId="3550EFE1">
            <w:pPr>
              <w:spacing w:beforeLines="0" w:afterLines="0" w:line="240" w:lineRule="auto"/>
              <w:jc w:val="left"/>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r>
      <w:tr w14:paraId="2623D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1956" w:type="dxa"/>
            <w:vAlign w:val="top"/>
          </w:tcPr>
          <w:p w14:paraId="5FC7FD87">
            <w:pPr>
              <w:spacing w:beforeLines="0" w:afterLines="0" w:line="240" w:lineRule="auto"/>
              <w:jc w:val="left"/>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Comparator type</w:t>
            </w:r>
          </w:p>
          <w:p w14:paraId="28610C39">
            <w:pPr>
              <w:spacing w:beforeLines="0" w:afterLines="0" w:line="240" w:lineRule="auto"/>
              <w:ind w:firstLine="210" w:firstLineChars="100"/>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Active</w:t>
            </w:r>
          </w:p>
          <w:p w14:paraId="437B9C70">
            <w:pPr>
              <w:spacing w:beforeLines="0" w:afterLines="0" w:line="240" w:lineRule="auto"/>
              <w:ind w:firstLine="210" w:firstLineChars="100"/>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Nonactive</w:t>
            </w:r>
          </w:p>
        </w:tc>
        <w:tc>
          <w:tcPr>
            <w:tcW w:w="567" w:type="dxa"/>
            <w:vAlign w:val="top"/>
          </w:tcPr>
          <w:p w14:paraId="58064D9C">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p>
          <w:p w14:paraId="5BEA1D7D">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2</w:t>
            </w:r>
          </w:p>
          <w:p w14:paraId="1ECCFA26">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3</w:t>
            </w:r>
          </w:p>
        </w:tc>
        <w:tc>
          <w:tcPr>
            <w:tcW w:w="2126" w:type="dxa"/>
            <w:vAlign w:val="top"/>
          </w:tcPr>
          <w:p w14:paraId="751A9CC5">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p>
          <w:p w14:paraId="4DD0F58D">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0.23 (−1.46, 1.92)</w:t>
            </w:r>
          </w:p>
          <w:p w14:paraId="369ADC1B">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0.84 (−0.78, 2.46)</w:t>
            </w:r>
          </w:p>
        </w:tc>
        <w:tc>
          <w:tcPr>
            <w:tcW w:w="850" w:type="dxa"/>
            <w:vAlign w:val="top"/>
          </w:tcPr>
          <w:p w14:paraId="55ECDF98">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p>
          <w:p w14:paraId="10C7B9A5">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0.00</w:t>
            </w:r>
          </w:p>
          <w:p w14:paraId="07803D55">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32.75</w:t>
            </w:r>
          </w:p>
        </w:tc>
        <w:tc>
          <w:tcPr>
            <w:tcW w:w="850" w:type="dxa"/>
            <w:vAlign w:val="top"/>
          </w:tcPr>
          <w:p w14:paraId="3FF7D3CD">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p>
          <w:p w14:paraId="2FB4AEAE">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0.000</w:t>
            </w:r>
          </w:p>
          <w:p w14:paraId="187CF670">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0.115</w:t>
            </w:r>
          </w:p>
        </w:tc>
        <w:tc>
          <w:tcPr>
            <w:tcW w:w="1984" w:type="dxa"/>
            <w:vAlign w:val="top"/>
          </w:tcPr>
          <w:p w14:paraId="20F2A492">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p>
          <w:p w14:paraId="07A8FC5C">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0.646</w:t>
            </w:r>
          </w:p>
          <w:p w14:paraId="0BE24452">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0.187</w:t>
            </w:r>
          </w:p>
        </w:tc>
        <w:tc>
          <w:tcPr>
            <w:tcW w:w="2551" w:type="dxa"/>
            <w:vAlign w:val="top"/>
          </w:tcPr>
          <w:p w14:paraId="0214DDAF">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0.169</w:t>
            </w:r>
          </w:p>
          <w:p w14:paraId="0625CF4A">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p>
        </w:tc>
      </w:tr>
      <w:tr w14:paraId="10F50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jc w:val="center"/>
        </w:trPr>
        <w:tc>
          <w:tcPr>
            <w:tcW w:w="1956" w:type="dxa"/>
            <w:tcBorders>
              <w:bottom w:val="single" w:color="auto" w:sz="12" w:space="0"/>
            </w:tcBorders>
            <w:vAlign w:val="top"/>
          </w:tcPr>
          <w:p w14:paraId="0F36AC1B">
            <w:pPr>
              <w:spacing w:beforeLines="0" w:afterLines="0" w:line="240" w:lineRule="auto"/>
              <w:jc w:val="left"/>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Time-matched</w:t>
            </w:r>
          </w:p>
          <w:p w14:paraId="5299AA3F">
            <w:pPr>
              <w:spacing w:beforeLines="0" w:afterLines="0" w:line="240" w:lineRule="auto"/>
              <w:ind w:firstLine="210" w:firstLineChars="100"/>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Yes</w:t>
            </w:r>
          </w:p>
          <w:p w14:paraId="050C690E">
            <w:pPr>
              <w:spacing w:beforeLines="0" w:afterLines="0" w:line="240" w:lineRule="auto"/>
              <w:ind w:firstLine="210" w:firstLineChars="100"/>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No</w:t>
            </w:r>
          </w:p>
        </w:tc>
        <w:tc>
          <w:tcPr>
            <w:tcW w:w="567" w:type="dxa"/>
            <w:tcBorders>
              <w:bottom w:val="single" w:color="auto" w:sz="12" w:space="0"/>
            </w:tcBorders>
            <w:vAlign w:val="top"/>
          </w:tcPr>
          <w:p w14:paraId="50E2A948">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p>
          <w:p w14:paraId="38610670">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1</w:t>
            </w:r>
          </w:p>
          <w:p w14:paraId="0E0DC691">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4</w:t>
            </w:r>
          </w:p>
        </w:tc>
        <w:tc>
          <w:tcPr>
            <w:tcW w:w="2126" w:type="dxa"/>
            <w:tcBorders>
              <w:bottom w:val="single" w:color="auto" w:sz="12" w:space="0"/>
            </w:tcBorders>
            <w:vAlign w:val="top"/>
          </w:tcPr>
          <w:p w14:paraId="530AEA4D">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p>
          <w:p w14:paraId="35E08B05">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0.09 (−0.75, 0.92)</w:t>
            </w:r>
          </w:p>
          <w:p w14:paraId="3EC7A910">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0.67 (−0.18, 1.51)</w:t>
            </w:r>
          </w:p>
        </w:tc>
        <w:tc>
          <w:tcPr>
            <w:tcW w:w="850" w:type="dxa"/>
            <w:tcBorders>
              <w:bottom w:val="single" w:color="auto" w:sz="12" w:space="0"/>
            </w:tcBorders>
            <w:vAlign w:val="top"/>
          </w:tcPr>
          <w:p w14:paraId="2644FB0E">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p>
          <w:p w14:paraId="1FCAA09E">
            <w:pPr>
              <w:spacing w:beforeLines="0" w:afterLines="0" w:line="240" w:lineRule="auto"/>
              <w:jc w:val="left"/>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p w14:paraId="14FBF06F">
            <w:pPr>
              <w:spacing w:beforeLines="0" w:afterLines="0" w:line="240" w:lineRule="auto"/>
              <w:jc w:val="left"/>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5.55</w:t>
            </w:r>
          </w:p>
        </w:tc>
        <w:tc>
          <w:tcPr>
            <w:tcW w:w="850" w:type="dxa"/>
            <w:tcBorders>
              <w:bottom w:val="single" w:color="auto" w:sz="12" w:space="0"/>
            </w:tcBorders>
            <w:vAlign w:val="top"/>
          </w:tcPr>
          <w:p w14:paraId="742E2003">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p>
          <w:p w14:paraId="614208AF">
            <w:pPr>
              <w:spacing w:beforeLines="0" w:afterLines="0" w:line="240" w:lineRule="auto"/>
              <w:jc w:val="left"/>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p w14:paraId="34046D22">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0.012</w:t>
            </w:r>
          </w:p>
        </w:tc>
        <w:tc>
          <w:tcPr>
            <w:tcW w:w="1984" w:type="dxa"/>
            <w:tcBorders>
              <w:bottom w:val="single" w:color="auto" w:sz="12" w:space="0"/>
            </w:tcBorders>
            <w:vAlign w:val="top"/>
          </w:tcPr>
          <w:p w14:paraId="0BD41ECA">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p>
          <w:p w14:paraId="60B0475D">
            <w:pPr>
              <w:spacing w:beforeLines="0" w:afterLines="0" w:line="240" w:lineRule="auto"/>
              <w:jc w:val="left"/>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p w14:paraId="7458009B">
            <w:pPr>
              <w:spacing w:beforeLines="0" w:afterLines="0" w:line="240" w:lineRule="auto"/>
              <w:jc w:val="left"/>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0.235</w:t>
            </w:r>
          </w:p>
        </w:tc>
        <w:tc>
          <w:tcPr>
            <w:tcW w:w="2551" w:type="dxa"/>
            <w:tcBorders>
              <w:bottom w:val="single" w:color="auto" w:sz="12" w:space="0"/>
            </w:tcBorders>
            <w:vAlign w:val="top"/>
          </w:tcPr>
          <w:p w14:paraId="117DE09B">
            <w:pPr>
              <w:spacing w:beforeLines="0" w:afterLines="0" w:line="240" w:lineRule="auto"/>
              <w:jc w:val="left"/>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0.225</w:t>
            </w:r>
          </w:p>
        </w:tc>
      </w:tr>
    </w:tbl>
    <w:p w14:paraId="752D37D2">
      <w:pPr>
        <w:spacing w:line="360" w:lineRule="auto"/>
        <w:rPr>
          <w:rFonts w:hint="default" w:ascii="Times New Roman" w:hAnsi="Times New Roman" w:eastAsia="宋体" w:cs="Times New Roman"/>
          <w:b w:val="0"/>
          <w:bCs w:val="0"/>
          <w:sz w:val="24"/>
          <w:szCs w:val="24"/>
          <w:lang w:val="en-US" w:eastAsia="zh-CN"/>
        </w:rPr>
      </w:pPr>
      <w:r>
        <w:rPr>
          <w:rFonts w:hint="eastAsia" w:cs="Times New Roman"/>
          <w:b w:val="0"/>
          <w:bCs w:val="0"/>
          <w:i/>
          <w:iCs/>
          <w:color w:val="auto"/>
          <w:sz w:val="24"/>
          <w:szCs w:val="24"/>
          <w:lang w:val="en-US" w:eastAsia="zh-CN"/>
        </w:rPr>
        <w:t>Note:</w:t>
      </w:r>
      <w:r>
        <w:rPr>
          <w:rFonts w:hint="eastAsia" w:cs="Times New Roman"/>
          <w:b w:val="0"/>
          <w:bCs w:val="0"/>
          <w:color w:val="auto"/>
          <w:sz w:val="24"/>
          <w:szCs w:val="24"/>
          <w:lang w:val="en-US" w:eastAsia="zh-CN"/>
        </w:rPr>
        <w:t xml:space="preserve"> </w:t>
      </w:r>
      <w:r>
        <w:rPr>
          <w:rFonts w:hint="eastAsia" w:ascii="Times New Roman" w:hAnsi="Times New Roman" w:eastAsia="宋体" w:cs="Times New Roman"/>
          <w:b w:val="0"/>
          <w:bCs w:val="0"/>
          <w:sz w:val="24"/>
          <w:szCs w:val="24"/>
          <w:lang w:val="en-US" w:eastAsia="zh-CN"/>
        </w:rPr>
        <w:t xml:space="preserve">No multiplicity correction was applied to subgroup interaction tests. All subgroup analyses were exploratory, and nominal </w:t>
      </w:r>
      <w:r>
        <w:rPr>
          <w:rFonts w:hint="eastAsia" w:ascii="Times New Roman" w:hAnsi="Times New Roman" w:eastAsia="宋体" w:cs="Times New Roman"/>
          <w:b w:val="0"/>
          <w:bCs w:val="0"/>
          <w:i/>
          <w:iCs/>
          <w:sz w:val="24"/>
          <w:szCs w:val="24"/>
          <w:lang w:val="en-US" w:eastAsia="zh-CN"/>
        </w:rPr>
        <w:t>P</w:t>
      </w:r>
      <w:r>
        <w:rPr>
          <w:rFonts w:hint="eastAsia" w:ascii="Times New Roman" w:hAnsi="Times New Roman" w:eastAsia="宋体" w:cs="Times New Roman"/>
          <w:b w:val="0"/>
          <w:bCs w:val="0"/>
          <w:sz w:val="24"/>
          <w:szCs w:val="24"/>
          <w:lang w:val="en-US" w:eastAsia="zh-CN"/>
        </w:rPr>
        <w:t xml:space="preserve"> values &lt;0.05 should be interpreted as hypothesis-generating rather than as confirmatory evidence of effect modification.</w:t>
      </w:r>
    </w:p>
    <w:p w14:paraId="4B7902B8">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cs="Times New Roman"/>
          <w:b w:val="0"/>
          <w:bCs w:val="0"/>
          <w:color w:val="auto"/>
          <w:sz w:val="24"/>
          <w:szCs w:val="24"/>
          <w:lang w:val="en-US"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2FA638F4">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eastAsia" w:ascii="Times New Roman" w:hAnsi="Times New Roman" w:eastAsia="仿宋" w:cs="Times New Roman"/>
          <w:b w:val="0"/>
          <w:bCs w:val="0"/>
          <w:i w:val="0"/>
          <w:iCs w:val="0"/>
          <w:caps w:val="0"/>
          <w:color w:val="auto"/>
          <w:spacing w:val="0"/>
          <w:kern w:val="0"/>
          <w:sz w:val="24"/>
          <w:szCs w:val="24"/>
          <w:shd w:val="clear"/>
          <w:lang w:val="en-US" w:eastAsia="zh-CN" w:bidi="ar"/>
        </w:rPr>
      </w:pPr>
      <w:r>
        <w:rPr>
          <w:rFonts w:hint="eastAsia" w:ascii="Times New Roman" w:hAnsi="Times New Roman" w:eastAsia="仿宋" w:cs="Times New Roman"/>
          <w:b/>
          <w:bCs/>
          <w:i w:val="0"/>
          <w:iCs w:val="0"/>
          <w:caps w:val="0"/>
          <w:color w:val="auto"/>
          <w:spacing w:val="0"/>
          <w:kern w:val="0"/>
          <w:sz w:val="24"/>
          <w:szCs w:val="24"/>
          <w:shd w:val="clear"/>
          <w:lang w:val="en-US" w:eastAsia="zh-CN" w:bidi="ar"/>
        </w:rPr>
        <w:t>Table S</w:t>
      </w:r>
      <w:r>
        <w:rPr>
          <w:rFonts w:hint="eastAsia" w:eastAsia="仿宋" w:cs="Times New Roman"/>
          <w:b/>
          <w:bCs/>
          <w:i w:val="0"/>
          <w:iCs w:val="0"/>
          <w:caps w:val="0"/>
          <w:color w:val="auto"/>
          <w:spacing w:val="0"/>
          <w:kern w:val="0"/>
          <w:sz w:val="24"/>
          <w:szCs w:val="24"/>
          <w:shd w:val="clear"/>
          <w:lang w:val="en-US" w:eastAsia="zh-CN" w:bidi="ar"/>
        </w:rPr>
        <w:t>14</w:t>
      </w:r>
      <w:r>
        <w:rPr>
          <w:rFonts w:hint="eastAsia" w:ascii="Times New Roman" w:hAnsi="Times New Roman" w:eastAsia="仿宋" w:cs="Times New Roman"/>
          <w:b/>
          <w:bCs/>
          <w:i w:val="0"/>
          <w:iCs w:val="0"/>
          <w:caps w:val="0"/>
          <w:color w:val="auto"/>
          <w:spacing w:val="0"/>
          <w:kern w:val="0"/>
          <w:sz w:val="24"/>
          <w:szCs w:val="24"/>
          <w:shd w:val="clear"/>
          <w:lang w:val="en-US" w:eastAsia="zh-CN" w:bidi="ar"/>
        </w:rPr>
        <w:t>.</w:t>
      </w:r>
      <w:r>
        <w:rPr>
          <w:rFonts w:hint="eastAsia" w:ascii="Times New Roman" w:hAnsi="Times New Roman" w:eastAsia="仿宋" w:cs="Times New Roman"/>
          <w:b w:val="0"/>
          <w:bCs w:val="0"/>
          <w:i w:val="0"/>
          <w:iCs w:val="0"/>
          <w:caps w:val="0"/>
          <w:color w:val="auto"/>
          <w:spacing w:val="0"/>
          <w:kern w:val="0"/>
          <w:sz w:val="24"/>
          <w:szCs w:val="24"/>
          <w:shd w:val="clear"/>
          <w:lang w:val="en-US" w:eastAsia="zh-CN" w:bidi="ar"/>
        </w:rPr>
        <w:t xml:space="preserve"> Summary of primary and sensitivity analyses for pooled outcomes</w:t>
      </w:r>
    </w:p>
    <w:p w14:paraId="72DA2EE5">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default" w:ascii="Times New Roman" w:hAnsi="Times New Roman" w:eastAsia="仿宋" w:cs="Times New Roman"/>
          <w:b w:val="0"/>
          <w:bCs w:val="0"/>
          <w:i w:val="0"/>
          <w:iCs w:val="0"/>
          <w:caps w:val="0"/>
          <w:color w:val="auto"/>
          <w:spacing w:val="0"/>
          <w:kern w:val="0"/>
          <w:sz w:val="24"/>
          <w:szCs w:val="24"/>
          <w:shd w:val="clear"/>
          <w:lang w:val="en-US" w:eastAsia="zh-CN" w:bidi="ar"/>
        </w:rPr>
      </w:pPr>
      <w:r>
        <w:rPr>
          <w:rFonts w:hint="default" w:ascii="Times New Roman" w:hAnsi="Times New Roman" w:eastAsia="仿宋" w:cs="Times New Roman"/>
          <w:b/>
          <w:bCs/>
          <w:i w:val="0"/>
          <w:iCs w:val="0"/>
          <w:caps w:val="0"/>
          <w:color w:val="auto"/>
          <w:spacing w:val="0"/>
          <w:kern w:val="0"/>
          <w:sz w:val="24"/>
          <w:szCs w:val="24"/>
          <w:shd w:val="clear"/>
          <w:lang w:val="en-US" w:eastAsia="zh-CN" w:bidi="ar"/>
        </w:rPr>
        <w:t>A.</w:t>
      </w:r>
      <w:r>
        <w:rPr>
          <w:rFonts w:hint="eastAsia" w:eastAsia="仿宋" w:cs="Times New Roman"/>
          <w:b w:val="0"/>
          <w:bCs w:val="0"/>
          <w:i w:val="0"/>
          <w:iCs w:val="0"/>
          <w:caps w:val="0"/>
          <w:color w:val="auto"/>
          <w:spacing w:val="0"/>
          <w:kern w:val="0"/>
          <w:sz w:val="24"/>
          <w:szCs w:val="24"/>
          <w:shd w:val="clear"/>
          <w:lang w:val="en-US" w:eastAsia="zh-CN" w:bidi="ar"/>
        </w:rPr>
        <w:t xml:space="preserve"> Primary and sensitivity analyses</w:t>
      </w:r>
    </w:p>
    <w:tbl>
      <w:tblPr>
        <w:tblStyle w:val="7"/>
        <w:tblW w:w="1545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559"/>
        <w:gridCol w:w="4252"/>
        <w:gridCol w:w="567"/>
        <w:gridCol w:w="2268"/>
        <w:gridCol w:w="2268"/>
        <w:gridCol w:w="1134"/>
        <w:gridCol w:w="1134"/>
        <w:gridCol w:w="2268"/>
      </w:tblGrid>
      <w:tr w14:paraId="5A4F8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blHeader/>
          <w:jc w:val="center"/>
        </w:trPr>
        <w:tc>
          <w:tcPr>
            <w:tcW w:w="1559" w:type="dxa"/>
            <w:tcBorders>
              <w:top w:val="single" w:color="auto" w:sz="12" w:space="0"/>
              <w:bottom w:val="single" w:color="auto" w:sz="6" w:space="0"/>
            </w:tcBorders>
            <w:vAlign w:val="top"/>
          </w:tcPr>
          <w:p w14:paraId="080E2FEE">
            <w:pPr>
              <w:jc w:val="both"/>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Outcome</w:t>
            </w:r>
          </w:p>
        </w:tc>
        <w:tc>
          <w:tcPr>
            <w:tcW w:w="4252" w:type="dxa"/>
            <w:tcBorders>
              <w:top w:val="single" w:color="auto" w:sz="12" w:space="0"/>
              <w:bottom w:val="single" w:color="auto" w:sz="6" w:space="0"/>
            </w:tcBorders>
            <w:vAlign w:val="top"/>
          </w:tcPr>
          <w:p w14:paraId="72DC27C6">
            <w:pPr>
              <w:keepNext w:val="0"/>
              <w:keepLines w:val="0"/>
              <w:widowControl/>
              <w:suppressLineNumbers w:val="0"/>
              <w:jc w:val="both"/>
              <w:textAlignment w:val="center"/>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i w:val="0"/>
                <w:iCs w:val="0"/>
                <w:color w:val="auto"/>
                <w:kern w:val="0"/>
                <w:sz w:val="21"/>
                <w:szCs w:val="21"/>
                <w:u w:val="none"/>
                <w:lang w:val="en-US" w:eastAsia="zh-CN" w:bidi="ar"/>
              </w:rPr>
              <w:t>Analysis</w:t>
            </w:r>
          </w:p>
        </w:tc>
        <w:tc>
          <w:tcPr>
            <w:tcW w:w="567" w:type="dxa"/>
            <w:tcBorders>
              <w:top w:val="single" w:color="auto" w:sz="12" w:space="0"/>
              <w:bottom w:val="single" w:color="auto" w:sz="6" w:space="0"/>
            </w:tcBorders>
            <w:vAlign w:val="top"/>
          </w:tcPr>
          <w:p w14:paraId="45D0C808">
            <w:pPr>
              <w:keepNext w:val="0"/>
              <w:keepLines w:val="0"/>
              <w:widowControl/>
              <w:suppressLineNumbers w:val="0"/>
              <w:jc w:val="both"/>
              <w:textAlignment w:val="center"/>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i/>
                <w:iCs/>
                <w:color w:val="auto"/>
                <w:kern w:val="0"/>
                <w:sz w:val="21"/>
                <w:szCs w:val="21"/>
                <w:u w:val="none"/>
                <w:lang w:val="en-US" w:eastAsia="zh-CN" w:bidi="ar"/>
              </w:rPr>
              <w:t>k</w:t>
            </w:r>
          </w:p>
        </w:tc>
        <w:tc>
          <w:tcPr>
            <w:tcW w:w="2268" w:type="dxa"/>
            <w:tcBorders>
              <w:top w:val="single" w:color="auto" w:sz="12" w:space="0"/>
              <w:bottom w:val="single" w:color="auto" w:sz="6" w:space="0"/>
            </w:tcBorders>
            <w:vAlign w:val="top"/>
          </w:tcPr>
          <w:p w14:paraId="23EB1243">
            <w:pPr>
              <w:keepNext w:val="0"/>
              <w:keepLines w:val="0"/>
              <w:widowControl/>
              <w:suppressLineNumbers w:val="0"/>
              <w:jc w:val="both"/>
              <w:textAlignment w:val="center"/>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i w:val="0"/>
                <w:iCs w:val="0"/>
                <w:color w:val="auto"/>
                <w:kern w:val="0"/>
                <w:sz w:val="21"/>
                <w:szCs w:val="21"/>
                <w:u w:val="none"/>
                <w:lang w:val="en-US" w:eastAsia="zh-CN" w:bidi="ar"/>
              </w:rPr>
              <w:t xml:space="preserve">Hedges’ </w:t>
            </w:r>
            <w:r>
              <w:rPr>
                <w:rFonts w:hint="default" w:ascii="Times New Roman" w:hAnsi="Times New Roman" w:eastAsia="宋体" w:cs="Times New Roman"/>
                <w:b/>
                <w:bCs/>
                <w:i/>
                <w:iCs/>
                <w:color w:val="auto"/>
                <w:kern w:val="0"/>
                <w:sz w:val="21"/>
                <w:szCs w:val="21"/>
                <w:u w:val="none"/>
                <w:lang w:val="en-US" w:eastAsia="zh-CN" w:bidi="ar"/>
              </w:rPr>
              <w:t>g</w:t>
            </w:r>
            <w:r>
              <w:rPr>
                <w:rFonts w:hint="default" w:ascii="Times New Roman" w:hAnsi="Times New Roman" w:eastAsia="宋体" w:cs="Times New Roman"/>
                <w:b/>
                <w:bCs/>
                <w:i w:val="0"/>
                <w:iCs w:val="0"/>
                <w:color w:val="auto"/>
                <w:kern w:val="0"/>
                <w:sz w:val="21"/>
                <w:szCs w:val="21"/>
                <w:u w:val="none"/>
                <w:lang w:val="en-US" w:eastAsia="zh-CN" w:bidi="ar"/>
              </w:rPr>
              <w:t xml:space="preserve"> (95% </w:t>
            </w:r>
            <w:r>
              <w:rPr>
                <w:rFonts w:hint="default" w:ascii="Times New Roman" w:hAnsi="Times New Roman" w:eastAsia="宋体" w:cs="Times New Roman"/>
                <w:b/>
                <w:bCs/>
                <w:i/>
                <w:iCs/>
                <w:color w:val="auto"/>
                <w:kern w:val="0"/>
                <w:sz w:val="21"/>
                <w:szCs w:val="21"/>
                <w:u w:val="none"/>
                <w:lang w:val="en-US" w:eastAsia="zh-CN" w:bidi="ar"/>
              </w:rPr>
              <w:t>CI</w:t>
            </w:r>
            <w:r>
              <w:rPr>
                <w:rFonts w:hint="default" w:ascii="Times New Roman" w:hAnsi="Times New Roman" w:eastAsia="宋体" w:cs="Times New Roman"/>
                <w:b/>
                <w:bCs/>
                <w:i w:val="0"/>
                <w:iCs w:val="0"/>
                <w:color w:val="auto"/>
                <w:kern w:val="0"/>
                <w:sz w:val="21"/>
                <w:szCs w:val="21"/>
                <w:u w:val="none"/>
                <w:lang w:val="en-US" w:eastAsia="zh-CN" w:bidi="ar"/>
              </w:rPr>
              <w:t>)</w:t>
            </w:r>
          </w:p>
        </w:tc>
        <w:tc>
          <w:tcPr>
            <w:tcW w:w="2268" w:type="dxa"/>
            <w:tcBorders>
              <w:top w:val="single" w:color="auto" w:sz="12" w:space="0"/>
              <w:bottom w:val="single" w:color="auto" w:sz="6" w:space="0"/>
            </w:tcBorders>
            <w:vAlign w:val="top"/>
          </w:tcPr>
          <w:p w14:paraId="37CA8C18">
            <w:pPr>
              <w:keepNext w:val="0"/>
              <w:keepLines w:val="0"/>
              <w:widowControl/>
              <w:suppressLineNumbers w:val="0"/>
              <w:jc w:val="both"/>
              <w:textAlignment w:val="center"/>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i/>
                <w:iCs/>
                <w:color w:val="auto"/>
                <w:kern w:val="0"/>
                <w:sz w:val="21"/>
                <w:szCs w:val="21"/>
                <w:u w:val="none"/>
                <w:lang w:val="en-US" w:eastAsia="zh-CN" w:bidi="ar"/>
              </w:rPr>
              <w:t>P</w:t>
            </w:r>
            <w:r>
              <w:rPr>
                <w:rFonts w:hint="default" w:ascii="Times New Roman" w:hAnsi="Times New Roman" w:eastAsia="宋体" w:cs="Times New Roman"/>
                <w:b/>
                <w:bCs/>
                <w:i w:val="0"/>
                <w:iCs w:val="0"/>
                <w:color w:val="auto"/>
                <w:kern w:val="0"/>
                <w:sz w:val="21"/>
                <w:szCs w:val="21"/>
                <w:u w:val="none"/>
                <w:lang w:val="en-US" w:eastAsia="zh-CN" w:bidi="ar"/>
              </w:rPr>
              <w:t xml:space="preserve"> for effect</w:t>
            </w:r>
          </w:p>
        </w:tc>
        <w:tc>
          <w:tcPr>
            <w:tcW w:w="1134" w:type="dxa"/>
            <w:tcBorders>
              <w:top w:val="single" w:color="auto" w:sz="12" w:space="0"/>
              <w:bottom w:val="single" w:color="auto" w:sz="6" w:space="0"/>
            </w:tcBorders>
            <w:vAlign w:val="top"/>
          </w:tcPr>
          <w:p w14:paraId="616D0A87">
            <w:pPr>
              <w:keepNext w:val="0"/>
              <w:keepLines w:val="0"/>
              <w:widowControl/>
              <w:suppressLineNumbers w:val="0"/>
              <w:jc w:val="both"/>
              <w:textAlignment w:val="center"/>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i w:val="0"/>
                <w:iCs w:val="0"/>
                <w:color w:val="auto"/>
                <w:kern w:val="0"/>
                <w:sz w:val="21"/>
                <w:szCs w:val="21"/>
                <w:u w:val="none"/>
                <w:lang w:val="en-US" w:eastAsia="zh-CN" w:bidi="ar"/>
              </w:rPr>
              <w:t>τ²</w:t>
            </w:r>
          </w:p>
        </w:tc>
        <w:tc>
          <w:tcPr>
            <w:tcW w:w="1134" w:type="dxa"/>
            <w:tcBorders>
              <w:top w:val="single" w:color="auto" w:sz="12" w:space="0"/>
              <w:bottom w:val="single" w:color="auto" w:sz="6" w:space="0"/>
            </w:tcBorders>
            <w:vAlign w:val="top"/>
          </w:tcPr>
          <w:p w14:paraId="01F7874D">
            <w:pPr>
              <w:keepNext w:val="0"/>
              <w:keepLines w:val="0"/>
              <w:widowControl/>
              <w:suppressLineNumbers w:val="0"/>
              <w:jc w:val="both"/>
              <w:textAlignment w:val="center"/>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i/>
                <w:iCs/>
                <w:color w:val="auto"/>
                <w:kern w:val="0"/>
                <w:sz w:val="21"/>
                <w:szCs w:val="21"/>
                <w:u w:val="none"/>
                <w:lang w:val="en-US" w:eastAsia="zh-CN" w:bidi="ar"/>
              </w:rPr>
              <w:t>I</w:t>
            </w:r>
            <w:r>
              <w:rPr>
                <w:rFonts w:hint="default" w:ascii="Times New Roman" w:hAnsi="Times New Roman" w:eastAsia="宋体" w:cs="Times New Roman"/>
                <w:b/>
                <w:bCs/>
                <w:i w:val="0"/>
                <w:iCs w:val="0"/>
                <w:color w:val="auto"/>
                <w:kern w:val="0"/>
                <w:sz w:val="21"/>
                <w:szCs w:val="21"/>
                <w:u w:val="none"/>
                <w:vertAlign w:val="superscript"/>
                <w:lang w:val="en-US" w:eastAsia="zh-CN" w:bidi="ar"/>
              </w:rPr>
              <w:t>2</w:t>
            </w:r>
            <w:r>
              <w:rPr>
                <w:rFonts w:hint="default" w:ascii="Times New Roman" w:hAnsi="Times New Roman" w:eastAsia="宋体" w:cs="Times New Roman"/>
                <w:b/>
                <w:bCs/>
                <w:i w:val="0"/>
                <w:iCs w:val="0"/>
                <w:color w:val="auto"/>
                <w:kern w:val="0"/>
                <w:sz w:val="21"/>
                <w:szCs w:val="21"/>
                <w:u w:val="none"/>
                <w:lang w:val="en-US" w:eastAsia="zh-CN" w:bidi="ar"/>
              </w:rPr>
              <w:t xml:space="preserve"> (%)</w:t>
            </w:r>
          </w:p>
        </w:tc>
        <w:tc>
          <w:tcPr>
            <w:tcW w:w="2268" w:type="dxa"/>
            <w:tcBorders>
              <w:top w:val="single" w:color="auto" w:sz="12" w:space="0"/>
              <w:bottom w:val="single" w:color="auto" w:sz="6" w:space="0"/>
            </w:tcBorders>
            <w:vAlign w:val="top"/>
          </w:tcPr>
          <w:p w14:paraId="484B4F07">
            <w:pPr>
              <w:keepNext w:val="0"/>
              <w:keepLines w:val="0"/>
              <w:widowControl/>
              <w:suppressLineNumbers w:val="0"/>
              <w:jc w:val="both"/>
              <w:textAlignment w:val="center"/>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i/>
                <w:iCs/>
                <w:color w:val="auto"/>
                <w:kern w:val="0"/>
                <w:sz w:val="21"/>
                <w:szCs w:val="21"/>
                <w:u w:val="none"/>
                <w:lang w:val="en-US" w:eastAsia="zh-CN" w:bidi="ar"/>
              </w:rPr>
              <w:t>P</w:t>
            </w:r>
            <w:r>
              <w:rPr>
                <w:rFonts w:hint="default" w:ascii="Times New Roman" w:hAnsi="Times New Roman" w:eastAsia="宋体" w:cs="Times New Roman"/>
                <w:b/>
                <w:bCs/>
                <w:i w:val="0"/>
                <w:iCs w:val="0"/>
                <w:color w:val="auto"/>
                <w:kern w:val="0"/>
                <w:sz w:val="21"/>
                <w:szCs w:val="21"/>
                <w:u w:val="none"/>
                <w:lang w:val="en-US" w:eastAsia="zh-CN" w:bidi="ar"/>
              </w:rPr>
              <w:t xml:space="preserve"> for heterogeneity</w:t>
            </w:r>
          </w:p>
        </w:tc>
      </w:tr>
      <w:tr w14:paraId="1CDD4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tcBorders>
              <w:top w:val="single" w:color="auto" w:sz="6" w:space="0"/>
            </w:tcBorders>
            <w:vAlign w:val="top"/>
          </w:tcPr>
          <w:p w14:paraId="5BE8ACA8">
            <w:pPr>
              <w:jc w:val="both"/>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Anxiety</w:t>
            </w:r>
          </w:p>
        </w:tc>
        <w:tc>
          <w:tcPr>
            <w:tcW w:w="4252" w:type="dxa"/>
            <w:tcBorders>
              <w:top w:val="single" w:color="auto" w:sz="6" w:space="0"/>
            </w:tcBorders>
            <w:vAlign w:val="top"/>
          </w:tcPr>
          <w:p w14:paraId="2EB805E6">
            <w:pPr>
              <w:keepNext w:val="0"/>
              <w:keepLines w:val="0"/>
              <w:widowControl/>
              <w:suppressLineNumbers w:val="0"/>
              <w:jc w:val="both"/>
              <w:textAlignment w:val="center"/>
              <w:rPr>
                <w:rFonts w:hint="default" w:ascii="Times New Roman" w:hAnsi="Times New Roman" w:eastAsia="宋体" w:cs="Times New Roman"/>
                <w:color w:val="auto"/>
                <w:kern w:val="0"/>
                <w:sz w:val="21"/>
                <w:szCs w:val="21"/>
                <w:u w:val="none"/>
                <w:lang w:bidi="ar"/>
              </w:rPr>
            </w:pPr>
            <w:r>
              <w:rPr>
                <w:rFonts w:hint="default" w:ascii="Times New Roman" w:hAnsi="Times New Roman" w:eastAsia="宋体" w:cs="Times New Roman"/>
                <w:color w:val="auto"/>
                <w:kern w:val="0"/>
                <w:sz w:val="21"/>
                <w:szCs w:val="21"/>
                <w:u w:val="none"/>
                <w:lang w:bidi="ar"/>
              </w:rPr>
              <w:t>Primary REML+Knapp–Hartung analysis</w:t>
            </w:r>
          </w:p>
        </w:tc>
        <w:tc>
          <w:tcPr>
            <w:tcW w:w="567" w:type="dxa"/>
            <w:tcBorders>
              <w:top w:val="single" w:color="auto" w:sz="6" w:space="0"/>
            </w:tcBorders>
            <w:vAlign w:val="top"/>
          </w:tcPr>
          <w:p w14:paraId="3B052A56">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13</w:t>
            </w:r>
          </w:p>
        </w:tc>
        <w:tc>
          <w:tcPr>
            <w:tcW w:w="2268" w:type="dxa"/>
            <w:tcBorders>
              <w:top w:val="single" w:color="auto" w:sz="6" w:space="0"/>
            </w:tcBorders>
            <w:vAlign w:val="top"/>
          </w:tcPr>
          <w:p w14:paraId="1CADED20">
            <w:pPr>
              <w:keepNext w:val="0"/>
              <w:keepLines w:val="0"/>
              <w:widowControl/>
              <w:suppressLineNumbers w:val="0"/>
              <w:jc w:val="both"/>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i w:val="0"/>
                <w:iCs w:val="0"/>
                <w:color w:val="auto"/>
                <w:kern w:val="0"/>
                <w:sz w:val="21"/>
                <w:szCs w:val="21"/>
                <w:highlight w:val="none"/>
                <w:u w:val="none"/>
                <w:lang w:val="en-US" w:eastAsia="zh-CN" w:bidi="ar"/>
              </w:rPr>
              <w:t>0.</w:t>
            </w:r>
            <w:r>
              <w:rPr>
                <w:rFonts w:hint="default" w:ascii="Times New Roman" w:hAnsi="Times New Roman" w:cs="Times New Roman"/>
                <w:i w:val="0"/>
                <w:iCs w:val="0"/>
                <w:color w:val="auto"/>
                <w:kern w:val="0"/>
                <w:sz w:val="21"/>
                <w:szCs w:val="21"/>
                <w:highlight w:val="none"/>
                <w:u w:val="none"/>
                <w:lang w:val="en-US" w:eastAsia="zh-CN" w:bidi="ar"/>
              </w:rPr>
              <w:t xml:space="preserve">39 </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i w:val="0"/>
                <w:iCs w:val="0"/>
                <w:color w:val="auto"/>
                <w:kern w:val="0"/>
                <w:sz w:val="21"/>
                <w:szCs w:val="21"/>
                <w:highlight w:val="none"/>
                <w:u w:val="none"/>
                <w:lang w:val="en-US" w:eastAsia="zh-CN" w:bidi="ar"/>
              </w:rPr>
              <w:t>0.</w:t>
            </w:r>
            <w:r>
              <w:rPr>
                <w:rFonts w:hint="default" w:ascii="Times New Roman" w:hAnsi="Times New Roman" w:cs="Times New Roman"/>
                <w:i w:val="0"/>
                <w:iCs w:val="0"/>
                <w:color w:val="auto"/>
                <w:kern w:val="0"/>
                <w:sz w:val="21"/>
                <w:szCs w:val="21"/>
                <w:highlight w:val="none"/>
                <w:u w:val="none"/>
                <w:lang w:val="en-US" w:eastAsia="zh-CN" w:bidi="ar"/>
              </w:rPr>
              <w:t>64</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i w:val="0"/>
                <w:iCs w:val="0"/>
                <w:color w:val="auto"/>
                <w:kern w:val="0"/>
                <w:sz w:val="21"/>
                <w:szCs w:val="21"/>
                <w:highlight w:val="none"/>
                <w:u w:val="none"/>
                <w:lang w:val="en-US" w:eastAsia="zh-CN" w:bidi="ar"/>
              </w:rPr>
              <w:t>0.</w:t>
            </w:r>
            <w:r>
              <w:rPr>
                <w:rFonts w:hint="default" w:ascii="Times New Roman" w:hAnsi="Times New Roman" w:cs="Times New Roman"/>
                <w:i w:val="0"/>
                <w:iCs w:val="0"/>
                <w:color w:val="auto"/>
                <w:kern w:val="0"/>
                <w:sz w:val="21"/>
                <w:szCs w:val="21"/>
                <w:highlight w:val="none"/>
                <w:u w:val="none"/>
                <w:lang w:val="en-US" w:eastAsia="zh-CN" w:bidi="ar"/>
              </w:rPr>
              <w:t>15</w:t>
            </w: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268" w:type="dxa"/>
            <w:tcBorders>
              <w:top w:val="single" w:color="auto" w:sz="6" w:space="0"/>
            </w:tcBorders>
            <w:vAlign w:val="top"/>
          </w:tcPr>
          <w:p w14:paraId="5465BC11">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0.004</w:t>
            </w:r>
          </w:p>
        </w:tc>
        <w:tc>
          <w:tcPr>
            <w:tcW w:w="1134" w:type="dxa"/>
            <w:tcBorders>
              <w:top w:val="single" w:color="auto" w:sz="6" w:space="0"/>
            </w:tcBorders>
            <w:vAlign w:val="top"/>
          </w:tcPr>
          <w:p w14:paraId="7C957A73">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0.062</w:t>
            </w:r>
          </w:p>
        </w:tc>
        <w:tc>
          <w:tcPr>
            <w:tcW w:w="1134" w:type="dxa"/>
            <w:tcBorders>
              <w:top w:val="single" w:color="auto" w:sz="6" w:space="0"/>
            </w:tcBorders>
            <w:vAlign w:val="top"/>
          </w:tcPr>
          <w:p w14:paraId="28FF48A8">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38.</w:t>
            </w:r>
            <w:r>
              <w:rPr>
                <w:rFonts w:hint="eastAsia" w:ascii="Times New Roman" w:hAnsi="Times New Roman" w:eastAsia="宋体" w:cs="Times New Roman"/>
                <w:i w:val="0"/>
                <w:iCs w:val="0"/>
                <w:color w:val="auto"/>
                <w:kern w:val="0"/>
                <w:sz w:val="21"/>
                <w:szCs w:val="21"/>
                <w:u w:val="none"/>
                <w:lang w:val="en-US" w:eastAsia="zh-CN" w:bidi="ar"/>
              </w:rPr>
              <w:t>30</w:t>
            </w:r>
          </w:p>
        </w:tc>
        <w:tc>
          <w:tcPr>
            <w:tcW w:w="2268" w:type="dxa"/>
            <w:tcBorders>
              <w:top w:val="single" w:color="auto" w:sz="6" w:space="0"/>
            </w:tcBorders>
            <w:vAlign w:val="top"/>
          </w:tcPr>
          <w:p w14:paraId="1A3CDE6C">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0.07</w:t>
            </w:r>
            <w:r>
              <w:rPr>
                <w:rFonts w:hint="eastAsia" w:ascii="Times New Roman" w:hAnsi="Times New Roman" w:eastAsia="宋体" w:cs="Times New Roman"/>
                <w:i w:val="0"/>
                <w:iCs w:val="0"/>
                <w:color w:val="auto"/>
                <w:kern w:val="0"/>
                <w:sz w:val="21"/>
                <w:szCs w:val="21"/>
                <w:u w:val="none"/>
                <w:lang w:val="en-US" w:eastAsia="zh-CN" w:bidi="ar"/>
              </w:rPr>
              <w:t>4</w:t>
            </w:r>
          </w:p>
        </w:tc>
      </w:tr>
      <w:tr w14:paraId="3933EA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vAlign w:val="top"/>
          </w:tcPr>
          <w:p w14:paraId="61EB5743">
            <w:pPr>
              <w:jc w:val="both"/>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Anxiety</w:t>
            </w:r>
          </w:p>
        </w:tc>
        <w:tc>
          <w:tcPr>
            <w:tcW w:w="4252" w:type="dxa"/>
            <w:vAlign w:val="top"/>
          </w:tcPr>
          <w:p w14:paraId="452FC9CA">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u w:val="none"/>
                <w:lang w:bidi="ar"/>
              </w:rPr>
              <w:t>Conventional normal-approximation inference</w:t>
            </w:r>
          </w:p>
        </w:tc>
        <w:tc>
          <w:tcPr>
            <w:tcW w:w="567" w:type="dxa"/>
            <w:vAlign w:val="top"/>
          </w:tcPr>
          <w:p w14:paraId="3B56F200">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13</w:t>
            </w:r>
          </w:p>
        </w:tc>
        <w:tc>
          <w:tcPr>
            <w:tcW w:w="2268" w:type="dxa"/>
            <w:vAlign w:val="top"/>
          </w:tcPr>
          <w:p w14:paraId="673A3BBC">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i w:val="0"/>
                <w:iCs w:val="0"/>
                <w:color w:val="auto"/>
                <w:kern w:val="0"/>
                <w:sz w:val="21"/>
                <w:szCs w:val="21"/>
                <w:highlight w:val="none"/>
                <w:u w:val="none"/>
                <w:lang w:val="en-US" w:eastAsia="zh-CN" w:bidi="ar"/>
              </w:rPr>
              <w:t>0.39 (</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i w:val="0"/>
                <w:iCs w:val="0"/>
                <w:color w:val="auto"/>
                <w:kern w:val="0"/>
                <w:sz w:val="21"/>
                <w:szCs w:val="21"/>
                <w:highlight w:val="none"/>
                <w:u w:val="none"/>
                <w:lang w:val="en-US" w:eastAsia="zh-CN" w:bidi="ar"/>
              </w:rPr>
              <w:t xml:space="preserve">0.62, </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i w:val="0"/>
                <w:iCs w:val="0"/>
                <w:color w:val="auto"/>
                <w:kern w:val="0"/>
                <w:sz w:val="21"/>
                <w:szCs w:val="21"/>
                <w:highlight w:val="none"/>
                <w:u w:val="none"/>
                <w:lang w:val="en-US" w:eastAsia="zh-CN" w:bidi="ar"/>
              </w:rPr>
              <w:t>0.</w:t>
            </w:r>
            <w:r>
              <w:rPr>
                <w:rFonts w:hint="default" w:ascii="Times New Roman" w:hAnsi="Times New Roman" w:cs="Times New Roman"/>
                <w:i w:val="0"/>
                <w:iCs w:val="0"/>
                <w:color w:val="auto"/>
                <w:kern w:val="0"/>
                <w:sz w:val="21"/>
                <w:szCs w:val="21"/>
                <w:highlight w:val="none"/>
                <w:u w:val="none"/>
                <w:lang w:val="en-US" w:eastAsia="zh-CN" w:bidi="ar"/>
              </w:rPr>
              <w:t>17</w:t>
            </w: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268" w:type="dxa"/>
            <w:shd w:val="clear" w:color="auto" w:fill="auto"/>
            <w:vAlign w:val="top"/>
          </w:tcPr>
          <w:p w14:paraId="7ED7E8FF">
            <w:pPr>
              <w:keepNext w:val="0"/>
              <w:keepLines w:val="0"/>
              <w:widowControl/>
              <w:suppressLineNumbers w:val="0"/>
              <w:jc w:val="both"/>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&lt; 0.001</w:t>
            </w:r>
          </w:p>
        </w:tc>
        <w:tc>
          <w:tcPr>
            <w:tcW w:w="1134" w:type="dxa"/>
            <w:vAlign w:val="top"/>
          </w:tcPr>
          <w:p w14:paraId="66F951C0">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0.062</w:t>
            </w:r>
          </w:p>
        </w:tc>
        <w:tc>
          <w:tcPr>
            <w:tcW w:w="1134" w:type="dxa"/>
            <w:vAlign w:val="top"/>
          </w:tcPr>
          <w:p w14:paraId="129AB2B3">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38.</w:t>
            </w:r>
            <w:r>
              <w:rPr>
                <w:rFonts w:hint="eastAsia" w:ascii="Times New Roman" w:hAnsi="Times New Roman" w:eastAsia="宋体" w:cs="Times New Roman"/>
                <w:i w:val="0"/>
                <w:iCs w:val="0"/>
                <w:color w:val="auto"/>
                <w:kern w:val="0"/>
                <w:sz w:val="21"/>
                <w:szCs w:val="21"/>
                <w:u w:val="none"/>
                <w:lang w:val="en-US" w:eastAsia="zh-CN" w:bidi="ar"/>
              </w:rPr>
              <w:t>30</w:t>
            </w:r>
          </w:p>
        </w:tc>
        <w:tc>
          <w:tcPr>
            <w:tcW w:w="2268" w:type="dxa"/>
            <w:vAlign w:val="top"/>
          </w:tcPr>
          <w:p w14:paraId="044897E3">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0.07</w:t>
            </w:r>
            <w:r>
              <w:rPr>
                <w:rFonts w:hint="eastAsia" w:ascii="Times New Roman" w:hAnsi="Times New Roman" w:eastAsia="宋体" w:cs="Times New Roman"/>
                <w:i w:val="0"/>
                <w:iCs w:val="0"/>
                <w:color w:val="auto"/>
                <w:kern w:val="0"/>
                <w:sz w:val="21"/>
                <w:szCs w:val="21"/>
                <w:u w:val="none"/>
                <w:lang w:val="en-US" w:eastAsia="zh-CN" w:bidi="ar"/>
              </w:rPr>
              <w:t>4</w:t>
            </w:r>
          </w:p>
        </w:tc>
      </w:tr>
      <w:tr w14:paraId="0ED39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shd w:val="clear" w:color="auto" w:fill="auto"/>
            <w:vAlign w:val="top"/>
          </w:tcPr>
          <w:p w14:paraId="2A677D05">
            <w:pPr>
              <w:jc w:val="both"/>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z w:val="21"/>
                <w:szCs w:val="21"/>
                <w:vertAlign w:val="baseline"/>
                <w:lang w:val="en-US" w:eastAsia="zh-CN"/>
              </w:rPr>
              <w:t>Anxiety</w:t>
            </w:r>
          </w:p>
        </w:tc>
        <w:tc>
          <w:tcPr>
            <w:tcW w:w="4252" w:type="dxa"/>
            <w:shd w:val="clear" w:color="auto" w:fill="auto"/>
            <w:vAlign w:val="top"/>
          </w:tcPr>
          <w:p w14:paraId="23FBCB23">
            <w:pPr>
              <w:keepNext w:val="0"/>
              <w:keepLines w:val="0"/>
              <w:widowControl/>
              <w:suppressLineNumbers w:val="0"/>
              <w:jc w:val="both"/>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Fixed-effect model</w:t>
            </w:r>
          </w:p>
        </w:tc>
        <w:tc>
          <w:tcPr>
            <w:tcW w:w="567" w:type="dxa"/>
            <w:shd w:val="clear" w:color="auto" w:fill="auto"/>
            <w:vAlign w:val="top"/>
          </w:tcPr>
          <w:p w14:paraId="41652F2B">
            <w:pPr>
              <w:keepNext w:val="0"/>
              <w:keepLines w:val="0"/>
              <w:widowControl/>
              <w:suppressLineNumbers w:val="0"/>
              <w:jc w:val="both"/>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13</w:t>
            </w:r>
          </w:p>
        </w:tc>
        <w:tc>
          <w:tcPr>
            <w:tcW w:w="2268" w:type="dxa"/>
            <w:shd w:val="clear" w:color="auto" w:fill="auto"/>
            <w:vAlign w:val="top"/>
          </w:tcPr>
          <w:p w14:paraId="75DDD39A">
            <w:pPr>
              <w:keepNext w:val="0"/>
              <w:keepLines w:val="0"/>
              <w:widowControl/>
              <w:suppressLineNumbers w:val="0"/>
              <w:jc w:val="both"/>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−0.42 (−0.59, −0.25)</w:t>
            </w:r>
          </w:p>
        </w:tc>
        <w:tc>
          <w:tcPr>
            <w:tcW w:w="2268" w:type="dxa"/>
            <w:shd w:val="clear" w:color="auto" w:fill="auto"/>
            <w:vAlign w:val="top"/>
          </w:tcPr>
          <w:p w14:paraId="19D15BFF">
            <w:pPr>
              <w:keepNext w:val="0"/>
              <w:keepLines w:val="0"/>
              <w:widowControl/>
              <w:suppressLineNumbers w:val="0"/>
              <w:jc w:val="both"/>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&lt; 0.001</w:t>
            </w:r>
          </w:p>
        </w:tc>
        <w:tc>
          <w:tcPr>
            <w:tcW w:w="1134" w:type="dxa"/>
            <w:shd w:val="clear" w:color="auto" w:fill="auto"/>
            <w:vAlign w:val="top"/>
          </w:tcPr>
          <w:p w14:paraId="55848ACC">
            <w:pPr>
              <w:keepNext w:val="0"/>
              <w:keepLines w:val="0"/>
              <w:widowControl/>
              <w:suppressLineNumbers w:val="0"/>
              <w:jc w:val="both"/>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134" w:type="dxa"/>
            <w:shd w:val="clear" w:color="auto" w:fill="auto"/>
            <w:vAlign w:val="top"/>
          </w:tcPr>
          <w:p w14:paraId="0C693B4A">
            <w:pPr>
              <w:keepNext w:val="0"/>
              <w:keepLines w:val="0"/>
              <w:widowControl/>
              <w:suppressLineNumbers w:val="0"/>
              <w:jc w:val="both"/>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eastAsia" w:ascii="Times New Roman" w:hAnsi="Times New Roman" w:eastAsia="宋体" w:cs="Times New Roman"/>
                <w:i w:val="0"/>
                <w:iCs w:val="0"/>
                <w:color w:val="auto"/>
                <w:kern w:val="0"/>
                <w:sz w:val="21"/>
                <w:szCs w:val="21"/>
                <w:highlight w:val="none"/>
                <w:u w:val="none"/>
                <w:lang w:val="en-US" w:eastAsia="zh-CN" w:bidi="ar"/>
              </w:rPr>
              <w:t>38.99</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w:t>
            </w:r>
          </w:p>
        </w:tc>
        <w:tc>
          <w:tcPr>
            <w:tcW w:w="2268" w:type="dxa"/>
            <w:shd w:val="clear" w:color="auto" w:fill="auto"/>
            <w:vAlign w:val="top"/>
          </w:tcPr>
          <w:p w14:paraId="006BAFE8">
            <w:pPr>
              <w:keepNext w:val="0"/>
              <w:keepLines w:val="0"/>
              <w:widowControl/>
              <w:suppressLineNumbers w:val="0"/>
              <w:jc w:val="both"/>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0.07</w:t>
            </w:r>
            <w:r>
              <w:rPr>
                <w:rFonts w:hint="eastAsia" w:ascii="Times New Roman" w:hAnsi="Times New Roman" w:eastAsia="宋体" w:cs="Times New Roman"/>
                <w:i w:val="0"/>
                <w:iCs w:val="0"/>
                <w:color w:val="auto"/>
                <w:kern w:val="0"/>
                <w:sz w:val="21"/>
                <w:szCs w:val="21"/>
                <w:highlight w:val="none"/>
                <w:u w:val="none"/>
                <w:lang w:val="en-US" w:eastAsia="zh-CN" w:bidi="ar"/>
              </w:rPr>
              <w:t>4</w:t>
            </w:r>
          </w:p>
        </w:tc>
      </w:tr>
      <w:tr w14:paraId="35D0F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shd w:val="clear" w:color="auto" w:fill="auto"/>
            <w:vAlign w:val="top"/>
          </w:tcPr>
          <w:p w14:paraId="515EFAAD">
            <w:pPr>
              <w:jc w:val="both"/>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z w:val="21"/>
                <w:szCs w:val="21"/>
                <w:vertAlign w:val="baseline"/>
                <w:lang w:val="en-US" w:eastAsia="zh-CN"/>
              </w:rPr>
              <w:t>Anxiety</w:t>
            </w:r>
          </w:p>
        </w:tc>
        <w:tc>
          <w:tcPr>
            <w:tcW w:w="4252" w:type="dxa"/>
            <w:shd w:val="clear" w:color="auto" w:fill="auto"/>
            <w:vAlign w:val="top"/>
          </w:tcPr>
          <w:p w14:paraId="3C3F3E8D">
            <w:pPr>
              <w:keepNext w:val="0"/>
              <w:keepLines w:val="0"/>
              <w:widowControl/>
              <w:suppressLineNumbers w:val="0"/>
              <w:jc w:val="both"/>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Excluding high-risk results</w:t>
            </w:r>
          </w:p>
        </w:tc>
        <w:tc>
          <w:tcPr>
            <w:tcW w:w="567" w:type="dxa"/>
            <w:shd w:val="clear" w:color="auto" w:fill="auto"/>
            <w:vAlign w:val="top"/>
          </w:tcPr>
          <w:p w14:paraId="6C44DD2C">
            <w:pPr>
              <w:keepNext w:val="0"/>
              <w:keepLines w:val="0"/>
              <w:widowControl/>
              <w:suppressLineNumbers w:val="0"/>
              <w:jc w:val="both"/>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11</w:t>
            </w:r>
          </w:p>
        </w:tc>
        <w:tc>
          <w:tcPr>
            <w:tcW w:w="2268" w:type="dxa"/>
            <w:shd w:val="clear" w:color="auto" w:fill="auto"/>
            <w:vAlign w:val="top"/>
          </w:tcPr>
          <w:p w14:paraId="35955F40">
            <w:pPr>
              <w:keepNext w:val="0"/>
              <w:keepLines w:val="0"/>
              <w:widowControl/>
              <w:suppressLineNumbers w:val="0"/>
              <w:jc w:val="both"/>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z w:val="21"/>
                <w:szCs w:val="21"/>
              </w:rPr>
              <w:t>−</w:t>
            </w:r>
            <w:r>
              <w:rPr>
                <w:rFonts w:hint="default" w:ascii="Times New Roman" w:hAnsi="Times New Roman" w:eastAsia="宋体" w:cs="Times New Roman"/>
                <w:i w:val="0"/>
                <w:iCs w:val="0"/>
                <w:color w:val="auto"/>
                <w:kern w:val="0"/>
                <w:sz w:val="21"/>
                <w:szCs w:val="21"/>
                <w:u w:val="none"/>
                <w:lang w:val="en-US" w:eastAsia="zh-CN" w:bidi="ar"/>
              </w:rPr>
              <w:t>0.48 (</w:t>
            </w:r>
            <w:r>
              <w:rPr>
                <w:rFonts w:hint="default" w:ascii="Times New Roman" w:hAnsi="Times New Roman" w:eastAsia="宋体" w:cs="Times New Roman"/>
                <w:color w:val="auto"/>
                <w:sz w:val="21"/>
                <w:szCs w:val="21"/>
              </w:rPr>
              <w:t>−</w:t>
            </w:r>
            <w:r>
              <w:rPr>
                <w:rFonts w:hint="default" w:ascii="Times New Roman" w:hAnsi="Times New Roman" w:eastAsia="宋体" w:cs="Times New Roman"/>
                <w:i w:val="0"/>
                <w:iCs w:val="0"/>
                <w:color w:val="auto"/>
                <w:kern w:val="0"/>
                <w:sz w:val="21"/>
                <w:szCs w:val="21"/>
                <w:u w:val="none"/>
                <w:lang w:val="en-US" w:eastAsia="zh-CN" w:bidi="ar"/>
              </w:rPr>
              <w:t xml:space="preserve">0.72, </w:t>
            </w:r>
            <w:r>
              <w:rPr>
                <w:rFonts w:hint="default" w:ascii="Times New Roman" w:hAnsi="Times New Roman" w:eastAsia="宋体" w:cs="Times New Roman"/>
                <w:color w:val="auto"/>
                <w:sz w:val="21"/>
                <w:szCs w:val="21"/>
              </w:rPr>
              <w:t>−</w:t>
            </w:r>
            <w:r>
              <w:rPr>
                <w:rFonts w:hint="default" w:ascii="Times New Roman" w:hAnsi="Times New Roman" w:eastAsia="宋体" w:cs="Times New Roman"/>
                <w:i w:val="0"/>
                <w:iCs w:val="0"/>
                <w:color w:val="auto"/>
                <w:kern w:val="0"/>
                <w:sz w:val="21"/>
                <w:szCs w:val="21"/>
                <w:u w:val="none"/>
                <w:lang w:val="en-US" w:eastAsia="zh-CN" w:bidi="ar"/>
              </w:rPr>
              <w:t>0.23)</w:t>
            </w:r>
          </w:p>
        </w:tc>
        <w:tc>
          <w:tcPr>
            <w:tcW w:w="2268" w:type="dxa"/>
            <w:shd w:val="clear" w:color="auto" w:fill="auto"/>
            <w:vAlign w:val="top"/>
          </w:tcPr>
          <w:p w14:paraId="6168EA96">
            <w:pPr>
              <w:keepNext w:val="0"/>
              <w:keepLines w:val="0"/>
              <w:widowControl/>
              <w:suppressLineNumbers w:val="0"/>
              <w:jc w:val="both"/>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0.001</w:t>
            </w:r>
          </w:p>
        </w:tc>
        <w:tc>
          <w:tcPr>
            <w:tcW w:w="1134" w:type="dxa"/>
            <w:shd w:val="clear" w:color="auto" w:fill="auto"/>
            <w:vAlign w:val="top"/>
          </w:tcPr>
          <w:p w14:paraId="52B9010C">
            <w:pPr>
              <w:keepNext w:val="0"/>
              <w:keepLines w:val="0"/>
              <w:widowControl/>
              <w:suppressLineNumbers w:val="0"/>
              <w:jc w:val="both"/>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0.04</w:t>
            </w:r>
            <w:r>
              <w:rPr>
                <w:rFonts w:hint="eastAsia" w:ascii="Times New Roman" w:hAnsi="Times New Roman" w:eastAsia="宋体" w:cs="Times New Roman"/>
                <w:i w:val="0"/>
                <w:iCs w:val="0"/>
                <w:color w:val="auto"/>
                <w:kern w:val="0"/>
                <w:sz w:val="21"/>
                <w:szCs w:val="21"/>
                <w:u w:val="none"/>
                <w:lang w:val="en-US" w:eastAsia="zh-CN" w:bidi="ar"/>
              </w:rPr>
              <w:t>5</w:t>
            </w:r>
          </w:p>
        </w:tc>
        <w:tc>
          <w:tcPr>
            <w:tcW w:w="1134" w:type="dxa"/>
            <w:shd w:val="clear" w:color="auto" w:fill="auto"/>
            <w:vAlign w:val="top"/>
          </w:tcPr>
          <w:p w14:paraId="77DBCDF6">
            <w:pPr>
              <w:keepNext w:val="0"/>
              <w:keepLines w:val="0"/>
              <w:widowControl/>
              <w:suppressLineNumbers w:val="0"/>
              <w:jc w:val="both"/>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z w:val="21"/>
                <w:szCs w:val="21"/>
                <w:vertAlign w:val="baseline"/>
                <w:lang w:val="en-US" w:eastAsia="zh-CN"/>
              </w:rPr>
              <w:t>32.0</w:t>
            </w:r>
            <w:r>
              <w:rPr>
                <w:rFonts w:hint="eastAsia" w:ascii="Times New Roman" w:hAnsi="Times New Roman" w:eastAsia="宋体" w:cs="Times New Roman"/>
                <w:color w:val="auto"/>
                <w:sz w:val="21"/>
                <w:szCs w:val="21"/>
                <w:vertAlign w:val="baseline"/>
                <w:lang w:val="en-US" w:eastAsia="zh-CN"/>
              </w:rPr>
              <w:t>0</w:t>
            </w:r>
          </w:p>
        </w:tc>
        <w:tc>
          <w:tcPr>
            <w:tcW w:w="2268" w:type="dxa"/>
            <w:shd w:val="clear" w:color="auto" w:fill="auto"/>
            <w:vAlign w:val="top"/>
          </w:tcPr>
          <w:p w14:paraId="2A92C863">
            <w:pPr>
              <w:keepNext w:val="0"/>
              <w:keepLines w:val="0"/>
              <w:widowControl/>
              <w:suppressLineNumbers w:val="0"/>
              <w:jc w:val="both"/>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0.16</w:t>
            </w:r>
            <w:r>
              <w:rPr>
                <w:rFonts w:hint="eastAsia" w:ascii="Times New Roman" w:hAnsi="Times New Roman" w:eastAsia="宋体" w:cs="Times New Roman"/>
                <w:i w:val="0"/>
                <w:iCs w:val="0"/>
                <w:color w:val="auto"/>
                <w:kern w:val="0"/>
                <w:sz w:val="21"/>
                <w:szCs w:val="21"/>
                <w:u w:val="none"/>
                <w:lang w:val="en-US" w:eastAsia="zh-CN" w:bidi="ar"/>
              </w:rPr>
              <w:t>6</w:t>
            </w:r>
          </w:p>
        </w:tc>
      </w:tr>
      <w:tr w14:paraId="7340E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shd w:val="clear" w:color="auto" w:fill="auto"/>
            <w:vAlign w:val="top"/>
          </w:tcPr>
          <w:p w14:paraId="1148541F">
            <w:pPr>
              <w:jc w:val="both"/>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z w:val="21"/>
                <w:szCs w:val="21"/>
                <w:vertAlign w:val="baseline"/>
                <w:lang w:val="en-US" w:eastAsia="zh-CN"/>
              </w:rPr>
              <w:t>Anxiety</w:t>
            </w:r>
          </w:p>
        </w:tc>
        <w:tc>
          <w:tcPr>
            <w:tcW w:w="4252" w:type="dxa"/>
            <w:shd w:val="clear" w:color="auto" w:fill="auto"/>
            <w:vAlign w:val="top"/>
          </w:tcPr>
          <w:p w14:paraId="5024CE16">
            <w:pPr>
              <w:keepNext w:val="0"/>
              <w:keepLines w:val="0"/>
              <w:widowControl/>
              <w:suppressLineNumbers w:val="0"/>
              <w:jc w:val="both"/>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Age ≥60 years</w:t>
            </w:r>
          </w:p>
        </w:tc>
        <w:tc>
          <w:tcPr>
            <w:tcW w:w="567" w:type="dxa"/>
            <w:shd w:val="clear" w:color="auto" w:fill="auto"/>
            <w:vAlign w:val="top"/>
          </w:tcPr>
          <w:p w14:paraId="4F52D597">
            <w:pPr>
              <w:keepNext w:val="0"/>
              <w:keepLines w:val="0"/>
              <w:widowControl/>
              <w:suppressLineNumbers w:val="0"/>
              <w:jc w:val="both"/>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w:t>
            </w:r>
          </w:p>
        </w:tc>
        <w:tc>
          <w:tcPr>
            <w:tcW w:w="2268" w:type="dxa"/>
            <w:shd w:val="clear" w:color="auto" w:fill="auto"/>
            <w:vAlign w:val="top"/>
          </w:tcPr>
          <w:p w14:paraId="6F90B66D">
            <w:pPr>
              <w:keepNext w:val="0"/>
              <w:keepLines w:val="0"/>
              <w:widowControl/>
              <w:suppressLineNumbers w:val="0"/>
              <w:jc w:val="both"/>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z w:val="21"/>
                <w:szCs w:val="21"/>
              </w:rPr>
              <w:t>−</w:t>
            </w:r>
            <w:r>
              <w:rPr>
                <w:rFonts w:hint="default" w:ascii="Times New Roman" w:hAnsi="Times New Roman" w:eastAsia="宋体" w:cs="Times New Roman"/>
                <w:i w:val="0"/>
                <w:iCs w:val="0"/>
                <w:color w:val="auto"/>
                <w:kern w:val="0"/>
                <w:sz w:val="21"/>
                <w:szCs w:val="21"/>
                <w:u w:val="none"/>
                <w:lang w:val="en-US" w:eastAsia="zh-CN" w:bidi="ar"/>
              </w:rPr>
              <w:t>0.58 (</w:t>
            </w:r>
            <w:r>
              <w:rPr>
                <w:rFonts w:hint="default" w:ascii="Times New Roman" w:hAnsi="Times New Roman" w:eastAsia="宋体" w:cs="Times New Roman"/>
                <w:color w:val="auto"/>
                <w:sz w:val="21"/>
                <w:szCs w:val="21"/>
              </w:rPr>
              <w:t>−</w:t>
            </w:r>
            <w:r>
              <w:rPr>
                <w:rFonts w:hint="default" w:ascii="Times New Roman" w:hAnsi="Times New Roman" w:eastAsia="宋体" w:cs="Times New Roman"/>
                <w:i w:val="0"/>
                <w:iCs w:val="0"/>
                <w:color w:val="auto"/>
                <w:kern w:val="0"/>
                <w:sz w:val="21"/>
                <w:szCs w:val="21"/>
                <w:u w:val="none"/>
                <w:lang w:val="en-US" w:eastAsia="zh-CN" w:bidi="ar"/>
              </w:rPr>
              <w:t xml:space="preserve">0.90, </w:t>
            </w:r>
            <w:r>
              <w:rPr>
                <w:rFonts w:hint="default" w:ascii="Times New Roman" w:hAnsi="Times New Roman" w:eastAsia="宋体" w:cs="Times New Roman"/>
                <w:color w:val="auto"/>
                <w:sz w:val="21"/>
                <w:szCs w:val="21"/>
              </w:rPr>
              <w:t>−</w:t>
            </w:r>
            <w:r>
              <w:rPr>
                <w:rFonts w:hint="default" w:ascii="Times New Roman" w:hAnsi="Times New Roman" w:eastAsia="宋体" w:cs="Times New Roman"/>
                <w:i w:val="0"/>
                <w:iCs w:val="0"/>
                <w:color w:val="auto"/>
                <w:kern w:val="0"/>
                <w:sz w:val="21"/>
                <w:szCs w:val="21"/>
                <w:u w:val="none"/>
                <w:lang w:val="en-US" w:eastAsia="zh-CN" w:bidi="ar"/>
              </w:rPr>
              <w:t>0.27)</w:t>
            </w:r>
          </w:p>
        </w:tc>
        <w:tc>
          <w:tcPr>
            <w:tcW w:w="2268" w:type="dxa"/>
            <w:shd w:val="clear" w:color="auto" w:fill="auto"/>
            <w:vAlign w:val="top"/>
          </w:tcPr>
          <w:p w14:paraId="534A23AA">
            <w:pPr>
              <w:keepNext w:val="0"/>
              <w:keepLines w:val="0"/>
              <w:widowControl/>
              <w:suppressLineNumbers w:val="0"/>
              <w:jc w:val="both"/>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0.003</w:t>
            </w:r>
          </w:p>
        </w:tc>
        <w:tc>
          <w:tcPr>
            <w:tcW w:w="1134" w:type="dxa"/>
            <w:shd w:val="clear" w:color="auto" w:fill="auto"/>
            <w:vAlign w:val="top"/>
          </w:tcPr>
          <w:p w14:paraId="5AEF1A97">
            <w:pPr>
              <w:keepNext w:val="0"/>
              <w:keepLines w:val="0"/>
              <w:widowControl/>
              <w:suppressLineNumbers w:val="0"/>
              <w:jc w:val="both"/>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0.048</w:t>
            </w:r>
          </w:p>
        </w:tc>
        <w:tc>
          <w:tcPr>
            <w:tcW w:w="1134" w:type="dxa"/>
            <w:shd w:val="clear" w:color="auto" w:fill="auto"/>
            <w:vAlign w:val="top"/>
          </w:tcPr>
          <w:p w14:paraId="04ED31D9">
            <w:pPr>
              <w:keepNext w:val="0"/>
              <w:keepLines w:val="0"/>
              <w:widowControl/>
              <w:suppressLineNumbers w:val="0"/>
              <w:jc w:val="both"/>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32.64</w:t>
            </w:r>
          </w:p>
        </w:tc>
        <w:tc>
          <w:tcPr>
            <w:tcW w:w="2268" w:type="dxa"/>
            <w:shd w:val="clear" w:color="auto" w:fill="auto"/>
            <w:vAlign w:val="top"/>
          </w:tcPr>
          <w:p w14:paraId="12D8E4E2">
            <w:pPr>
              <w:keepNext w:val="0"/>
              <w:keepLines w:val="0"/>
              <w:widowControl/>
              <w:suppressLineNumbers w:val="0"/>
              <w:jc w:val="both"/>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0.180</w:t>
            </w:r>
          </w:p>
        </w:tc>
      </w:tr>
      <w:tr w14:paraId="20DBA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shd w:val="clear" w:color="auto" w:fill="auto"/>
            <w:vAlign w:val="top"/>
          </w:tcPr>
          <w:p w14:paraId="672D140A">
            <w:pPr>
              <w:jc w:val="both"/>
              <w:rPr>
                <w:rFonts w:hint="default" w:ascii="Times New Roman" w:hAnsi="Times New Roman" w:cs="Times New Roman" w:eastAsiaTheme="minorEastAsia"/>
                <w:color w:val="auto"/>
                <w:kern w:val="2"/>
                <w:sz w:val="21"/>
                <w:szCs w:val="21"/>
                <w:lang w:val="en-US" w:eastAsia="zh-CN" w:bidi="ar-SA"/>
              </w:rPr>
            </w:pPr>
            <w:r>
              <w:rPr>
                <w:rFonts w:hint="default" w:ascii="Times New Roman" w:hAnsi="Times New Roman" w:eastAsia="宋体" w:cs="Times New Roman"/>
                <w:color w:val="auto"/>
                <w:sz w:val="21"/>
                <w:szCs w:val="21"/>
                <w:vertAlign w:val="baseline"/>
                <w:lang w:val="en-US" w:eastAsia="zh-CN"/>
              </w:rPr>
              <w:t>Anxiety</w:t>
            </w:r>
          </w:p>
        </w:tc>
        <w:tc>
          <w:tcPr>
            <w:tcW w:w="4252" w:type="dxa"/>
            <w:shd w:val="clear" w:color="auto" w:fill="auto"/>
            <w:vAlign w:val="top"/>
          </w:tcPr>
          <w:p w14:paraId="0F850F65">
            <w:pPr>
              <w:keepNext w:val="0"/>
              <w:keepLines w:val="0"/>
              <w:widowControl/>
              <w:suppressLineNumbers w:val="0"/>
              <w:jc w:val="both"/>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Excluding academic theses/dissertations</w:t>
            </w:r>
          </w:p>
        </w:tc>
        <w:tc>
          <w:tcPr>
            <w:tcW w:w="567" w:type="dxa"/>
            <w:shd w:val="clear" w:color="auto" w:fill="auto"/>
            <w:vAlign w:val="top"/>
          </w:tcPr>
          <w:p w14:paraId="702D94AE">
            <w:pPr>
              <w:keepNext w:val="0"/>
              <w:keepLines w:val="0"/>
              <w:widowControl/>
              <w:suppressLineNumbers w:val="0"/>
              <w:jc w:val="both"/>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11</w:t>
            </w:r>
          </w:p>
        </w:tc>
        <w:tc>
          <w:tcPr>
            <w:tcW w:w="2268" w:type="dxa"/>
            <w:shd w:val="clear" w:color="auto" w:fill="auto"/>
            <w:vAlign w:val="top"/>
          </w:tcPr>
          <w:p w14:paraId="53AE8E4D">
            <w:pPr>
              <w:keepNext w:val="0"/>
              <w:keepLines w:val="0"/>
              <w:widowControl/>
              <w:suppressLineNumbers w:val="0"/>
              <w:jc w:val="both"/>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z w:val="21"/>
                <w:szCs w:val="21"/>
              </w:rPr>
              <w:t>−</w:t>
            </w:r>
            <w:r>
              <w:rPr>
                <w:rFonts w:hint="default" w:ascii="Times New Roman" w:hAnsi="Times New Roman" w:eastAsia="宋体" w:cs="Times New Roman"/>
                <w:i w:val="0"/>
                <w:iCs w:val="0"/>
                <w:color w:val="auto"/>
                <w:kern w:val="0"/>
                <w:sz w:val="21"/>
                <w:szCs w:val="21"/>
                <w:u w:val="none"/>
                <w:lang w:val="en-US" w:eastAsia="zh-CN" w:bidi="ar"/>
              </w:rPr>
              <w:t>0.40 (</w:t>
            </w:r>
            <w:r>
              <w:rPr>
                <w:rFonts w:hint="default" w:ascii="Times New Roman" w:hAnsi="Times New Roman" w:eastAsia="宋体" w:cs="Times New Roman"/>
                <w:color w:val="auto"/>
                <w:sz w:val="21"/>
                <w:szCs w:val="21"/>
              </w:rPr>
              <w:t>−</w:t>
            </w:r>
            <w:r>
              <w:rPr>
                <w:rFonts w:hint="default" w:ascii="Times New Roman" w:hAnsi="Times New Roman" w:eastAsia="宋体" w:cs="Times New Roman"/>
                <w:i w:val="0"/>
                <w:iCs w:val="0"/>
                <w:color w:val="auto"/>
                <w:kern w:val="0"/>
                <w:sz w:val="21"/>
                <w:szCs w:val="21"/>
                <w:u w:val="none"/>
                <w:lang w:val="en-US" w:eastAsia="zh-CN" w:bidi="ar"/>
              </w:rPr>
              <w:t>0.6</w:t>
            </w:r>
            <w:r>
              <w:rPr>
                <w:rFonts w:hint="eastAsia" w:ascii="Times New Roman" w:hAnsi="Times New Roman" w:eastAsia="宋体" w:cs="Times New Roman"/>
                <w:i w:val="0"/>
                <w:iCs w:val="0"/>
                <w:color w:val="auto"/>
                <w:kern w:val="0"/>
                <w:sz w:val="21"/>
                <w:szCs w:val="21"/>
                <w:u w:val="none"/>
                <w:lang w:val="en-US" w:eastAsia="zh-CN" w:bidi="ar"/>
              </w:rPr>
              <w:t>9</w:t>
            </w:r>
            <w:r>
              <w:rPr>
                <w:rFonts w:hint="default" w:ascii="Times New Roman" w:hAnsi="Times New Roman" w:eastAsia="宋体" w:cs="Times New Roman"/>
                <w:i w:val="0"/>
                <w:iCs w:val="0"/>
                <w:color w:val="auto"/>
                <w:kern w:val="0"/>
                <w:sz w:val="21"/>
                <w:szCs w:val="21"/>
                <w:u w:val="none"/>
                <w:lang w:val="en-US" w:eastAsia="zh-CN" w:bidi="ar"/>
              </w:rPr>
              <w:t xml:space="preserve">, </w:t>
            </w:r>
            <w:r>
              <w:rPr>
                <w:rFonts w:hint="default" w:ascii="Times New Roman" w:hAnsi="Times New Roman" w:eastAsia="宋体" w:cs="Times New Roman"/>
                <w:color w:val="auto"/>
                <w:sz w:val="21"/>
                <w:szCs w:val="21"/>
              </w:rPr>
              <w:t>−</w:t>
            </w:r>
            <w:r>
              <w:rPr>
                <w:rFonts w:hint="default" w:ascii="Times New Roman" w:hAnsi="Times New Roman" w:eastAsia="宋体" w:cs="Times New Roman"/>
                <w:i w:val="0"/>
                <w:iCs w:val="0"/>
                <w:color w:val="auto"/>
                <w:kern w:val="0"/>
                <w:sz w:val="21"/>
                <w:szCs w:val="21"/>
                <w:u w:val="none"/>
                <w:lang w:val="en-US" w:eastAsia="zh-CN" w:bidi="ar"/>
              </w:rPr>
              <w:t>0.12)</w:t>
            </w:r>
          </w:p>
        </w:tc>
        <w:tc>
          <w:tcPr>
            <w:tcW w:w="2268" w:type="dxa"/>
            <w:shd w:val="clear" w:color="auto" w:fill="auto"/>
            <w:vAlign w:val="top"/>
          </w:tcPr>
          <w:p w14:paraId="48B80FA5">
            <w:pPr>
              <w:keepNext w:val="0"/>
              <w:keepLines w:val="0"/>
              <w:widowControl/>
              <w:suppressLineNumbers w:val="0"/>
              <w:jc w:val="both"/>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0.010</w:t>
            </w:r>
          </w:p>
        </w:tc>
        <w:tc>
          <w:tcPr>
            <w:tcW w:w="1134" w:type="dxa"/>
            <w:shd w:val="clear" w:color="auto" w:fill="auto"/>
            <w:vAlign w:val="top"/>
          </w:tcPr>
          <w:p w14:paraId="0236AEDC">
            <w:pPr>
              <w:keepNext w:val="0"/>
              <w:keepLines w:val="0"/>
              <w:widowControl/>
              <w:suppressLineNumbers w:val="0"/>
              <w:jc w:val="both"/>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0.076</w:t>
            </w:r>
          </w:p>
        </w:tc>
        <w:tc>
          <w:tcPr>
            <w:tcW w:w="1134" w:type="dxa"/>
            <w:shd w:val="clear" w:color="auto" w:fill="auto"/>
            <w:vAlign w:val="top"/>
          </w:tcPr>
          <w:p w14:paraId="4E758167">
            <w:pPr>
              <w:keepNext w:val="0"/>
              <w:keepLines w:val="0"/>
              <w:widowControl/>
              <w:suppressLineNumbers w:val="0"/>
              <w:jc w:val="both"/>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44.6</w:t>
            </w:r>
            <w:r>
              <w:rPr>
                <w:rFonts w:hint="eastAsia" w:ascii="Times New Roman" w:hAnsi="Times New Roman" w:eastAsia="宋体" w:cs="Times New Roman"/>
                <w:i w:val="0"/>
                <w:iCs w:val="0"/>
                <w:color w:val="auto"/>
                <w:kern w:val="0"/>
                <w:sz w:val="21"/>
                <w:szCs w:val="21"/>
                <w:u w:val="none"/>
                <w:lang w:val="en-US" w:eastAsia="zh-CN" w:bidi="ar"/>
              </w:rPr>
              <w:t>6</w:t>
            </w:r>
          </w:p>
        </w:tc>
        <w:tc>
          <w:tcPr>
            <w:tcW w:w="2268" w:type="dxa"/>
            <w:shd w:val="clear" w:color="auto" w:fill="auto"/>
            <w:vAlign w:val="top"/>
          </w:tcPr>
          <w:p w14:paraId="67E03CD9">
            <w:pPr>
              <w:keepNext w:val="0"/>
              <w:keepLines w:val="0"/>
              <w:widowControl/>
              <w:suppressLineNumbers w:val="0"/>
              <w:jc w:val="both"/>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0.045</w:t>
            </w:r>
          </w:p>
        </w:tc>
      </w:tr>
      <w:tr w14:paraId="60D4B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shd w:val="clear" w:color="auto" w:fill="auto"/>
            <w:vAlign w:val="top"/>
          </w:tcPr>
          <w:p w14:paraId="14212F38">
            <w:pPr>
              <w:jc w:val="both"/>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sz w:val="21"/>
                <w:szCs w:val="21"/>
                <w:highlight w:val="none"/>
                <w:vertAlign w:val="baseline"/>
                <w:lang w:val="en-US" w:eastAsia="zh-CN"/>
              </w:rPr>
              <w:t>Anxiety</w:t>
            </w:r>
          </w:p>
        </w:tc>
        <w:tc>
          <w:tcPr>
            <w:tcW w:w="4252" w:type="dxa"/>
            <w:vAlign w:val="top"/>
          </w:tcPr>
          <w:p w14:paraId="1F5D92D3">
            <w:pPr>
              <w:keepNext w:val="0"/>
              <w:keepLines w:val="0"/>
              <w:widowControl/>
              <w:suppressLineNumbers w:val="0"/>
              <w:jc w:val="both"/>
              <w:textAlignment w:val="center"/>
              <w:rPr>
                <w:rFonts w:hint="default" w:ascii="Times New Roman" w:hAnsi="Times New Roman" w:eastAsia="宋体" w:cs="Times New Roman"/>
                <w:color w:val="auto"/>
                <w:kern w:val="0"/>
                <w:sz w:val="21"/>
                <w:szCs w:val="21"/>
                <w:u w:val="none"/>
                <w:lang w:bidi="ar"/>
              </w:rPr>
            </w:pPr>
            <w:r>
              <w:rPr>
                <w:rFonts w:hint="default" w:ascii="Times New Roman" w:hAnsi="Times New Roman" w:eastAsia="宋体" w:cs="Times New Roman"/>
                <w:color w:val="auto"/>
                <w:kern w:val="0"/>
                <w:sz w:val="21"/>
                <w:szCs w:val="21"/>
                <w:u w:val="none"/>
                <w:lang w:bidi="ar"/>
              </w:rPr>
              <w:t>Program-end assessments only</w:t>
            </w:r>
          </w:p>
        </w:tc>
        <w:tc>
          <w:tcPr>
            <w:tcW w:w="567" w:type="dxa"/>
            <w:vAlign w:val="top"/>
          </w:tcPr>
          <w:p w14:paraId="617C2E4A">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9</w:t>
            </w:r>
          </w:p>
        </w:tc>
        <w:tc>
          <w:tcPr>
            <w:tcW w:w="2268" w:type="dxa"/>
            <w:vAlign w:val="top"/>
          </w:tcPr>
          <w:p w14:paraId="248F447E">
            <w:pPr>
              <w:keepNext w:val="0"/>
              <w:keepLines w:val="0"/>
              <w:widowControl/>
              <w:suppressLineNumbers w:val="0"/>
              <w:jc w:val="both"/>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w:t>
            </w:r>
            <w:r>
              <w:rPr>
                <w:rFonts w:hint="default" w:ascii="Times New Roman" w:hAnsi="Times New Roman" w:eastAsia="宋体" w:cs="Times New Roman"/>
                <w:i w:val="0"/>
                <w:iCs w:val="0"/>
                <w:color w:val="auto"/>
                <w:kern w:val="0"/>
                <w:sz w:val="21"/>
                <w:szCs w:val="21"/>
                <w:u w:val="none"/>
                <w:lang w:val="en-US" w:eastAsia="zh-CN" w:bidi="ar"/>
              </w:rPr>
              <w:t>0.40 (</w:t>
            </w:r>
            <w:r>
              <w:rPr>
                <w:rFonts w:hint="default" w:ascii="Times New Roman" w:hAnsi="Times New Roman" w:eastAsia="宋体" w:cs="Times New Roman"/>
                <w:color w:val="auto"/>
                <w:sz w:val="21"/>
                <w:szCs w:val="21"/>
              </w:rPr>
              <w:t>−</w:t>
            </w:r>
            <w:r>
              <w:rPr>
                <w:rFonts w:hint="default" w:ascii="Times New Roman" w:hAnsi="Times New Roman" w:eastAsia="宋体" w:cs="Times New Roman"/>
                <w:i w:val="0"/>
                <w:iCs w:val="0"/>
                <w:color w:val="auto"/>
                <w:kern w:val="0"/>
                <w:sz w:val="21"/>
                <w:szCs w:val="21"/>
                <w:u w:val="none"/>
                <w:lang w:val="en-US" w:eastAsia="zh-CN" w:bidi="ar"/>
              </w:rPr>
              <w:t xml:space="preserve">0.75, </w:t>
            </w:r>
            <w:r>
              <w:rPr>
                <w:rFonts w:hint="default" w:ascii="Times New Roman" w:hAnsi="Times New Roman" w:eastAsia="宋体" w:cs="Times New Roman"/>
                <w:color w:val="auto"/>
                <w:sz w:val="21"/>
                <w:szCs w:val="21"/>
              </w:rPr>
              <w:t>−</w:t>
            </w:r>
            <w:r>
              <w:rPr>
                <w:rFonts w:hint="default" w:ascii="Times New Roman" w:hAnsi="Times New Roman" w:eastAsia="宋体" w:cs="Times New Roman"/>
                <w:i w:val="0"/>
                <w:iCs w:val="0"/>
                <w:color w:val="auto"/>
                <w:kern w:val="0"/>
                <w:sz w:val="21"/>
                <w:szCs w:val="21"/>
                <w:u w:val="none"/>
                <w:lang w:val="en-US" w:eastAsia="zh-CN" w:bidi="ar"/>
              </w:rPr>
              <w:t>0.04)</w:t>
            </w:r>
          </w:p>
        </w:tc>
        <w:tc>
          <w:tcPr>
            <w:tcW w:w="2268" w:type="dxa"/>
            <w:shd w:val="clear" w:color="auto" w:fill="auto"/>
            <w:vAlign w:val="top"/>
          </w:tcPr>
          <w:p w14:paraId="2752E5DA">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w:t>
            </w:r>
            <w:r>
              <w:rPr>
                <w:rFonts w:hint="eastAsia" w:ascii="Times New Roman" w:hAnsi="Times New Roman" w:eastAsia="宋体" w:cs="Times New Roman"/>
                <w:i w:val="0"/>
                <w:iCs w:val="0"/>
                <w:color w:val="auto"/>
                <w:kern w:val="0"/>
                <w:sz w:val="21"/>
                <w:szCs w:val="21"/>
                <w:highlight w:val="none"/>
                <w:u w:val="none"/>
                <w:lang w:val="en-US" w:eastAsia="zh-CN" w:bidi="ar"/>
              </w:rPr>
              <w:t>33</w:t>
            </w:r>
          </w:p>
        </w:tc>
        <w:tc>
          <w:tcPr>
            <w:tcW w:w="1134" w:type="dxa"/>
            <w:vAlign w:val="top"/>
          </w:tcPr>
          <w:p w14:paraId="568A5D39">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0.109</w:t>
            </w:r>
          </w:p>
        </w:tc>
        <w:tc>
          <w:tcPr>
            <w:tcW w:w="1134" w:type="dxa"/>
            <w:vAlign w:val="top"/>
          </w:tcPr>
          <w:p w14:paraId="637976AE">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51.</w:t>
            </w:r>
            <w:r>
              <w:rPr>
                <w:rFonts w:hint="eastAsia" w:ascii="Times New Roman" w:hAnsi="Times New Roman" w:eastAsia="宋体" w:cs="Times New Roman"/>
                <w:i w:val="0"/>
                <w:iCs w:val="0"/>
                <w:color w:val="auto"/>
                <w:kern w:val="0"/>
                <w:sz w:val="21"/>
                <w:szCs w:val="21"/>
                <w:u w:val="none"/>
                <w:lang w:val="en-US" w:eastAsia="zh-CN" w:bidi="ar"/>
              </w:rPr>
              <w:t>62</w:t>
            </w:r>
          </w:p>
        </w:tc>
        <w:tc>
          <w:tcPr>
            <w:tcW w:w="2268" w:type="dxa"/>
            <w:vAlign w:val="top"/>
          </w:tcPr>
          <w:p w14:paraId="224DC7D0">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0.03</w:t>
            </w:r>
            <w:r>
              <w:rPr>
                <w:rFonts w:hint="eastAsia" w:ascii="Times New Roman" w:hAnsi="Times New Roman" w:eastAsia="宋体" w:cs="Times New Roman"/>
                <w:i w:val="0"/>
                <w:iCs w:val="0"/>
                <w:color w:val="auto"/>
                <w:kern w:val="0"/>
                <w:sz w:val="21"/>
                <w:szCs w:val="21"/>
                <w:u w:val="none"/>
                <w:lang w:val="en-US" w:eastAsia="zh-CN" w:bidi="ar"/>
              </w:rPr>
              <w:t>1</w:t>
            </w:r>
          </w:p>
        </w:tc>
      </w:tr>
      <w:tr w14:paraId="783E0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vAlign w:val="top"/>
          </w:tcPr>
          <w:p w14:paraId="3405A0E1">
            <w:pPr>
              <w:jc w:val="both"/>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Depression</w:t>
            </w:r>
          </w:p>
        </w:tc>
        <w:tc>
          <w:tcPr>
            <w:tcW w:w="4252" w:type="dxa"/>
            <w:vAlign w:val="top"/>
          </w:tcPr>
          <w:p w14:paraId="63C64BA9">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u w:val="none"/>
                <w:lang w:bidi="ar"/>
              </w:rPr>
              <w:t>Primary REML+Knapp–Hartung analysis</w:t>
            </w:r>
          </w:p>
        </w:tc>
        <w:tc>
          <w:tcPr>
            <w:tcW w:w="567" w:type="dxa"/>
            <w:vAlign w:val="top"/>
          </w:tcPr>
          <w:p w14:paraId="74F3A6B2">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10</w:t>
            </w:r>
          </w:p>
        </w:tc>
        <w:tc>
          <w:tcPr>
            <w:tcW w:w="2268" w:type="dxa"/>
            <w:vAlign w:val="top"/>
          </w:tcPr>
          <w:p w14:paraId="32432D28">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u w:val="none"/>
                <w:lang w:bidi="ar"/>
              </w:rPr>
              <w:t>−0.33 (−0.66, −0.002)</w:t>
            </w:r>
          </w:p>
        </w:tc>
        <w:tc>
          <w:tcPr>
            <w:tcW w:w="2268" w:type="dxa"/>
            <w:vAlign w:val="top"/>
          </w:tcPr>
          <w:p w14:paraId="6767810E">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u w:val="none"/>
                <w:lang w:bidi="ar"/>
              </w:rPr>
              <w:t>0.049</w:t>
            </w:r>
          </w:p>
        </w:tc>
        <w:tc>
          <w:tcPr>
            <w:tcW w:w="1134" w:type="dxa"/>
            <w:vAlign w:val="top"/>
          </w:tcPr>
          <w:p w14:paraId="0DCDB1FB">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0.08</w:t>
            </w:r>
            <w:r>
              <w:rPr>
                <w:rFonts w:hint="eastAsia" w:ascii="Times New Roman" w:hAnsi="Times New Roman" w:eastAsia="宋体" w:cs="Times New Roman"/>
                <w:i w:val="0"/>
                <w:iCs w:val="0"/>
                <w:color w:val="auto"/>
                <w:kern w:val="0"/>
                <w:sz w:val="21"/>
                <w:szCs w:val="21"/>
                <w:u w:val="none"/>
                <w:lang w:val="en-US" w:eastAsia="zh-CN" w:bidi="ar"/>
              </w:rPr>
              <w:t>8</w:t>
            </w:r>
          </w:p>
        </w:tc>
        <w:tc>
          <w:tcPr>
            <w:tcW w:w="1134" w:type="dxa"/>
            <w:vAlign w:val="top"/>
          </w:tcPr>
          <w:p w14:paraId="345D11F0">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41.</w:t>
            </w:r>
            <w:r>
              <w:rPr>
                <w:rFonts w:hint="eastAsia" w:ascii="Times New Roman" w:hAnsi="Times New Roman" w:eastAsia="宋体" w:cs="Times New Roman"/>
                <w:i w:val="0"/>
                <w:iCs w:val="0"/>
                <w:color w:val="auto"/>
                <w:kern w:val="0"/>
                <w:sz w:val="21"/>
                <w:szCs w:val="21"/>
                <w:u w:val="none"/>
                <w:lang w:val="en-US" w:eastAsia="zh-CN" w:bidi="ar"/>
              </w:rPr>
              <w:t>38</w:t>
            </w:r>
          </w:p>
        </w:tc>
        <w:tc>
          <w:tcPr>
            <w:tcW w:w="2268" w:type="dxa"/>
            <w:vAlign w:val="top"/>
          </w:tcPr>
          <w:p w14:paraId="60D25669">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0.077</w:t>
            </w:r>
          </w:p>
        </w:tc>
      </w:tr>
      <w:tr w14:paraId="20FED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59" w:type="dxa"/>
            <w:shd w:val="clear" w:color="auto" w:fill="auto"/>
            <w:vAlign w:val="top"/>
          </w:tcPr>
          <w:p w14:paraId="2F5D97B3">
            <w:pPr>
              <w:jc w:val="both"/>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sz w:val="21"/>
                <w:szCs w:val="21"/>
                <w:vertAlign w:val="baseline"/>
                <w:lang w:val="en-US" w:eastAsia="zh-CN"/>
              </w:rPr>
              <w:t>Depression</w:t>
            </w:r>
          </w:p>
        </w:tc>
        <w:tc>
          <w:tcPr>
            <w:tcW w:w="4252" w:type="dxa"/>
            <w:shd w:val="clear" w:color="auto" w:fill="auto"/>
            <w:vAlign w:val="top"/>
          </w:tcPr>
          <w:p w14:paraId="42587AC4">
            <w:pPr>
              <w:keepNext w:val="0"/>
              <w:keepLines w:val="0"/>
              <w:widowControl/>
              <w:suppressLineNumbers w:val="0"/>
              <w:jc w:val="both"/>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0"/>
                <w:sz w:val="21"/>
                <w:szCs w:val="21"/>
                <w:u w:val="none"/>
                <w:lang w:bidi="ar"/>
              </w:rPr>
              <w:t>Conventional normal-approximation inference</w:t>
            </w:r>
          </w:p>
        </w:tc>
        <w:tc>
          <w:tcPr>
            <w:tcW w:w="567" w:type="dxa"/>
            <w:vAlign w:val="top"/>
          </w:tcPr>
          <w:p w14:paraId="682347E7">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w:t>
            </w:r>
          </w:p>
        </w:tc>
        <w:tc>
          <w:tcPr>
            <w:tcW w:w="2268" w:type="dxa"/>
            <w:vAlign w:val="top"/>
          </w:tcPr>
          <w:p w14:paraId="6E857079">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−0.33 (−0.6</w:t>
            </w:r>
            <w:r>
              <w:rPr>
                <w:rFonts w:hint="eastAsia" w:ascii="Times New Roman" w:hAnsi="Times New Roman" w:eastAsia="宋体" w:cs="Times New Roman"/>
                <w:i w:val="0"/>
                <w:iCs w:val="0"/>
                <w:color w:val="auto"/>
                <w:kern w:val="0"/>
                <w:sz w:val="21"/>
                <w:szCs w:val="21"/>
                <w:u w:val="none"/>
                <w:lang w:val="en-US" w:eastAsia="zh-CN" w:bidi="ar"/>
              </w:rPr>
              <w:t>3</w:t>
            </w:r>
            <w:r>
              <w:rPr>
                <w:rFonts w:hint="default" w:ascii="Times New Roman" w:hAnsi="Times New Roman" w:eastAsia="宋体" w:cs="Times New Roman"/>
                <w:i w:val="0"/>
                <w:iCs w:val="0"/>
                <w:color w:val="auto"/>
                <w:kern w:val="0"/>
                <w:sz w:val="21"/>
                <w:szCs w:val="21"/>
                <w:u w:val="none"/>
                <w:lang w:val="en-US" w:eastAsia="zh-CN" w:bidi="ar"/>
              </w:rPr>
              <w:t>, −0.04)</w:t>
            </w:r>
          </w:p>
        </w:tc>
        <w:tc>
          <w:tcPr>
            <w:tcW w:w="2268" w:type="dxa"/>
            <w:vAlign w:val="top"/>
          </w:tcPr>
          <w:p w14:paraId="086BB2D9">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0.02</w:t>
            </w:r>
            <w:r>
              <w:rPr>
                <w:rFonts w:hint="eastAsia" w:ascii="Times New Roman" w:hAnsi="Times New Roman" w:eastAsia="宋体" w:cs="Times New Roman"/>
                <w:i w:val="0"/>
                <w:iCs w:val="0"/>
                <w:color w:val="auto"/>
                <w:kern w:val="0"/>
                <w:sz w:val="21"/>
                <w:szCs w:val="21"/>
                <w:u w:val="none"/>
                <w:lang w:val="en-US" w:eastAsia="zh-CN" w:bidi="ar"/>
              </w:rPr>
              <w:t>6</w:t>
            </w:r>
          </w:p>
        </w:tc>
        <w:tc>
          <w:tcPr>
            <w:tcW w:w="1134" w:type="dxa"/>
            <w:vAlign w:val="top"/>
          </w:tcPr>
          <w:p w14:paraId="740F3582">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0.08</w:t>
            </w:r>
            <w:r>
              <w:rPr>
                <w:rFonts w:hint="eastAsia" w:ascii="Times New Roman" w:hAnsi="Times New Roman" w:eastAsia="宋体" w:cs="Times New Roman"/>
                <w:i w:val="0"/>
                <w:iCs w:val="0"/>
                <w:color w:val="auto"/>
                <w:kern w:val="0"/>
                <w:sz w:val="21"/>
                <w:szCs w:val="21"/>
                <w:u w:val="none"/>
                <w:lang w:val="en-US" w:eastAsia="zh-CN" w:bidi="ar"/>
              </w:rPr>
              <w:t>8</w:t>
            </w:r>
          </w:p>
        </w:tc>
        <w:tc>
          <w:tcPr>
            <w:tcW w:w="1134" w:type="dxa"/>
            <w:vAlign w:val="top"/>
          </w:tcPr>
          <w:p w14:paraId="66595BCB">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41.3</w:t>
            </w:r>
            <w:r>
              <w:rPr>
                <w:rFonts w:hint="eastAsia" w:ascii="Times New Roman" w:hAnsi="Times New Roman" w:eastAsia="宋体" w:cs="Times New Roman"/>
                <w:i w:val="0"/>
                <w:iCs w:val="0"/>
                <w:color w:val="auto"/>
                <w:kern w:val="0"/>
                <w:sz w:val="21"/>
                <w:szCs w:val="21"/>
                <w:u w:val="none"/>
                <w:lang w:val="en-US" w:eastAsia="zh-CN" w:bidi="ar"/>
              </w:rPr>
              <w:t>8</w:t>
            </w:r>
          </w:p>
        </w:tc>
        <w:tc>
          <w:tcPr>
            <w:tcW w:w="2268" w:type="dxa"/>
            <w:vAlign w:val="top"/>
          </w:tcPr>
          <w:p w14:paraId="338DD17D">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0.077</w:t>
            </w:r>
          </w:p>
        </w:tc>
      </w:tr>
      <w:tr w14:paraId="5B817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vAlign w:val="top"/>
          </w:tcPr>
          <w:p w14:paraId="2E875316">
            <w:pPr>
              <w:jc w:val="both"/>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Depression</w:t>
            </w:r>
          </w:p>
        </w:tc>
        <w:tc>
          <w:tcPr>
            <w:tcW w:w="4252" w:type="dxa"/>
            <w:vAlign w:val="top"/>
          </w:tcPr>
          <w:p w14:paraId="212B5143">
            <w:pPr>
              <w:keepNext w:val="0"/>
              <w:keepLines w:val="0"/>
              <w:widowControl/>
              <w:suppressLineNumbers w:val="0"/>
              <w:jc w:val="both"/>
              <w:textAlignment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Fixed-effect model</w:t>
            </w:r>
          </w:p>
        </w:tc>
        <w:tc>
          <w:tcPr>
            <w:tcW w:w="567" w:type="dxa"/>
            <w:vAlign w:val="top"/>
          </w:tcPr>
          <w:p w14:paraId="000D74B3">
            <w:pPr>
              <w:keepNext w:val="0"/>
              <w:keepLines w:val="0"/>
              <w:widowControl/>
              <w:suppressLineNumbers w:val="0"/>
              <w:jc w:val="both"/>
              <w:textAlignment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10</w:t>
            </w:r>
          </w:p>
        </w:tc>
        <w:tc>
          <w:tcPr>
            <w:tcW w:w="2268" w:type="dxa"/>
            <w:vAlign w:val="top"/>
          </w:tcPr>
          <w:p w14:paraId="4973FFF0">
            <w:pPr>
              <w:keepNext w:val="0"/>
              <w:keepLines w:val="0"/>
              <w:widowControl/>
              <w:suppressLineNumbers w:val="0"/>
              <w:jc w:val="both"/>
              <w:textAlignment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−0.31 (−0.53, −0.10)</w:t>
            </w:r>
          </w:p>
        </w:tc>
        <w:tc>
          <w:tcPr>
            <w:tcW w:w="2268" w:type="dxa"/>
            <w:vAlign w:val="top"/>
          </w:tcPr>
          <w:p w14:paraId="3C2AFA69">
            <w:pPr>
              <w:keepNext w:val="0"/>
              <w:keepLines w:val="0"/>
              <w:widowControl/>
              <w:suppressLineNumbers w:val="0"/>
              <w:jc w:val="both"/>
              <w:textAlignment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0.005</w:t>
            </w:r>
          </w:p>
        </w:tc>
        <w:tc>
          <w:tcPr>
            <w:tcW w:w="1134" w:type="dxa"/>
            <w:vAlign w:val="top"/>
          </w:tcPr>
          <w:p w14:paraId="1EEC86EE">
            <w:pPr>
              <w:keepNext w:val="0"/>
              <w:keepLines w:val="0"/>
              <w:widowControl/>
              <w:suppressLineNumbers w:val="0"/>
              <w:jc w:val="both"/>
              <w:textAlignment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134" w:type="dxa"/>
            <w:vAlign w:val="top"/>
          </w:tcPr>
          <w:p w14:paraId="14819753">
            <w:pPr>
              <w:keepNext w:val="0"/>
              <w:keepLines w:val="0"/>
              <w:widowControl/>
              <w:suppressLineNumbers w:val="0"/>
              <w:jc w:val="both"/>
              <w:textAlignment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42.08</w:t>
            </w:r>
          </w:p>
        </w:tc>
        <w:tc>
          <w:tcPr>
            <w:tcW w:w="2268" w:type="dxa"/>
            <w:vAlign w:val="top"/>
          </w:tcPr>
          <w:p w14:paraId="2C6E4D68">
            <w:pPr>
              <w:keepNext w:val="0"/>
              <w:keepLines w:val="0"/>
              <w:widowControl/>
              <w:suppressLineNumbers w:val="0"/>
              <w:jc w:val="both"/>
              <w:textAlignment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0.077</w:t>
            </w:r>
          </w:p>
        </w:tc>
      </w:tr>
      <w:tr w14:paraId="609B3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vAlign w:val="top"/>
          </w:tcPr>
          <w:p w14:paraId="28626AFE">
            <w:pPr>
              <w:jc w:val="both"/>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Depression</w:t>
            </w:r>
          </w:p>
        </w:tc>
        <w:tc>
          <w:tcPr>
            <w:tcW w:w="4252" w:type="dxa"/>
            <w:vAlign w:val="top"/>
          </w:tcPr>
          <w:p w14:paraId="00C428E2">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Excluding high-risk results</w:t>
            </w:r>
          </w:p>
        </w:tc>
        <w:tc>
          <w:tcPr>
            <w:tcW w:w="567" w:type="dxa"/>
            <w:vAlign w:val="top"/>
          </w:tcPr>
          <w:p w14:paraId="295B21B5">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8</w:t>
            </w:r>
          </w:p>
        </w:tc>
        <w:tc>
          <w:tcPr>
            <w:tcW w:w="2268" w:type="dxa"/>
            <w:vAlign w:val="top"/>
          </w:tcPr>
          <w:p w14:paraId="335154D6">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−0.42 (−0.80, −0.04)</w:t>
            </w:r>
          </w:p>
        </w:tc>
        <w:tc>
          <w:tcPr>
            <w:tcW w:w="2268" w:type="dxa"/>
            <w:vAlign w:val="top"/>
          </w:tcPr>
          <w:p w14:paraId="4E7E01DB">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0.034</w:t>
            </w:r>
          </w:p>
        </w:tc>
        <w:tc>
          <w:tcPr>
            <w:tcW w:w="1134" w:type="dxa"/>
            <w:vAlign w:val="top"/>
          </w:tcPr>
          <w:p w14:paraId="491D1C0D">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0.09</w:t>
            </w:r>
            <w:r>
              <w:rPr>
                <w:rFonts w:hint="eastAsia" w:ascii="Times New Roman" w:hAnsi="Times New Roman" w:eastAsia="宋体" w:cs="Times New Roman"/>
                <w:i w:val="0"/>
                <w:iCs w:val="0"/>
                <w:color w:val="auto"/>
                <w:kern w:val="0"/>
                <w:sz w:val="21"/>
                <w:szCs w:val="21"/>
                <w:u w:val="none"/>
                <w:lang w:val="en-US" w:eastAsia="zh-CN" w:bidi="ar"/>
              </w:rPr>
              <w:t>3</w:t>
            </w:r>
          </w:p>
        </w:tc>
        <w:tc>
          <w:tcPr>
            <w:tcW w:w="1134" w:type="dxa"/>
            <w:vAlign w:val="top"/>
          </w:tcPr>
          <w:p w14:paraId="327633F0">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43.59</w:t>
            </w:r>
          </w:p>
        </w:tc>
        <w:tc>
          <w:tcPr>
            <w:tcW w:w="2268" w:type="dxa"/>
            <w:vAlign w:val="top"/>
          </w:tcPr>
          <w:p w14:paraId="01DCABAF">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0.085</w:t>
            </w:r>
          </w:p>
        </w:tc>
      </w:tr>
      <w:tr w14:paraId="1A1C7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vAlign w:val="top"/>
          </w:tcPr>
          <w:p w14:paraId="08EDB60A">
            <w:pPr>
              <w:jc w:val="both"/>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Depression</w:t>
            </w:r>
          </w:p>
        </w:tc>
        <w:tc>
          <w:tcPr>
            <w:tcW w:w="4252" w:type="dxa"/>
            <w:vAlign w:val="top"/>
          </w:tcPr>
          <w:p w14:paraId="19537491">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Age ≥60 years</w:t>
            </w:r>
          </w:p>
        </w:tc>
        <w:tc>
          <w:tcPr>
            <w:tcW w:w="567" w:type="dxa"/>
            <w:vAlign w:val="top"/>
          </w:tcPr>
          <w:p w14:paraId="50AE0E82">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4</w:t>
            </w:r>
          </w:p>
        </w:tc>
        <w:tc>
          <w:tcPr>
            <w:tcW w:w="2268" w:type="dxa"/>
            <w:vAlign w:val="top"/>
          </w:tcPr>
          <w:p w14:paraId="4893210A">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−0.68 (−1.21, −0.16)</w:t>
            </w:r>
          </w:p>
        </w:tc>
        <w:tc>
          <w:tcPr>
            <w:tcW w:w="2268" w:type="dxa"/>
            <w:vAlign w:val="top"/>
          </w:tcPr>
          <w:p w14:paraId="166E1802">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0.026</w:t>
            </w:r>
          </w:p>
        </w:tc>
        <w:tc>
          <w:tcPr>
            <w:tcW w:w="1134" w:type="dxa"/>
            <w:vAlign w:val="top"/>
          </w:tcPr>
          <w:p w14:paraId="0D920E76">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&lt; 0.001</w:t>
            </w:r>
          </w:p>
        </w:tc>
        <w:tc>
          <w:tcPr>
            <w:tcW w:w="1134" w:type="dxa"/>
            <w:vAlign w:val="top"/>
          </w:tcPr>
          <w:p w14:paraId="182F9F21">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0.00 </w:t>
            </w:r>
          </w:p>
        </w:tc>
        <w:tc>
          <w:tcPr>
            <w:tcW w:w="2268" w:type="dxa"/>
            <w:vAlign w:val="top"/>
          </w:tcPr>
          <w:p w14:paraId="224DDC84">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0.445</w:t>
            </w:r>
          </w:p>
        </w:tc>
      </w:tr>
      <w:tr w14:paraId="5E683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vAlign w:val="top"/>
          </w:tcPr>
          <w:p w14:paraId="44FFB9B0">
            <w:pPr>
              <w:jc w:val="both"/>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Depression</w:t>
            </w:r>
          </w:p>
        </w:tc>
        <w:tc>
          <w:tcPr>
            <w:tcW w:w="4252" w:type="dxa"/>
            <w:vAlign w:val="top"/>
          </w:tcPr>
          <w:p w14:paraId="64010D69">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Excluding academic theses/dissertations</w:t>
            </w:r>
          </w:p>
        </w:tc>
        <w:tc>
          <w:tcPr>
            <w:tcW w:w="567" w:type="dxa"/>
            <w:vAlign w:val="top"/>
          </w:tcPr>
          <w:p w14:paraId="75EC9EA4">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8</w:t>
            </w:r>
          </w:p>
        </w:tc>
        <w:tc>
          <w:tcPr>
            <w:tcW w:w="2268" w:type="dxa"/>
            <w:vAlign w:val="top"/>
          </w:tcPr>
          <w:p w14:paraId="7CCE6584">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−0.34 (−0.78, 0.10)</w:t>
            </w:r>
          </w:p>
        </w:tc>
        <w:tc>
          <w:tcPr>
            <w:tcW w:w="2268" w:type="dxa"/>
            <w:vAlign w:val="top"/>
          </w:tcPr>
          <w:p w14:paraId="2AAF0D64">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0.108</w:t>
            </w:r>
          </w:p>
        </w:tc>
        <w:tc>
          <w:tcPr>
            <w:tcW w:w="1134" w:type="dxa"/>
            <w:vAlign w:val="top"/>
          </w:tcPr>
          <w:p w14:paraId="4933E7E7">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0.13</w:t>
            </w:r>
            <w:r>
              <w:rPr>
                <w:rFonts w:hint="eastAsia" w:ascii="Times New Roman" w:hAnsi="Times New Roman" w:eastAsia="宋体" w:cs="Times New Roman"/>
                <w:i w:val="0"/>
                <w:iCs w:val="0"/>
                <w:color w:val="auto"/>
                <w:kern w:val="0"/>
                <w:sz w:val="21"/>
                <w:szCs w:val="21"/>
                <w:u w:val="none"/>
                <w:lang w:val="en-US" w:eastAsia="zh-CN" w:bidi="ar"/>
              </w:rPr>
              <w:t>8</w:t>
            </w:r>
          </w:p>
        </w:tc>
        <w:tc>
          <w:tcPr>
            <w:tcW w:w="1134" w:type="dxa"/>
            <w:vAlign w:val="top"/>
          </w:tcPr>
          <w:p w14:paraId="54417608">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53.5</w:t>
            </w:r>
            <w:r>
              <w:rPr>
                <w:rFonts w:hint="eastAsia" w:ascii="Times New Roman" w:hAnsi="Times New Roman" w:eastAsia="宋体" w:cs="Times New Roman"/>
                <w:i w:val="0"/>
                <w:iCs w:val="0"/>
                <w:color w:val="auto"/>
                <w:kern w:val="0"/>
                <w:sz w:val="21"/>
                <w:szCs w:val="21"/>
                <w:u w:val="none"/>
                <w:lang w:val="en-US" w:eastAsia="zh-CN" w:bidi="ar"/>
              </w:rPr>
              <w:t>0</w:t>
            </w:r>
          </w:p>
        </w:tc>
        <w:tc>
          <w:tcPr>
            <w:tcW w:w="2268" w:type="dxa"/>
            <w:vAlign w:val="top"/>
          </w:tcPr>
          <w:p w14:paraId="1F01642C">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0.030</w:t>
            </w:r>
          </w:p>
        </w:tc>
      </w:tr>
      <w:tr w14:paraId="1B2CA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vAlign w:val="top"/>
          </w:tcPr>
          <w:p w14:paraId="7727525A">
            <w:pPr>
              <w:jc w:val="both"/>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Stress</w:t>
            </w:r>
          </w:p>
        </w:tc>
        <w:tc>
          <w:tcPr>
            <w:tcW w:w="4252" w:type="dxa"/>
            <w:shd w:val="clear" w:color="auto" w:fill="auto"/>
            <w:vAlign w:val="top"/>
          </w:tcPr>
          <w:p w14:paraId="7EF58B4C">
            <w:pPr>
              <w:keepNext w:val="0"/>
              <w:keepLines w:val="0"/>
              <w:widowControl/>
              <w:suppressLineNumbers w:val="0"/>
              <w:jc w:val="both"/>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0"/>
                <w:sz w:val="21"/>
                <w:szCs w:val="21"/>
                <w:u w:val="none"/>
                <w:lang w:bidi="ar"/>
              </w:rPr>
              <w:t>Primary REML+Knapp–Hartung analysis</w:t>
            </w:r>
          </w:p>
        </w:tc>
        <w:tc>
          <w:tcPr>
            <w:tcW w:w="567" w:type="dxa"/>
            <w:vAlign w:val="top"/>
          </w:tcPr>
          <w:p w14:paraId="4006D426">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6</w:t>
            </w:r>
          </w:p>
        </w:tc>
        <w:tc>
          <w:tcPr>
            <w:tcW w:w="2268" w:type="dxa"/>
            <w:vAlign w:val="top"/>
          </w:tcPr>
          <w:p w14:paraId="12CA7050">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−0.47 (−1.32, 0.39)</w:t>
            </w:r>
          </w:p>
        </w:tc>
        <w:tc>
          <w:tcPr>
            <w:tcW w:w="2268" w:type="dxa"/>
            <w:vAlign w:val="top"/>
          </w:tcPr>
          <w:p w14:paraId="6B1B61BB">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0.222</w:t>
            </w:r>
          </w:p>
        </w:tc>
        <w:tc>
          <w:tcPr>
            <w:tcW w:w="1134" w:type="dxa"/>
            <w:vAlign w:val="top"/>
          </w:tcPr>
          <w:p w14:paraId="0A74EBC8">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0.512</w:t>
            </w:r>
          </w:p>
        </w:tc>
        <w:tc>
          <w:tcPr>
            <w:tcW w:w="1134" w:type="dxa"/>
            <w:vAlign w:val="top"/>
          </w:tcPr>
          <w:p w14:paraId="2C042E8A">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76.17</w:t>
            </w:r>
          </w:p>
        </w:tc>
        <w:tc>
          <w:tcPr>
            <w:tcW w:w="2268" w:type="dxa"/>
            <w:vAlign w:val="top"/>
          </w:tcPr>
          <w:p w14:paraId="7A31CD2F">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&lt; 0.001</w:t>
            </w:r>
          </w:p>
        </w:tc>
      </w:tr>
      <w:tr w14:paraId="4E337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vAlign w:val="top"/>
          </w:tcPr>
          <w:p w14:paraId="3F09050B">
            <w:pPr>
              <w:jc w:val="both"/>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Stress</w:t>
            </w:r>
          </w:p>
        </w:tc>
        <w:tc>
          <w:tcPr>
            <w:tcW w:w="4252" w:type="dxa"/>
            <w:shd w:val="clear" w:color="auto" w:fill="auto"/>
            <w:vAlign w:val="top"/>
          </w:tcPr>
          <w:p w14:paraId="7F1BB72D">
            <w:pPr>
              <w:keepNext w:val="0"/>
              <w:keepLines w:val="0"/>
              <w:widowControl/>
              <w:suppressLineNumbers w:val="0"/>
              <w:jc w:val="both"/>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0"/>
                <w:sz w:val="21"/>
                <w:szCs w:val="21"/>
                <w:u w:val="none"/>
                <w:lang w:bidi="ar"/>
              </w:rPr>
              <w:t>Conventional normal-approximation inference</w:t>
            </w:r>
          </w:p>
        </w:tc>
        <w:tc>
          <w:tcPr>
            <w:tcW w:w="567" w:type="dxa"/>
            <w:vAlign w:val="top"/>
          </w:tcPr>
          <w:p w14:paraId="57568B19">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6</w:t>
            </w:r>
          </w:p>
        </w:tc>
        <w:tc>
          <w:tcPr>
            <w:tcW w:w="2268" w:type="dxa"/>
            <w:vAlign w:val="top"/>
          </w:tcPr>
          <w:p w14:paraId="3FE916A1">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−0.47 (−1.12, 0.19)</w:t>
            </w:r>
          </w:p>
        </w:tc>
        <w:tc>
          <w:tcPr>
            <w:tcW w:w="2268" w:type="dxa"/>
            <w:vAlign w:val="top"/>
          </w:tcPr>
          <w:p w14:paraId="779B9E59">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0.165</w:t>
            </w:r>
          </w:p>
        </w:tc>
        <w:tc>
          <w:tcPr>
            <w:tcW w:w="1134" w:type="dxa"/>
            <w:vAlign w:val="top"/>
          </w:tcPr>
          <w:p w14:paraId="79E31915">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0.512</w:t>
            </w:r>
          </w:p>
        </w:tc>
        <w:tc>
          <w:tcPr>
            <w:tcW w:w="1134" w:type="dxa"/>
            <w:vAlign w:val="top"/>
          </w:tcPr>
          <w:p w14:paraId="17C34AE4">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76.17</w:t>
            </w:r>
          </w:p>
        </w:tc>
        <w:tc>
          <w:tcPr>
            <w:tcW w:w="2268" w:type="dxa"/>
            <w:vAlign w:val="top"/>
          </w:tcPr>
          <w:p w14:paraId="4BEE5F76">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&lt; 0.001</w:t>
            </w:r>
          </w:p>
        </w:tc>
      </w:tr>
      <w:tr w14:paraId="7121B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vAlign w:val="top"/>
          </w:tcPr>
          <w:p w14:paraId="42130EC8">
            <w:pPr>
              <w:jc w:val="both"/>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Stress</w:t>
            </w:r>
          </w:p>
        </w:tc>
        <w:tc>
          <w:tcPr>
            <w:tcW w:w="4252" w:type="dxa"/>
            <w:vAlign w:val="top"/>
          </w:tcPr>
          <w:p w14:paraId="20B3D4E9">
            <w:pPr>
              <w:keepNext w:val="0"/>
              <w:keepLines w:val="0"/>
              <w:widowControl/>
              <w:suppressLineNumbers w:val="0"/>
              <w:jc w:val="both"/>
              <w:textAlignment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Fixed-effect model</w:t>
            </w:r>
          </w:p>
        </w:tc>
        <w:tc>
          <w:tcPr>
            <w:tcW w:w="567" w:type="dxa"/>
            <w:vAlign w:val="top"/>
          </w:tcPr>
          <w:p w14:paraId="4ABBBE54">
            <w:pPr>
              <w:keepNext w:val="0"/>
              <w:keepLines w:val="0"/>
              <w:widowControl/>
              <w:suppressLineNumbers w:val="0"/>
              <w:jc w:val="both"/>
              <w:textAlignment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6</w:t>
            </w:r>
          </w:p>
        </w:tc>
        <w:tc>
          <w:tcPr>
            <w:tcW w:w="2268" w:type="dxa"/>
            <w:vAlign w:val="top"/>
          </w:tcPr>
          <w:p w14:paraId="22A73EBB">
            <w:pPr>
              <w:keepNext w:val="0"/>
              <w:keepLines w:val="0"/>
              <w:widowControl/>
              <w:suppressLineNumbers w:val="0"/>
              <w:jc w:val="both"/>
              <w:textAlignment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−0.40 (−0.72, −0.09)</w:t>
            </w:r>
          </w:p>
        </w:tc>
        <w:tc>
          <w:tcPr>
            <w:tcW w:w="2268" w:type="dxa"/>
            <w:vAlign w:val="top"/>
          </w:tcPr>
          <w:p w14:paraId="1FFF4612">
            <w:pPr>
              <w:keepNext w:val="0"/>
              <w:keepLines w:val="0"/>
              <w:widowControl/>
              <w:suppressLineNumbers w:val="0"/>
              <w:jc w:val="both"/>
              <w:textAlignment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0.013</w:t>
            </w:r>
          </w:p>
        </w:tc>
        <w:tc>
          <w:tcPr>
            <w:tcW w:w="1134" w:type="dxa"/>
            <w:vAlign w:val="top"/>
          </w:tcPr>
          <w:p w14:paraId="3C092EEE">
            <w:pPr>
              <w:keepNext w:val="0"/>
              <w:keepLines w:val="0"/>
              <w:widowControl/>
              <w:suppressLineNumbers w:val="0"/>
              <w:jc w:val="both"/>
              <w:textAlignment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134" w:type="dxa"/>
            <w:vAlign w:val="top"/>
          </w:tcPr>
          <w:p w14:paraId="1D778750">
            <w:pPr>
              <w:keepNext w:val="0"/>
              <w:keepLines w:val="0"/>
              <w:widowControl/>
              <w:suppressLineNumbers w:val="0"/>
              <w:jc w:val="both"/>
              <w:textAlignment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76.90 </w:t>
            </w:r>
          </w:p>
        </w:tc>
        <w:tc>
          <w:tcPr>
            <w:tcW w:w="2268" w:type="dxa"/>
            <w:vAlign w:val="top"/>
          </w:tcPr>
          <w:p w14:paraId="79A31679">
            <w:pPr>
              <w:keepNext w:val="0"/>
              <w:keepLines w:val="0"/>
              <w:widowControl/>
              <w:suppressLineNumbers w:val="0"/>
              <w:jc w:val="both"/>
              <w:textAlignment w:val="cente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&lt; 0.001</w:t>
            </w:r>
          </w:p>
        </w:tc>
      </w:tr>
      <w:tr w14:paraId="3FF6C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vAlign w:val="top"/>
          </w:tcPr>
          <w:p w14:paraId="04E5ACD6">
            <w:pPr>
              <w:jc w:val="both"/>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Stress</w:t>
            </w:r>
          </w:p>
        </w:tc>
        <w:tc>
          <w:tcPr>
            <w:tcW w:w="4252" w:type="dxa"/>
            <w:vAlign w:val="top"/>
          </w:tcPr>
          <w:p w14:paraId="094AAF8B">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Excluding high-risk results</w:t>
            </w:r>
          </w:p>
        </w:tc>
        <w:tc>
          <w:tcPr>
            <w:tcW w:w="567" w:type="dxa"/>
            <w:vAlign w:val="top"/>
          </w:tcPr>
          <w:p w14:paraId="1D7742CB">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5</w:t>
            </w:r>
          </w:p>
        </w:tc>
        <w:tc>
          <w:tcPr>
            <w:tcW w:w="2268" w:type="dxa"/>
            <w:vAlign w:val="top"/>
          </w:tcPr>
          <w:p w14:paraId="2B1713F6">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−0.63 (−1.61, 0.36)</w:t>
            </w:r>
          </w:p>
        </w:tc>
        <w:tc>
          <w:tcPr>
            <w:tcW w:w="2268" w:type="dxa"/>
            <w:vAlign w:val="top"/>
          </w:tcPr>
          <w:p w14:paraId="60FE3911">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0.151</w:t>
            </w:r>
          </w:p>
        </w:tc>
        <w:tc>
          <w:tcPr>
            <w:tcW w:w="1134" w:type="dxa"/>
            <w:vAlign w:val="top"/>
          </w:tcPr>
          <w:p w14:paraId="48C10419">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0.487</w:t>
            </w:r>
          </w:p>
        </w:tc>
        <w:tc>
          <w:tcPr>
            <w:tcW w:w="1134" w:type="dxa"/>
            <w:vAlign w:val="top"/>
          </w:tcPr>
          <w:p w14:paraId="71DAC9E3">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75.65</w:t>
            </w:r>
          </w:p>
        </w:tc>
        <w:tc>
          <w:tcPr>
            <w:tcW w:w="2268" w:type="dxa"/>
            <w:vAlign w:val="top"/>
          </w:tcPr>
          <w:p w14:paraId="33128176">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0.001</w:t>
            </w:r>
          </w:p>
        </w:tc>
      </w:tr>
      <w:tr w14:paraId="1DA54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vAlign w:val="top"/>
          </w:tcPr>
          <w:p w14:paraId="31EC9929">
            <w:pPr>
              <w:jc w:val="both"/>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Stress</w:t>
            </w:r>
          </w:p>
        </w:tc>
        <w:tc>
          <w:tcPr>
            <w:tcW w:w="4252" w:type="dxa"/>
            <w:vAlign w:val="top"/>
          </w:tcPr>
          <w:p w14:paraId="1D35FC38">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Age ≥60 years</w:t>
            </w:r>
          </w:p>
        </w:tc>
        <w:tc>
          <w:tcPr>
            <w:tcW w:w="567" w:type="dxa"/>
            <w:vAlign w:val="top"/>
          </w:tcPr>
          <w:p w14:paraId="47A5BEB1">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5</w:t>
            </w:r>
          </w:p>
        </w:tc>
        <w:tc>
          <w:tcPr>
            <w:tcW w:w="2268" w:type="dxa"/>
            <w:vAlign w:val="top"/>
          </w:tcPr>
          <w:p w14:paraId="5AB820F9">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−0.63 (−1.61, 0.36)</w:t>
            </w:r>
          </w:p>
        </w:tc>
        <w:tc>
          <w:tcPr>
            <w:tcW w:w="2268" w:type="dxa"/>
            <w:vAlign w:val="top"/>
          </w:tcPr>
          <w:p w14:paraId="01D95CD9">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0.151</w:t>
            </w:r>
          </w:p>
        </w:tc>
        <w:tc>
          <w:tcPr>
            <w:tcW w:w="1134" w:type="dxa"/>
            <w:vAlign w:val="top"/>
          </w:tcPr>
          <w:p w14:paraId="2693D908">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w:t>
            </w:r>
            <w:r>
              <w:rPr>
                <w:rFonts w:hint="eastAsia" w:ascii="Times New Roman" w:hAnsi="Times New Roman" w:eastAsia="宋体" w:cs="Times New Roman"/>
                <w:i w:val="0"/>
                <w:iCs w:val="0"/>
                <w:color w:val="auto"/>
                <w:kern w:val="0"/>
                <w:sz w:val="21"/>
                <w:szCs w:val="21"/>
                <w:u w:val="none"/>
                <w:lang w:val="en-US" w:eastAsia="zh-CN" w:bidi="ar"/>
              </w:rPr>
              <w:t>4</w:t>
            </w:r>
            <w:r>
              <w:rPr>
                <w:rFonts w:hint="default" w:ascii="Times New Roman" w:hAnsi="Times New Roman" w:eastAsia="宋体" w:cs="Times New Roman"/>
                <w:i w:val="0"/>
                <w:iCs w:val="0"/>
                <w:color w:val="auto"/>
                <w:kern w:val="0"/>
                <w:sz w:val="21"/>
                <w:szCs w:val="21"/>
                <w:u w:val="none"/>
                <w:lang w:val="en-US" w:eastAsia="zh-CN" w:bidi="ar"/>
              </w:rPr>
              <w:t>87</w:t>
            </w:r>
          </w:p>
        </w:tc>
        <w:tc>
          <w:tcPr>
            <w:tcW w:w="1134" w:type="dxa"/>
            <w:vAlign w:val="top"/>
          </w:tcPr>
          <w:p w14:paraId="799F158D">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75.65</w:t>
            </w:r>
          </w:p>
        </w:tc>
        <w:tc>
          <w:tcPr>
            <w:tcW w:w="2268" w:type="dxa"/>
            <w:vAlign w:val="top"/>
          </w:tcPr>
          <w:p w14:paraId="6CEE729F">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0.001</w:t>
            </w:r>
          </w:p>
        </w:tc>
      </w:tr>
      <w:tr w14:paraId="1C37B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vAlign w:val="top"/>
          </w:tcPr>
          <w:p w14:paraId="1481B506">
            <w:pPr>
              <w:jc w:val="both"/>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Stress</w:t>
            </w:r>
          </w:p>
        </w:tc>
        <w:tc>
          <w:tcPr>
            <w:tcW w:w="4252" w:type="dxa"/>
            <w:vAlign w:val="top"/>
          </w:tcPr>
          <w:p w14:paraId="66AB0C2B">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Excluding academic theses/dissertations</w:t>
            </w:r>
          </w:p>
        </w:tc>
        <w:tc>
          <w:tcPr>
            <w:tcW w:w="567" w:type="dxa"/>
            <w:vAlign w:val="top"/>
          </w:tcPr>
          <w:p w14:paraId="612DDCC4">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4</w:t>
            </w:r>
          </w:p>
        </w:tc>
        <w:tc>
          <w:tcPr>
            <w:tcW w:w="2268" w:type="dxa"/>
            <w:vAlign w:val="top"/>
          </w:tcPr>
          <w:p w14:paraId="3D5C25B1">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−0.27 (−1.48, 0.94)</w:t>
            </w:r>
          </w:p>
        </w:tc>
        <w:tc>
          <w:tcPr>
            <w:tcW w:w="2268" w:type="dxa"/>
            <w:vAlign w:val="top"/>
          </w:tcPr>
          <w:p w14:paraId="5B04055E">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0.527</w:t>
            </w:r>
          </w:p>
        </w:tc>
        <w:tc>
          <w:tcPr>
            <w:tcW w:w="1134" w:type="dxa"/>
            <w:vAlign w:val="top"/>
          </w:tcPr>
          <w:p w14:paraId="4A16D9D4">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0.420</w:t>
            </w:r>
          </w:p>
        </w:tc>
        <w:tc>
          <w:tcPr>
            <w:tcW w:w="1134" w:type="dxa"/>
            <w:vAlign w:val="top"/>
          </w:tcPr>
          <w:p w14:paraId="39CD88B6">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73.13</w:t>
            </w:r>
          </w:p>
        </w:tc>
        <w:tc>
          <w:tcPr>
            <w:tcW w:w="2268" w:type="dxa"/>
            <w:vAlign w:val="top"/>
          </w:tcPr>
          <w:p w14:paraId="1EF6B233">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0.011</w:t>
            </w:r>
          </w:p>
        </w:tc>
      </w:tr>
      <w:tr w14:paraId="1C7713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559" w:type="dxa"/>
            <w:vAlign w:val="top"/>
          </w:tcPr>
          <w:p w14:paraId="45D26FE0">
            <w:pPr>
              <w:jc w:val="both"/>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Stress</w:t>
            </w:r>
          </w:p>
        </w:tc>
        <w:tc>
          <w:tcPr>
            <w:tcW w:w="4252" w:type="dxa"/>
            <w:vAlign w:val="top"/>
          </w:tcPr>
          <w:p w14:paraId="6E576454">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Excluding VAS result</w:t>
            </w:r>
          </w:p>
        </w:tc>
        <w:tc>
          <w:tcPr>
            <w:tcW w:w="567" w:type="dxa"/>
            <w:vAlign w:val="top"/>
          </w:tcPr>
          <w:p w14:paraId="51760FF8">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2268" w:type="dxa"/>
            <w:vAlign w:val="top"/>
          </w:tcPr>
          <w:p w14:paraId="4D7D3C2F">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−0.65 (−1.63, 0.34)</w:t>
            </w:r>
          </w:p>
        </w:tc>
        <w:tc>
          <w:tcPr>
            <w:tcW w:w="2268" w:type="dxa"/>
            <w:vAlign w:val="top"/>
          </w:tcPr>
          <w:p w14:paraId="76183373">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0.142</w:t>
            </w:r>
          </w:p>
        </w:tc>
        <w:tc>
          <w:tcPr>
            <w:tcW w:w="1134" w:type="dxa"/>
            <w:vAlign w:val="top"/>
          </w:tcPr>
          <w:p w14:paraId="22F8D748">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0.452</w:t>
            </w:r>
          </w:p>
        </w:tc>
        <w:tc>
          <w:tcPr>
            <w:tcW w:w="1134" w:type="dxa"/>
            <w:vAlign w:val="top"/>
          </w:tcPr>
          <w:p w14:paraId="7D0E329A">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71.66</w:t>
            </w:r>
          </w:p>
        </w:tc>
        <w:tc>
          <w:tcPr>
            <w:tcW w:w="2268" w:type="dxa"/>
            <w:vAlign w:val="top"/>
          </w:tcPr>
          <w:p w14:paraId="383E29C0">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0.007</w:t>
            </w:r>
          </w:p>
        </w:tc>
      </w:tr>
      <w:tr w14:paraId="2549B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vAlign w:val="top"/>
          </w:tcPr>
          <w:p w14:paraId="74DD356F">
            <w:pPr>
              <w:jc w:val="both"/>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Mindfulness</w:t>
            </w:r>
          </w:p>
        </w:tc>
        <w:tc>
          <w:tcPr>
            <w:tcW w:w="4252" w:type="dxa"/>
            <w:vAlign w:val="top"/>
          </w:tcPr>
          <w:p w14:paraId="1E255994">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u w:val="none"/>
                <w:lang w:bidi="ar"/>
              </w:rPr>
              <w:t>Primary REML+Knapp–Hartung analysis</w:t>
            </w:r>
          </w:p>
        </w:tc>
        <w:tc>
          <w:tcPr>
            <w:tcW w:w="567" w:type="dxa"/>
            <w:vAlign w:val="top"/>
          </w:tcPr>
          <w:p w14:paraId="5AB94009">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5</w:t>
            </w:r>
          </w:p>
        </w:tc>
        <w:tc>
          <w:tcPr>
            <w:tcW w:w="2268" w:type="dxa"/>
            <w:vAlign w:val="top"/>
          </w:tcPr>
          <w:p w14:paraId="280773D4">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u w:val="none"/>
                <w:lang w:bidi="ar"/>
              </w:rPr>
              <w:t>0.55 (−0.12, 1.21)</w:t>
            </w:r>
          </w:p>
        </w:tc>
        <w:tc>
          <w:tcPr>
            <w:tcW w:w="2268" w:type="dxa"/>
            <w:vAlign w:val="top"/>
          </w:tcPr>
          <w:p w14:paraId="78A378CE">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u w:val="none"/>
                <w:lang w:bidi="ar"/>
              </w:rPr>
              <w:t>0.084</w:t>
            </w:r>
          </w:p>
        </w:tc>
        <w:tc>
          <w:tcPr>
            <w:tcW w:w="1134" w:type="dxa"/>
            <w:vAlign w:val="top"/>
          </w:tcPr>
          <w:p w14:paraId="26E81B8A">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0.023</w:t>
            </w:r>
          </w:p>
        </w:tc>
        <w:tc>
          <w:tcPr>
            <w:tcW w:w="1134" w:type="dxa"/>
            <w:vAlign w:val="top"/>
          </w:tcPr>
          <w:p w14:paraId="09D1B439">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10.37</w:t>
            </w:r>
          </w:p>
        </w:tc>
        <w:tc>
          <w:tcPr>
            <w:tcW w:w="2268" w:type="dxa"/>
            <w:vAlign w:val="top"/>
          </w:tcPr>
          <w:p w14:paraId="0C9A102C">
            <w:pPr>
              <w:keepNext w:val="0"/>
              <w:keepLines w:val="0"/>
              <w:widowControl/>
              <w:suppressLineNumbers w:val="0"/>
              <w:jc w:val="both"/>
              <w:textAlignment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u w:val="none"/>
                <w:lang w:val="en-US" w:eastAsia="zh-CN" w:bidi="ar"/>
              </w:rPr>
              <w:t>0.220</w:t>
            </w:r>
          </w:p>
        </w:tc>
      </w:tr>
      <w:tr w14:paraId="1DCD6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tcBorders>
              <w:bottom w:val="single" w:color="auto" w:sz="12" w:space="0"/>
            </w:tcBorders>
            <w:vAlign w:val="top"/>
          </w:tcPr>
          <w:p w14:paraId="3D149D0E">
            <w:pPr>
              <w:jc w:val="both"/>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Mindfulness</w:t>
            </w:r>
          </w:p>
        </w:tc>
        <w:tc>
          <w:tcPr>
            <w:tcW w:w="4252" w:type="dxa"/>
            <w:tcBorders>
              <w:bottom w:val="single" w:color="auto" w:sz="12" w:space="0"/>
            </w:tcBorders>
            <w:shd w:val="clear" w:color="auto" w:fill="auto"/>
            <w:vAlign w:val="top"/>
          </w:tcPr>
          <w:p w14:paraId="49E257C7">
            <w:pPr>
              <w:keepNext w:val="0"/>
              <w:keepLines w:val="0"/>
              <w:widowControl/>
              <w:suppressLineNumbers w:val="0"/>
              <w:jc w:val="both"/>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0"/>
                <w:sz w:val="21"/>
                <w:szCs w:val="21"/>
                <w:u w:val="none"/>
                <w:lang w:bidi="ar"/>
              </w:rPr>
              <w:t>Conventional normal-approximation inference</w:t>
            </w:r>
          </w:p>
        </w:tc>
        <w:tc>
          <w:tcPr>
            <w:tcW w:w="567" w:type="dxa"/>
            <w:tcBorders>
              <w:bottom w:val="single" w:color="auto" w:sz="12" w:space="0"/>
            </w:tcBorders>
            <w:vAlign w:val="top"/>
          </w:tcPr>
          <w:p w14:paraId="5705BA42">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w:t>
            </w:r>
          </w:p>
        </w:tc>
        <w:tc>
          <w:tcPr>
            <w:tcW w:w="2268" w:type="dxa"/>
            <w:tcBorders>
              <w:bottom w:val="single" w:color="auto" w:sz="12" w:space="0"/>
            </w:tcBorders>
            <w:vAlign w:val="top"/>
          </w:tcPr>
          <w:p w14:paraId="3EB1ACDA">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0.55 (0.14, 0.95)</w:t>
            </w:r>
          </w:p>
        </w:tc>
        <w:tc>
          <w:tcPr>
            <w:tcW w:w="2268" w:type="dxa"/>
            <w:tcBorders>
              <w:bottom w:val="single" w:color="auto" w:sz="12" w:space="0"/>
            </w:tcBorders>
            <w:vAlign w:val="top"/>
          </w:tcPr>
          <w:p w14:paraId="26412D31">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0.009</w:t>
            </w:r>
          </w:p>
        </w:tc>
        <w:tc>
          <w:tcPr>
            <w:tcW w:w="1134" w:type="dxa"/>
            <w:tcBorders>
              <w:bottom w:val="single" w:color="auto" w:sz="12" w:space="0"/>
            </w:tcBorders>
            <w:vAlign w:val="top"/>
          </w:tcPr>
          <w:p w14:paraId="3E684921">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0.023</w:t>
            </w:r>
          </w:p>
        </w:tc>
        <w:tc>
          <w:tcPr>
            <w:tcW w:w="1134" w:type="dxa"/>
            <w:tcBorders>
              <w:bottom w:val="single" w:color="auto" w:sz="12" w:space="0"/>
            </w:tcBorders>
            <w:vAlign w:val="top"/>
          </w:tcPr>
          <w:p w14:paraId="53616A3D">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10.37</w:t>
            </w:r>
          </w:p>
        </w:tc>
        <w:tc>
          <w:tcPr>
            <w:tcW w:w="2268" w:type="dxa"/>
            <w:tcBorders>
              <w:bottom w:val="single" w:color="auto" w:sz="12" w:space="0"/>
            </w:tcBorders>
            <w:vAlign w:val="top"/>
          </w:tcPr>
          <w:p w14:paraId="31B9E367">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0.220</w:t>
            </w:r>
          </w:p>
        </w:tc>
      </w:tr>
      <w:tr w14:paraId="07436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shd w:val="clear" w:color="auto" w:fill="auto"/>
            <w:vAlign w:val="top"/>
          </w:tcPr>
          <w:p w14:paraId="1B92B7B9">
            <w:pPr>
              <w:jc w:val="both"/>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color w:val="auto"/>
                <w:sz w:val="21"/>
                <w:szCs w:val="21"/>
                <w:highlight w:val="none"/>
                <w:vertAlign w:val="baseline"/>
                <w:lang w:val="en-US" w:eastAsia="zh-CN"/>
              </w:rPr>
              <w:t>Mindfulness</w:t>
            </w:r>
          </w:p>
        </w:tc>
        <w:tc>
          <w:tcPr>
            <w:tcW w:w="4252" w:type="dxa"/>
            <w:shd w:val="clear" w:color="auto" w:fill="auto"/>
            <w:vAlign w:val="top"/>
          </w:tcPr>
          <w:p w14:paraId="007505C9">
            <w:pPr>
              <w:keepNext w:val="0"/>
              <w:keepLines w:val="0"/>
              <w:widowControl/>
              <w:suppressLineNumbers w:val="0"/>
              <w:jc w:val="both"/>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Fixed-effect model</w:t>
            </w:r>
          </w:p>
        </w:tc>
        <w:tc>
          <w:tcPr>
            <w:tcW w:w="567" w:type="dxa"/>
            <w:shd w:val="clear" w:color="auto" w:fill="auto"/>
            <w:vAlign w:val="top"/>
          </w:tcPr>
          <w:p w14:paraId="501D7716">
            <w:pPr>
              <w:keepNext w:val="0"/>
              <w:keepLines w:val="0"/>
              <w:widowControl/>
              <w:suppressLineNumbers w:val="0"/>
              <w:jc w:val="both"/>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5</w:t>
            </w:r>
          </w:p>
        </w:tc>
        <w:tc>
          <w:tcPr>
            <w:tcW w:w="2268" w:type="dxa"/>
            <w:shd w:val="clear" w:color="auto" w:fill="auto"/>
            <w:vAlign w:val="top"/>
          </w:tcPr>
          <w:p w14:paraId="2802FEE8">
            <w:pPr>
              <w:keepNext w:val="0"/>
              <w:keepLines w:val="0"/>
              <w:widowControl/>
              <w:suppressLineNumbers w:val="0"/>
              <w:jc w:val="both"/>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0.54 (0.16, 0.93)</w:t>
            </w:r>
          </w:p>
        </w:tc>
        <w:tc>
          <w:tcPr>
            <w:tcW w:w="2268" w:type="dxa"/>
            <w:shd w:val="clear" w:color="auto" w:fill="auto"/>
            <w:vAlign w:val="top"/>
          </w:tcPr>
          <w:p w14:paraId="10E76240">
            <w:pPr>
              <w:keepNext w:val="0"/>
              <w:keepLines w:val="0"/>
              <w:widowControl/>
              <w:suppressLineNumbers w:val="0"/>
              <w:jc w:val="both"/>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0.006</w:t>
            </w:r>
          </w:p>
        </w:tc>
        <w:tc>
          <w:tcPr>
            <w:tcW w:w="1134" w:type="dxa"/>
            <w:shd w:val="clear" w:color="auto" w:fill="auto"/>
            <w:vAlign w:val="top"/>
          </w:tcPr>
          <w:p w14:paraId="0B3B88E6">
            <w:pPr>
              <w:keepNext w:val="0"/>
              <w:keepLines w:val="0"/>
              <w:widowControl/>
              <w:suppressLineNumbers w:val="0"/>
              <w:jc w:val="both"/>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134" w:type="dxa"/>
            <w:shd w:val="clear" w:color="auto" w:fill="auto"/>
            <w:vAlign w:val="top"/>
          </w:tcPr>
          <w:p w14:paraId="2723892C">
            <w:pPr>
              <w:keepNext w:val="0"/>
              <w:keepLines w:val="0"/>
              <w:widowControl/>
              <w:suppressLineNumbers w:val="0"/>
              <w:jc w:val="both"/>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30.24</w:t>
            </w:r>
          </w:p>
        </w:tc>
        <w:tc>
          <w:tcPr>
            <w:tcW w:w="2268" w:type="dxa"/>
            <w:shd w:val="clear" w:color="auto" w:fill="auto"/>
            <w:vAlign w:val="top"/>
          </w:tcPr>
          <w:p w14:paraId="2D338F24">
            <w:pPr>
              <w:keepNext w:val="0"/>
              <w:keepLines w:val="0"/>
              <w:widowControl/>
              <w:suppressLineNumbers w:val="0"/>
              <w:jc w:val="both"/>
              <w:textAlignment w:val="center"/>
              <w:rPr>
                <w:rFonts w:hint="default" w:ascii="Times New Roman" w:hAnsi="Times New Roman" w:eastAsia="宋体" w:cs="Times New Roman"/>
                <w:color w:val="auto"/>
                <w:kern w:val="2"/>
                <w:sz w:val="21"/>
                <w:szCs w:val="21"/>
                <w:highlight w:val="none"/>
                <w:vertAlign w:val="baseline"/>
                <w:lang w:val="en-US" w:eastAsia="zh-CN" w:bidi="ar-SA"/>
              </w:rPr>
            </w:pPr>
            <w:r>
              <w:rPr>
                <w:rFonts w:hint="default" w:ascii="Times New Roman" w:hAnsi="Times New Roman" w:eastAsia="宋体" w:cs="Times New Roman"/>
                <w:i w:val="0"/>
                <w:iCs w:val="0"/>
                <w:color w:val="auto"/>
                <w:kern w:val="0"/>
                <w:sz w:val="21"/>
                <w:szCs w:val="21"/>
                <w:highlight w:val="none"/>
                <w:u w:val="none"/>
                <w:lang w:val="en-US" w:eastAsia="zh-CN" w:bidi="ar"/>
              </w:rPr>
              <w:t>0.220</w:t>
            </w:r>
          </w:p>
        </w:tc>
      </w:tr>
      <w:tr w14:paraId="55D07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shd w:val="clear" w:color="auto" w:fill="auto"/>
            <w:vAlign w:val="top"/>
          </w:tcPr>
          <w:p w14:paraId="4607DC7D">
            <w:pP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vertAlign w:val="baseline"/>
                <w:lang w:val="en-US" w:eastAsia="zh-CN"/>
              </w:rPr>
              <w:t>Mindfulness</w:t>
            </w:r>
          </w:p>
        </w:tc>
        <w:tc>
          <w:tcPr>
            <w:tcW w:w="4252" w:type="dxa"/>
            <w:shd w:val="clear" w:color="auto" w:fill="auto"/>
            <w:vAlign w:val="center"/>
          </w:tcPr>
          <w:p w14:paraId="07BC6899">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Excluding high-risk results</w:t>
            </w:r>
          </w:p>
        </w:tc>
        <w:tc>
          <w:tcPr>
            <w:tcW w:w="567" w:type="dxa"/>
            <w:shd w:val="clear" w:color="auto" w:fill="auto"/>
            <w:vAlign w:val="center"/>
          </w:tcPr>
          <w:p w14:paraId="6D9ABC37">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p>
        </w:tc>
        <w:tc>
          <w:tcPr>
            <w:tcW w:w="2268" w:type="dxa"/>
            <w:shd w:val="clear" w:color="auto" w:fill="auto"/>
            <w:vAlign w:val="center"/>
          </w:tcPr>
          <w:p w14:paraId="601D3CE5">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0.67 (−0.18, 1.51)</w:t>
            </w:r>
          </w:p>
        </w:tc>
        <w:tc>
          <w:tcPr>
            <w:tcW w:w="2268" w:type="dxa"/>
            <w:shd w:val="clear" w:color="auto" w:fill="auto"/>
            <w:vAlign w:val="center"/>
          </w:tcPr>
          <w:p w14:paraId="718CFDEC">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0.086</w:t>
            </w:r>
          </w:p>
        </w:tc>
        <w:tc>
          <w:tcPr>
            <w:tcW w:w="1134" w:type="dxa"/>
            <w:shd w:val="clear" w:color="auto" w:fill="auto"/>
            <w:vAlign w:val="center"/>
          </w:tcPr>
          <w:p w14:paraId="046FA943">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0.012</w:t>
            </w:r>
          </w:p>
        </w:tc>
        <w:tc>
          <w:tcPr>
            <w:tcW w:w="1134" w:type="dxa"/>
            <w:shd w:val="clear" w:color="auto" w:fill="auto"/>
            <w:vAlign w:val="center"/>
          </w:tcPr>
          <w:p w14:paraId="42EB586C">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5.55 </w:t>
            </w:r>
          </w:p>
        </w:tc>
        <w:tc>
          <w:tcPr>
            <w:tcW w:w="2268" w:type="dxa"/>
            <w:shd w:val="clear" w:color="auto" w:fill="auto"/>
            <w:vAlign w:val="center"/>
          </w:tcPr>
          <w:p w14:paraId="7CA6435D">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0.235</w:t>
            </w:r>
          </w:p>
        </w:tc>
      </w:tr>
      <w:tr w14:paraId="185C27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shd w:val="clear" w:color="auto" w:fill="auto"/>
            <w:vAlign w:val="top"/>
          </w:tcPr>
          <w:p w14:paraId="5AF18B1E">
            <w:pP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vertAlign w:val="baseline"/>
                <w:lang w:val="en-US" w:eastAsia="zh-CN"/>
              </w:rPr>
              <w:t>Mindfulness</w:t>
            </w:r>
          </w:p>
        </w:tc>
        <w:tc>
          <w:tcPr>
            <w:tcW w:w="4252" w:type="dxa"/>
            <w:shd w:val="clear" w:color="auto" w:fill="auto"/>
            <w:vAlign w:val="center"/>
          </w:tcPr>
          <w:p w14:paraId="6E5CC525">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Age ≥60 years</w:t>
            </w:r>
          </w:p>
        </w:tc>
        <w:tc>
          <w:tcPr>
            <w:tcW w:w="567" w:type="dxa"/>
            <w:shd w:val="clear" w:color="auto" w:fill="auto"/>
            <w:vAlign w:val="center"/>
          </w:tcPr>
          <w:p w14:paraId="0A8212A2">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w:t>
            </w:r>
          </w:p>
        </w:tc>
        <w:tc>
          <w:tcPr>
            <w:tcW w:w="2268" w:type="dxa"/>
            <w:shd w:val="clear" w:color="auto" w:fill="auto"/>
            <w:vAlign w:val="center"/>
          </w:tcPr>
          <w:p w14:paraId="50BD45AF">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0.55 (−0.31, 1.42)</w:t>
            </w:r>
          </w:p>
        </w:tc>
        <w:tc>
          <w:tcPr>
            <w:tcW w:w="2268" w:type="dxa"/>
            <w:shd w:val="clear" w:color="auto" w:fill="auto"/>
            <w:vAlign w:val="center"/>
          </w:tcPr>
          <w:p w14:paraId="7A1F553C">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0.111</w:t>
            </w:r>
          </w:p>
        </w:tc>
        <w:tc>
          <w:tcPr>
            <w:tcW w:w="1134" w:type="dxa"/>
            <w:shd w:val="clear" w:color="auto" w:fill="auto"/>
            <w:vAlign w:val="center"/>
          </w:tcPr>
          <w:p w14:paraId="0A334C2C">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&lt; 0.001</w:t>
            </w:r>
          </w:p>
        </w:tc>
        <w:tc>
          <w:tcPr>
            <w:tcW w:w="1134" w:type="dxa"/>
            <w:shd w:val="clear" w:color="auto" w:fill="auto"/>
            <w:vAlign w:val="center"/>
          </w:tcPr>
          <w:p w14:paraId="3B4C2B01">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 </w:t>
            </w:r>
          </w:p>
        </w:tc>
        <w:tc>
          <w:tcPr>
            <w:tcW w:w="2268" w:type="dxa"/>
            <w:shd w:val="clear" w:color="auto" w:fill="auto"/>
            <w:vAlign w:val="center"/>
          </w:tcPr>
          <w:p w14:paraId="33AA8377">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0.468</w:t>
            </w:r>
          </w:p>
        </w:tc>
      </w:tr>
      <w:tr w14:paraId="35F99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shd w:val="clear" w:color="auto" w:fill="auto"/>
            <w:vAlign w:val="top"/>
          </w:tcPr>
          <w:p w14:paraId="45C550A0">
            <w:pP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vertAlign w:val="baseline"/>
                <w:lang w:val="en-US" w:eastAsia="zh-CN"/>
              </w:rPr>
              <w:t>Mindfulness</w:t>
            </w:r>
          </w:p>
        </w:tc>
        <w:tc>
          <w:tcPr>
            <w:tcW w:w="4252" w:type="dxa"/>
            <w:shd w:val="clear" w:color="auto" w:fill="auto"/>
            <w:vAlign w:val="center"/>
          </w:tcPr>
          <w:p w14:paraId="54552BE6">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Excluding academic theses/dissertations</w:t>
            </w:r>
          </w:p>
        </w:tc>
        <w:tc>
          <w:tcPr>
            <w:tcW w:w="567" w:type="dxa"/>
            <w:shd w:val="clear" w:color="auto" w:fill="auto"/>
            <w:vAlign w:val="center"/>
          </w:tcPr>
          <w:p w14:paraId="1991E056">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w:t>
            </w:r>
          </w:p>
        </w:tc>
        <w:tc>
          <w:tcPr>
            <w:tcW w:w="2268" w:type="dxa"/>
            <w:shd w:val="clear" w:color="auto" w:fill="auto"/>
            <w:vAlign w:val="center"/>
          </w:tcPr>
          <w:p w14:paraId="261B0377">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0.57 (−1.47, 2.61)</w:t>
            </w:r>
          </w:p>
        </w:tc>
        <w:tc>
          <w:tcPr>
            <w:tcW w:w="2268" w:type="dxa"/>
            <w:shd w:val="clear" w:color="auto" w:fill="auto"/>
            <w:vAlign w:val="center"/>
          </w:tcPr>
          <w:p w14:paraId="6D7E702F">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0.354</w:t>
            </w:r>
          </w:p>
        </w:tc>
        <w:tc>
          <w:tcPr>
            <w:tcW w:w="1134" w:type="dxa"/>
            <w:shd w:val="clear" w:color="auto" w:fill="auto"/>
            <w:vAlign w:val="center"/>
          </w:tcPr>
          <w:p w14:paraId="003F3A1B">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0.287</w:t>
            </w:r>
          </w:p>
        </w:tc>
        <w:tc>
          <w:tcPr>
            <w:tcW w:w="1134" w:type="dxa"/>
            <w:shd w:val="clear" w:color="auto" w:fill="auto"/>
            <w:vAlign w:val="center"/>
          </w:tcPr>
          <w:p w14:paraId="0389814D">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54.48</w:t>
            </w:r>
          </w:p>
        </w:tc>
        <w:tc>
          <w:tcPr>
            <w:tcW w:w="2268" w:type="dxa"/>
            <w:shd w:val="clear" w:color="auto" w:fill="auto"/>
            <w:vAlign w:val="center"/>
          </w:tcPr>
          <w:p w14:paraId="2306BD3E">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0.116</w:t>
            </w:r>
          </w:p>
        </w:tc>
      </w:tr>
      <w:tr w14:paraId="2DC2C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shd w:val="clear" w:color="auto" w:fill="auto"/>
            <w:vAlign w:val="top"/>
          </w:tcPr>
          <w:p w14:paraId="35099F65">
            <w:pP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Mindfulness</w:t>
            </w:r>
          </w:p>
        </w:tc>
        <w:tc>
          <w:tcPr>
            <w:tcW w:w="4252" w:type="dxa"/>
            <w:shd w:val="clear" w:color="auto" w:fill="auto"/>
            <w:vAlign w:val="center"/>
          </w:tcPr>
          <w:p w14:paraId="470BBF74">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Excluding MAAS result</w:t>
            </w:r>
          </w:p>
        </w:tc>
        <w:tc>
          <w:tcPr>
            <w:tcW w:w="567" w:type="dxa"/>
            <w:shd w:val="clear" w:color="auto" w:fill="auto"/>
            <w:vAlign w:val="center"/>
          </w:tcPr>
          <w:p w14:paraId="788E790F">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2268" w:type="dxa"/>
            <w:shd w:val="clear" w:color="auto" w:fill="auto"/>
            <w:vAlign w:val="center"/>
          </w:tcPr>
          <w:p w14:paraId="0D3795F4">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0.40 (</w:t>
            </w:r>
            <w:r>
              <w:rPr>
                <w:rFonts w:hint="default" w:ascii="Times New Roman" w:hAnsi="Times New Roman" w:eastAsia="宋体" w:cs="Times New Roman"/>
                <w:i w:val="0"/>
                <w:iCs w:val="0"/>
                <w:color w:val="auto"/>
                <w:kern w:val="0"/>
                <w:sz w:val="21"/>
                <w:szCs w:val="21"/>
                <w:u w:val="none"/>
                <w:lang w:val="en-US" w:eastAsia="zh-CN" w:bidi="ar"/>
              </w:rPr>
              <w:t>−0.49, 1.29</w:t>
            </w: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268" w:type="dxa"/>
            <w:shd w:val="clear" w:color="auto" w:fill="auto"/>
            <w:vAlign w:val="center"/>
          </w:tcPr>
          <w:p w14:paraId="6AA2471E">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0.245</w:t>
            </w:r>
          </w:p>
        </w:tc>
        <w:tc>
          <w:tcPr>
            <w:tcW w:w="1134" w:type="dxa"/>
            <w:shd w:val="clear" w:color="auto" w:fill="auto"/>
            <w:vAlign w:val="center"/>
          </w:tcPr>
          <w:p w14:paraId="2FD44941">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&lt; 0.001</w:t>
            </w:r>
          </w:p>
        </w:tc>
        <w:tc>
          <w:tcPr>
            <w:tcW w:w="1134" w:type="dxa"/>
            <w:shd w:val="clear" w:color="auto" w:fill="auto"/>
            <w:vAlign w:val="center"/>
          </w:tcPr>
          <w:p w14:paraId="0CDE93E1">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w:t>
            </w:r>
          </w:p>
        </w:tc>
        <w:tc>
          <w:tcPr>
            <w:tcW w:w="2268" w:type="dxa"/>
            <w:shd w:val="clear" w:color="auto" w:fill="auto"/>
            <w:vAlign w:val="center"/>
          </w:tcPr>
          <w:p w14:paraId="625AE275">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0.222</w:t>
            </w:r>
          </w:p>
        </w:tc>
      </w:tr>
      <w:tr w14:paraId="251F5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shd w:val="clear" w:color="auto" w:fill="auto"/>
            <w:vAlign w:val="top"/>
          </w:tcPr>
          <w:p w14:paraId="0AC5EA6B">
            <w:pP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vertAlign w:val="baseline"/>
                <w:lang w:val="en-US" w:eastAsia="zh-CN"/>
              </w:rPr>
              <w:t>Positive affect</w:t>
            </w:r>
          </w:p>
        </w:tc>
        <w:tc>
          <w:tcPr>
            <w:tcW w:w="4252" w:type="dxa"/>
            <w:shd w:val="clear" w:color="auto" w:fill="auto"/>
            <w:vAlign w:val="center"/>
          </w:tcPr>
          <w:p w14:paraId="243A1C7B">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kern w:val="0"/>
                <w:sz w:val="21"/>
                <w:szCs w:val="21"/>
                <w:u w:val="none"/>
                <w:lang w:bidi="ar"/>
              </w:rPr>
              <w:t>Primary REML+Knapp–Hartung analysis</w:t>
            </w:r>
          </w:p>
        </w:tc>
        <w:tc>
          <w:tcPr>
            <w:tcW w:w="567" w:type="dxa"/>
            <w:shd w:val="clear" w:color="auto" w:fill="auto"/>
            <w:vAlign w:val="center"/>
          </w:tcPr>
          <w:p w14:paraId="3EC2B170">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p>
        </w:tc>
        <w:tc>
          <w:tcPr>
            <w:tcW w:w="2268" w:type="dxa"/>
            <w:shd w:val="clear" w:color="auto" w:fill="auto"/>
            <w:vAlign w:val="center"/>
          </w:tcPr>
          <w:p w14:paraId="5C63E596">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0.33 (−0.17, 0.83)</w:t>
            </w:r>
          </w:p>
        </w:tc>
        <w:tc>
          <w:tcPr>
            <w:tcW w:w="2268" w:type="dxa"/>
            <w:shd w:val="clear" w:color="auto" w:fill="auto"/>
            <w:vAlign w:val="center"/>
          </w:tcPr>
          <w:p w14:paraId="052A5259">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0.129</w:t>
            </w:r>
          </w:p>
        </w:tc>
        <w:tc>
          <w:tcPr>
            <w:tcW w:w="1134" w:type="dxa"/>
            <w:shd w:val="clear" w:color="auto" w:fill="auto"/>
            <w:vAlign w:val="center"/>
          </w:tcPr>
          <w:p w14:paraId="513779D2">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&lt; 0.001</w:t>
            </w:r>
          </w:p>
        </w:tc>
        <w:tc>
          <w:tcPr>
            <w:tcW w:w="1134" w:type="dxa"/>
            <w:shd w:val="clear" w:color="auto" w:fill="auto"/>
            <w:vAlign w:val="center"/>
          </w:tcPr>
          <w:p w14:paraId="380A705F">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 </w:t>
            </w:r>
          </w:p>
        </w:tc>
        <w:tc>
          <w:tcPr>
            <w:tcW w:w="2268" w:type="dxa"/>
            <w:shd w:val="clear" w:color="auto" w:fill="auto"/>
            <w:vAlign w:val="center"/>
          </w:tcPr>
          <w:p w14:paraId="767E5FC1">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0.531</w:t>
            </w:r>
          </w:p>
        </w:tc>
      </w:tr>
      <w:tr w14:paraId="5D59D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shd w:val="clear" w:color="auto" w:fill="auto"/>
            <w:vAlign w:val="top"/>
          </w:tcPr>
          <w:p w14:paraId="7308A10A">
            <w:pP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vertAlign w:val="baseline"/>
                <w:lang w:val="en-US" w:eastAsia="zh-CN"/>
              </w:rPr>
              <w:t>Positive affect</w:t>
            </w:r>
          </w:p>
        </w:tc>
        <w:tc>
          <w:tcPr>
            <w:tcW w:w="4252" w:type="dxa"/>
            <w:shd w:val="clear" w:color="auto" w:fill="auto"/>
            <w:vAlign w:val="top"/>
          </w:tcPr>
          <w:p w14:paraId="3946B19C">
            <w:pPr>
              <w:keepNext w:val="0"/>
              <w:keepLines w:val="0"/>
              <w:widowControl/>
              <w:suppressLineNumbers w:val="0"/>
              <w:jc w:val="both"/>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0"/>
                <w:sz w:val="21"/>
                <w:szCs w:val="21"/>
                <w:u w:val="none"/>
                <w:lang w:bidi="ar"/>
              </w:rPr>
              <w:t>Conventional normal-approximation inference</w:t>
            </w:r>
          </w:p>
        </w:tc>
        <w:tc>
          <w:tcPr>
            <w:tcW w:w="567" w:type="dxa"/>
            <w:shd w:val="clear" w:color="auto" w:fill="auto"/>
            <w:vAlign w:val="center"/>
          </w:tcPr>
          <w:p w14:paraId="7FCBEEEA">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w:t>
            </w:r>
          </w:p>
        </w:tc>
        <w:tc>
          <w:tcPr>
            <w:tcW w:w="2268" w:type="dxa"/>
            <w:shd w:val="clear" w:color="auto" w:fill="auto"/>
            <w:vAlign w:val="center"/>
          </w:tcPr>
          <w:p w14:paraId="23A8EA24">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0.33 (−0.03, 0.69)</w:t>
            </w:r>
          </w:p>
        </w:tc>
        <w:tc>
          <w:tcPr>
            <w:tcW w:w="2268" w:type="dxa"/>
            <w:shd w:val="clear" w:color="auto" w:fill="auto"/>
            <w:vAlign w:val="center"/>
          </w:tcPr>
          <w:p w14:paraId="7700142C">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0.075</w:t>
            </w:r>
          </w:p>
        </w:tc>
        <w:tc>
          <w:tcPr>
            <w:tcW w:w="1134" w:type="dxa"/>
            <w:shd w:val="clear" w:color="auto" w:fill="auto"/>
            <w:vAlign w:val="center"/>
          </w:tcPr>
          <w:p w14:paraId="4F5CD054">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&lt; 0.001</w:t>
            </w:r>
          </w:p>
        </w:tc>
        <w:tc>
          <w:tcPr>
            <w:tcW w:w="1134" w:type="dxa"/>
            <w:shd w:val="clear" w:color="auto" w:fill="auto"/>
            <w:vAlign w:val="center"/>
          </w:tcPr>
          <w:p w14:paraId="7E9305B1">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 </w:t>
            </w:r>
          </w:p>
        </w:tc>
        <w:tc>
          <w:tcPr>
            <w:tcW w:w="2268" w:type="dxa"/>
            <w:shd w:val="clear" w:color="auto" w:fill="auto"/>
            <w:vAlign w:val="center"/>
          </w:tcPr>
          <w:p w14:paraId="64AE1213">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0.531</w:t>
            </w:r>
          </w:p>
        </w:tc>
      </w:tr>
      <w:tr w14:paraId="5A886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shd w:val="clear" w:color="auto" w:fill="auto"/>
            <w:vAlign w:val="top"/>
          </w:tcPr>
          <w:p w14:paraId="7D8C747C">
            <w:pP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Positive affect</w:t>
            </w:r>
          </w:p>
        </w:tc>
        <w:tc>
          <w:tcPr>
            <w:tcW w:w="4252" w:type="dxa"/>
            <w:shd w:val="clear" w:color="auto" w:fill="auto"/>
            <w:vAlign w:val="center"/>
          </w:tcPr>
          <w:p w14:paraId="18220D57">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Fixed-effect model</w:t>
            </w:r>
          </w:p>
        </w:tc>
        <w:tc>
          <w:tcPr>
            <w:tcW w:w="567" w:type="dxa"/>
            <w:shd w:val="clear" w:color="auto" w:fill="auto"/>
            <w:vAlign w:val="center"/>
          </w:tcPr>
          <w:p w14:paraId="5B1D24C0">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4</w:t>
            </w:r>
          </w:p>
        </w:tc>
        <w:tc>
          <w:tcPr>
            <w:tcW w:w="2268" w:type="dxa"/>
            <w:shd w:val="clear" w:color="auto" w:fill="auto"/>
            <w:vAlign w:val="center"/>
          </w:tcPr>
          <w:p w14:paraId="73E82D89">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0.33 (−0.03, 0.69)</w:t>
            </w:r>
          </w:p>
        </w:tc>
        <w:tc>
          <w:tcPr>
            <w:tcW w:w="2268" w:type="dxa"/>
            <w:shd w:val="clear" w:color="auto" w:fill="auto"/>
            <w:vAlign w:val="center"/>
          </w:tcPr>
          <w:p w14:paraId="702E788A">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0.075</w:t>
            </w:r>
          </w:p>
        </w:tc>
        <w:tc>
          <w:tcPr>
            <w:tcW w:w="1134" w:type="dxa"/>
            <w:shd w:val="clear" w:color="auto" w:fill="auto"/>
            <w:vAlign w:val="center"/>
          </w:tcPr>
          <w:p w14:paraId="65EA2461">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134" w:type="dxa"/>
            <w:shd w:val="clear" w:color="auto" w:fill="auto"/>
            <w:vAlign w:val="center"/>
          </w:tcPr>
          <w:p w14:paraId="709A6297">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 xml:space="preserve">0.00 </w:t>
            </w:r>
          </w:p>
        </w:tc>
        <w:tc>
          <w:tcPr>
            <w:tcW w:w="2268" w:type="dxa"/>
            <w:shd w:val="clear" w:color="auto" w:fill="auto"/>
            <w:vAlign w:val="center"/>
          </w:tcPr>
          <w:p w14:paraId="7DF7C59F">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0.531</w:t>
            </w:r>
          </w:p>
        </w:tc>
      </w:tr>
      <w:tr w14:paraId="5A391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shd w:val="clear" w:color="auto" w:fill="auto"/>
            <w:vAlign w:val="top"/>
          </w:tcPr>
          <w:p w14:paraId="07B715BC">
            <w:pP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vertAlign w:val="baseline"/>
                <w:lang w:val="en-US" w:eastAsia="zh-CN"/>
              </w:rPr>
              <w:t>Positive affect</w:t>
            </w:r>
          </w:p>
        </w:tc>
        <w:tc>
          <w:tcPr>
            <w:tcW w:w="4252" w:type="dxa"/>
            <w:shd w:val="clear" w:color="auto" w:fill="auto"/>
            <w:vAlign w:val="center"/>
          </w:tcPr>
          <w:p w14:paraId="3686C959">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Excluding high-risk results</w:t>
            </w:r>
          </w:p>
        </w:tc>
        <w:tc>
          <w:tcPr>
            <w:tcW w:w="567" w:type="dxa"/>
            <w:shd w:val="clear" w:color="auto" w:fill="auto"/>
            <w:vAlign w:val="center"/>
          </w:tcPr>
          <w:p w14:paraId="40704883">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w:t>
            </w:r>
          </w:p>
        </w:tc>
        <w:tc>
          <w:tcPr>
            <w:tcW w:w="2268" w:type="dxa"/>
            <w:shd w:val="clear" w:color="auto" w:fill="auto"/>
            <w:vAlign w:val="center"/>
          </w:tcPr>
          <w:p w14:paraId="6D7414DD">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0.37 (−0.51, 1.25)</w:t>
            </w:r>
          </w:p>
        </w:tc>
        <w:tc>
          <w:tcPr>
            <w:tcW w:w="2268" w:type="dxa"/>
            <w:shd w:val="clear" w:color="auto" w:fill="auto"/>
            <w:vAlign w:val="center"/>
          </w:tcPr>
          <w:p w14:paraId="6488F7E6">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0.210</w:t>
            </w:r>
          </w:p>
        </w:tc>
        <w:tc>
          <w:tcPr>
            <w:tcW w:w="1134" w:type="dxa"/>
            <w:shd w:val="clear" w:color="auto" w:fill="auto"/>
            <w:vAlign w:val="center"/>
          </w:tcPr>
          <w:p w14:paraId="010EB2E5">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0.013</w:t>
            </w:r>
          </w:p>
        </w:tc>
        <w:tc>
          <w:tcPr>
            <w:tcW w:w="1134" w:type="dxa"/>
            <w:shd w:val="clear" w:color="auto" w:fill="auto"/>
            <w:vAlign w:val="center"/>
          </w:tcPr>
          <w:p w14:paraId="774FB277">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9.40 </w:t>
            </w:r>
          </w:p>
        </w:tc>
        <w:tc>
          <w:tcPr>
            <w:tcW w:w="2268" w:type="dxa"/>
            <w:shd w:val="clear" w:color="auto" w:fill="auto"/>
            <w:vAlign w:val="center"/>
          </w:tcPr>
          <w:p w14:paraId="44700EC7">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0.366</w:t>
            </w:r>
          </w:p>
        </w:tc>
      </w:tr>
      <w:tr w14:paraId="03697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shd w:val="clear" w:color="auto" w:fill="auto"/>
            <w:vAlign w:val="top"/>
          </w:tcPr>
          <w:p w14:paraId="6BF446C9">
            <w:pP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vertAlign w:val="baseline"/>
                <w:lang w:val="en-US" w:eastAsia="zh-CN"/>
              </w:rPr>
              <w:t>Positive affect</w:t>
            </w:r>
          </w:p>
        </w:tc>
        <w:tc>
          <w:tcPr>
            <w:tcW w:w="4252" w:type="dxa"/>
            <w:shd w:val="clear" w:color="auto" w:fill="auto"/>
            <w:vAlign w:val="center"/>
          </w:tcPr>
          <w:p w14:paraId="794D47ED">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Age ≥60 years</w:t>
            </w:r>
          </w:p>
        </w:tc>
        <w:tc>
          <w:tcPr>
            <w:tcW w:w="567" w:type="dxa"/>
            <w:shd w:val="clear" w:color="auto" w:fill="auto"/>
            <w:vAlign w:val="center"/>
          </w:tcPr>
          <w:p w14:paraId="2DD8A792">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w:t>
            </w:r>
          </w:p>
        </w:tc>
        <w:tc>
          <w:tcPr>
            <w:tcW w:w="2268" w:type="dxa"/>
            <w:shd w:val="clear" w:color="auto" w:fill="auto"/>
            <w:vAlign w:val="center"/>
          </w:tcPr>
          <w:p w14:paraId="361C5E15">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0.37 (−0.51, 1.25)</w:t>
            </w:r>
          </w:p>
        </w:tc>
        <w:tc>
          <w:tcPr>
            <w:tcW w:w="2268" w:type="dxa"/>
            <w:shd w:val="clear" w:color="auto" w:fill="auto"/>
            <w:vAlign w:val="center"/>
          </w:tcPr>
          <w:p w14:paraId="500FA8AD">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0.210</w:t>
            </w:r>
          </w:p>
        </w:tc>
        <w:tc>
          <w:tcPr>
            <w:tcW w:w="1134" w:type="dxa"/>
            <w:shd w:val="clear" w:color="auto" w:fill="auto"/>
            <w:vAlign w:val="center"/>
          </w:tcPr>
          <w:p w14:paraId="7FA2A0D8">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0.013</w:t>
            </w:r>
          </w:p>
        </w:tc>
        <w:tc>
          <w:tcPr>
            <w:tcW w:w="1134" w:type="dxa"/>
            <w:shd w:val="clear" w:color="auto" w:fill="auto"/>
            <w:vAlign w:val="center"/>
          </w:tcPr>
          <w:p w14:paraId="18E97867">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9.40 </w:t>
            </w:r>
          </w:p>
        </w:tc>
        <w:tc>
          <w:tcPr>
            <w:tcW w:w="2268" w:type="dxa"/>
            <w:shd w:val="clear" w:color="auto" w:fill="auto"/>
            <w:vAlign w:val="center"/>
          </w:tcPr>
          <w:p w14:paraId="079C61A4">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0.366</w:t>
            </w:r>
          </w:p>
        </w:tc>
      </w:tr>
      <w:tr w14:paraId="6D9E0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shd w:val="clear" w:color="auto" w:fill="auto"/>
            <w:vAlign w:val="top"/>
          </w:tcPr>
          <w:p w14:paraId="44613A89">
            <w:pP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vertAlign w:val="baseline"/>
                <w:lang w:val="en-US" w:eastAsia="zh-CN"/>
              </w:rPr>
              <w:t>Positive affect</w:t>
            </w:r>
          </w:p>
        </w:tc>
        <w:tc>
          <w:tcPr>
            <w:tcW w:w="4252" w:type="dxa"/>
            <w:shd w:val="clear" w:color="auto" w:fill="auto"/>
            <w:vAlign w:val="center"/>
          </w:tcPr>
          <w:p w14:paraId="3E06A11F">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Excluding academic theses/dissertations</w:t>
            </w:r>
          </w:p>
        </w:tc>
        <w:tc>
          <w:tcPr>
            <w:tcW w:w="567" w:type="dxa"/>
            <w:shd w:val="clear" w:color="auto" w:fill="auto"/>
            <w:vAlign w:val="center"/>
          </w:tcPr>
          <w:p w14:paraId="4B650BC9">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w:t>
            </w:r>
          </w:p>
        </w:tc>
        <w:tc>
          <w:tcPr>
            <w:tcW w:w="2268" w:type="dxa"/>
            <w:shd w:val="clear" w:color="auto" w:fill="auto"/>
            <w:vAlign w:val="center"/>
          </w:tcPr>
          <w:p w14:paraId="1DBD69B7">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0.19 (−0.29, 0.67)</w:t>
            </w:r>
          </w:p>
        </w:tc>
        <w:tc>
          <w:tcPr>
            <w:tcW w:w="2268" w:type="dxa"/>
            <w:shd w:val="clear" w:color="auto" w:fill="auto"/>
            <w:vAlign w:val="center"/>
          </w:tcPr>
          <w:p w14:paraId="5C39E7AB">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0.233</w:t>
            </w:r>
          </w:p>
        </w:tc>
        <w:tc>
          <w:tcPr>
            <w:tcW w:w="1134" w:type="dxa"/>
            <w:shd w:val="clear" w:color="auto" w:fill="auto"/>
            <w:vAlign w:val="center"/>
          </w:tcPr>
          <w:p w14:paraId="2F542226">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&lt; 0.001</w:t>
            </w:r>
          </w:p>
        </w:tc>
        <w:tc>
          <w:tcPr>
            <w:tcW w:w="1134" w:type="dxa"/>
            <w:shd w:val="clear" w:color="auto" w:fill="auto"/>
            <w:vAlign w:val="center"/>
          </w:tcPr>
          <w:p w14:paraId="23B542A5">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 </w:t>
            </w:r>
          </w:p>
        </w:tc>
        <w:tc>
          <w:tcPr>
            <w:tcW w:w="2268" w:type="dxa"/>
            <w:shd w:val="clear" w:color="auto" w:fill="auto"/>
            <w:vAlign w:val="center"/>
          </w:tcPr>
          <w:p w14:paraId="5F10C513">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0.762</w:t>
            </w:r>
          </w:p>
        </w:tc>
      </w:tr>
      <w:tr w14:paraId="2C333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shd w:val="clear" w:color="auto" w:fill="auto"/>
            <w:vAlign w:val="top"/>
          </w:tcPr>
          <w:p w14:paraId="09DBA4F8">
            <w:pP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vertAlign w:val="baseline"/>
                <w:lang w:val="en-US" w:eastAsia="zh-CN"/>
              </w:rPr>
              <w:t>Negative affect</w:t>
            </w:r>
          </w:p>
        </w:tc>
        <w:tc>
          <w:tcPr>
            <w:tcW w:w="4252" w:type="dxa"/>
            <w:shd w:val="clear" w:color="auto" w:fill="auto"/>
            <w:vAlign w:val="center"/>
          </w:tcPr>
          <w:p w14:paraId="19359E2C">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kern w:val="0"/>
                <w:sz w:val="21"/>
                <w:szCs w:val="21"/>
                <w:u w:val="none"/>
                <w:lang w:bidi="ar"/>
              </w:rPr>
              <w:t>Primary REML+Knapp–Hartung analysis</w:t>
            </w:r>
          </w:p>
        </w:tc>
        <w:tc>
          <w:tcPr>
            <w:tcW w:w="567" w:type="dxa"/>
            <w:shd w:val="clear" w:color="auto" w:fill="auto"/>
            <w:vAlign w:val="center"/>
          </w:tcPr>
          <w:p w14:paraId="3C1678F6">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w:t>
            </w:r>
          </w:p>
        </w:tc>
        <w:tc>
          <w:tcPr>
            <w:tcW w:w="2268" w:type="dxa"/>
            <w:shd w:val="clear" w:color="auto" w:fill="auto"/>
            <w:vAlign w:val="center"/>
          </w:tcPr>
          <w:p w14:paraId="0E580DAD">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−0.29 (−1.46, 0.88)</w:t>
            </w:r>
          </w:p>
        </w:tc>
        <w:tc>
          <w:tcPr>
            <w:tcW w:w="2268" w:type="dxa"/>
            <w:shd w:val="clear" w:color="auto" w:fill="auto"/>
            <w:vAlign w:val="center"/>
          </w:tcPr>
          <w:p w14:paraId="379C244E">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0.401 </w:t>
            </w:r>
          </w:p>
        </w:tc>
        <w:tc>
          <w:tcPr>
            <w:tcW w:w="1134" w:type="dxa"/>
            <w:shd w:val="clear" w:color="auto" w:fill="auto"/>
            <w:vAlign w:val="center"/>
          </w:tcPr>
          <w:p w14:paraId="36665037">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0.064</w:t>
            </w:r>
          </w:p>
        </w:tc>
        <w:tc>
          <w:tcPr>
            <w:tcW w:w="1134" w:type="dxa"/>
            <w:shd w:val="clear" w:color="auto" w:fill="auto"/>
            <w:vAlign w:val="center"/>
          </w:tcPr>
          <w:p w14:paraId="7DE637FE">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30.57</w:t>
            </w:r>
          </w:p>
        </w:tc>
        <w:tc>
          <w:tcPr>
            <w:tcW w:w="2268" w:type="dxa"/>
            <w:shd w:val="clear" w:color="auto" w:fill="auto"/>
            <w:vAlign w:val="center"/>
          </w:tcPr>
          <w:p w14:paraId="76E1D9B4">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0.223</w:t>
            </w:r>
          </w:p>
        </w:tc>
      </w:tr>
      <w:tr w14:paraId="07CC5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shd w:val="clear" w:color="auto" w:fill="auto"/>
            <w:vAlign w:val="top"/>
          </w:tcPr>
          <w:p w14:paraId="40E964E9">
            <w:pP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vertAlign w:val="baseline"/>
                <w:lang w:val="en-US" w:eastAsia="zh-CN"/>
              </w:rPr>
              <w:t>Negative affect</w:t>
            </w:r>
          </w:p>
        </w:tc>
        <w:tc>
          <w:tcPr>
            <w:tcW w:w="4252" w:type="dxa"/>
            <w:shd w:val="clear" w:color="auto" w:fill="auto"/>
            <w:vAlign w:val="top"/>
          </w:tcPr>
          <w:p w14:paraId="38B3C614">
            <w:pPr>
              <w:keepNext w:val="0"/>
              <w:keepLines w:val="0"/>
              <w:widowControl/>
              <w:suppressLineNumbers w:val="0"/>
              <w:jc w:val="both"/>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0"/>
                <w:sz w:val="21"/>
                <w:szCs w:val="21"/>
                <w:u w:val="none"/>
                <w:lang w:bidi="ar"/>
              </w:rPr>
              <w:t>Conventional normal-approximation inference</w:t>
            </w:r>
          </w:p>
        </w:tc>
        <w:tc>
          <w:tcPr>
            <w:tcW w:w="567" w:type="dxa"/>
            <w:shd w:val="clear" w:color="auto" w:fill="auto"/>
            <w:vAlign w:val="center"/>
          </w:tcPr>
          <w:p w14:paraId="01B1AEA7">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w:t>
            </w:r>
          </w:p>
        </w:tc>
        <w:tc>
          <w:tcPr>
            <w:tcW w:w="2268" w:type="dxa"/>
            <w:shd w:val="clear" w:color="auto" w:fill="auto"/>
            <w:vAlign w:val="center"/>
          </w:tcPr>
          <w:p w14:paraId="2336A727">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−0.29 (−0.80, 0.23)</w:t>
            </w:r>
          </w:p>
        </w:tc>
        <w:tc>
          <w:tcPr>
            <w:tcW w:w="2268" w:type="dxa"/>
            <w:shd w:val="clear" w:color="auto" w:fill="auto"/>
            <w:vAlign w:val="center"/>
          </w:tcPr>
          <w:p w14:paraId="30524A8F">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0.273</w:t>
            </w:r>
          </w:p>
        </w:tc>
        <w:tc>
          <w:tcPr>
            <w:tcW w:w="1134" w:type="dxa"/>
            <w:shd w:val="clear" w:color="auto" w:fill="auto"/>
            <w:vAlign w:val="center"/>
          </w:tcPr>
          <w:p w14:paraId="6C01C3F4">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0.064</w:t>
            </w:r>
          </w:p>
        </w:tc>
        <w:tc>
          <w:tcPr>
            <w:tcW w:w="1134" w:type="dxa"/>
            <w:shd w:val="clear" w:color="auto" w:fill="auto"/>
            <w:vAlign w:val="center"/>
          </w:tcPr>
          <w:p w14:paraId="41B5FD58">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30.57</w:t>
            </w:r>
          </w:p>
        </w:tc>
        <w:tc>
          <w:tcPr>
            <w:tcW w:w="2268" w:type="dxa"/>
            <w:shd w:val="clear" w:color="auto" w:fill="auto"/>
            <w:vAlign w:val="center"/>
          </w:tcPr>
          <w:p w14:paraId="0D1050EE">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0.223</w:t>
            </w:r>
          </w:p>
        </w:tc>
      </w:tr>
      <w:tr w14:paraId="7A42D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shd w:val="clear" w:color="auto" w:fill="auto"/>
            <w:vAlign w:val="top"/>
          </w:tcPr>
          <w:p w14:paraId="7A722069">
            <w:pP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Negative affect</w:t>
            </w:r>
          </w:p>
        </w:tc>
        <w:tc>
          <w:tcPr>
            <w:tcW w:w="4252" w:type="dxa"/>
            <w:shd w:val="clear" w:color="auto" w:fill="auto"/>
            <w:vAlign w:val="center"/>
          </w:tcPr>
          <w:p w14:paraId="77172162">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Fixed-effect model</w:t>
            </w:r>
          </w:p>
        </w:tc>
        <w:tc>
          <w:tcPr>
            <w:tcW w:w="567" w:type="dxa"/>
            <w:shd w:val="clear" w:color="auto" w:fill="auto"/>
            <w:vAlign w:val="center"/>
          </w:tcPr>
          <w:p w14:paraId="3939D171">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2268" w:type="dxa"/>
            <w:shd w:val="clear" w:color="auto" w:fill="auto"/>
            <w:vAlign w:val="center"/>
          </w:tcPr>
          <w:p w14:paraId="0AB7FE01">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−0.27 (−0.70, 0.15)</w:t>
            </w:r>
          </w:p>
        </w:tc>
        <w:tc>
          <w:tcPr>
            <w:tcW w:w="2268" w:type="dxa"/>
            <w:shd w:val="clear" w:color="auto" w:fill="auto"/>
            <w:vAlign w:val="center"/>
          </w:tcPr>
          <w:p w14:paraId="7AA99010">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0.204</w:t>
            </w:r>
          </w:p>
        </w:tc>
        <w:tc>
          <w:tcPr>
            <w:tcW w:w="1134" w:type="dxa"/>
            <w:shd w:val="clear" w:color="auto" w:fill="auto"/>
            <w:vAlign w:val="center"/>
          </w:tcPr>
          <w:p w14:paraId="55A62E19">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134" w:type="dxa"/>
            <w:shd w:val="clear" w:color="auto" w:fill="auto"/>
            <w:vAlign w:val="center"/>
          </w:tcPr>
          <w:p w14:paraId="1F27E398">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33.34</w:t>
            </w:r>
          </w:p>
        </w:tc>
        <w:tc>
          <w:tcPr>
            <w:tcW w:w="2268" w:type="dxa"/>
            <w:shd w:val="clear" w:color="auto" w:fill="auto"/>
            <w:vAlign w:val="center"/>
          </w:tcPr>
          <w:p w14:paraId="5E12D6A1">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0.223</w:t>
            </w:r>
          </w:p>
        </w:tc>
      </w:tr>
      <w:tr w14:paraId="485F9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shd w:val="clear" w:color="auto" w:fill="auto"/>
            <w:vAlign w:val="top"/>
          </w:tcPr>
          <w:p w14:paraId="45C92802">
            <w:pP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vertAlign w:val="baseline"/>
                <w:lang w:val="en-US" w:eastAsia="zh-CN"/>
              </w:rPr>
              <w:t>Negative affect</w:t>
            </w:r>
          </w:p>
        </w:tc>
        <w:tc>
          <w:tcPr>
            <w:tcW w:w="4252" w:type="dxa"/>
            <w:shd w:val="clear" w:color="auto" w:fill="auto"/>
            <w:vAlign w:val="center"/>
          </w:tcPr>
          <w:p w14:paraId="5A9E5285">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Excluding high-risk results</w:t>
            </w:r>
          </w:p>
        </w:tc>
        <w:tc>
          <w:tcPr>
            <w:tcW w:w="567" w:type="dxa"/>
            <w:shd w:val="clear" w:color="auto" w:fill="auto"/>
            <w:vAlign w:val="center"/>
          </w:tcPr>
          <w:p w14:paraId="6F429832">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w:t>
            </w:r>
          </w:p>
        </w:tc>
        <w:tc>
          <w:tcPr>
            <w:tcW w:w="2268" w:type="dxa"/>
            <w:shd w:val="clear" w:color="auto" w:fill="auto"/>
            <w:vAlign w:val="center"/>
          </w:tcPr>
          <w:p w14:paraId="1A0F60B4">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−0.44 (−5.38, 4.50)</w:t>
            </w:r>
          </w:p>
        </w:tc>
        <w:tc>
          <w:tcPr>
            <w:tcW w:w="2268" w:type="dxa"/>
            <w:shd w:val="clear" w:color="auto" w:fill="auto"/>
            <w:vAlign w:val="center"/>
          </w:tcPr>
          <w:p w14:paraId="3EB0F7A5">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0.459</w:t>
            </w:r>
          </w:p>
        </w:tc>
        <w:tc>
          <w:tcPr>
            <w:tcW w:w="1134" w:type="dxa"/>
            <w:shd w:val="clear" w:color="auto" w:fill="auto"/>
            <w:vAlign w:val="center"/>
          </w:tcPr>
          <w:p w14:paraId="02E2B1E4">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0.171</w:t>
            </w:r>
          </w:p>
        </w:tc>
        <w:tc>
          <w:tcPr>
            <w:tcW w:w="1134" w:type="dxa"/>
            <w:shd w:val="clear" w:color="auto" w:fill="auto"/>
            <w:vAlign w:val="center"/>
          </w:tcPr>
          <w:p w14:paraId="4A1C576C">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55.88</w:t>
            </w:r>
          </w:p>
        </w:tc>
        <w:tc>
          <w:tcPr>
            <w:tcW w:w="2268" w:type="dxa"/>
            <w:shd w:val="clear" w:color="auto" w:fill="auto"/>
            <w:vAlign w:val="center"/>
          </w:tcPr>
          <w:p w14:paraId="43E355A1">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0.132</w:t>
            </w:r>
          </w:p>
        </w:tc>
      </w:tr>
      <w:tr w14:paraId="3B279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shd w:val="clear" w:color="auto" w:fill="auto"/>
            <w:vAlign w:val="top"/>
          </w:tcPr>
          <w:p w14:paraId="2288E6D8">
            <w:pP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vertAlign w:val="baseline"/>
                <w:lang w:val="en-US" w:eastAsia="zh-CN"/>
              </w:rPr>
              <w:t>Negative affect</w:t>
            </w:r>
          </w:p>
        </w:tc>
        <w:tc>
          <w:tcPr>
            <w:tcW w:w="4252" w:type="dxa"/>
            <w:shd w:val="clear" w:color="auto" w:fill="auto"/>
            <w:vAlign w:val="center"/>
          </w:tcPr>
          <w:p w14:paraId="3B356EDD">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Age ≥60 years</w:t>
            </w:r>
          </w:p>
        </w:tc>
        <w:tc>
          <w:tcPr>
            <w:tcW w:w="567" w:type="dxa"/>
            <w:shd w:val="clear" w:color="auto" w:fill="auto"/>
            <w:vAlign w:val="center"/>
          </w:tcPr>
          <w:p w14:paraId="1A2E9393">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w:t>
            </w:r>
          </w:p>
        </w:tc>
        <w:tc>
          <w:tcPr>
            <w:tcW w:w="2268" w:type="dxa"/>
            <w:shd w:val="clear" w:color="auto" w:fill="auto"/>
            <w:vAlign w:val="center"/>
          </w:tcPr>
          <w:p w14:paraId="13075809">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−0.44 (−5.38, 4.50)</w:t>
            </w:r>
          </w:p>
        </w:tc>
        <w:tc>
          <w:tcPr>
            <w:tcW w:w="2268" w:type="dxa"/>
            <w:shd w:val="clear" w:color="auto" w:fill="auto"/>
            <w:vAlign w:val="center"/>
          </w:tcPr>
          <w:p w14:paraId="62E46F65">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0.459</w:t>
            </w:r>
          </w:p>
        </w:tc>
        <w:tc>
          <w:tcPr>
            <w:tcW w:w="1134" w:type="dxa"/>
            <w:shd w:val="clear" w:color="auto" w:fill="auto"/>
            <w:vAlign w:val="center"/>
          </w:tcPr>
          <w:p w14:paraId="70C4DE45">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0.171</w:t>
            </w:r>
          </w:p>
        </w:tc>
        <w:tc>
          <w:tcPr>
            <w:tcW w:w="1134" w:type="dxa"/>
            <w:shd w:val="clear" w:color="auto" w:fill="auto"/>
            <w:vAlign w:val="center"/>
          </w:tcPr>
          <w:p w14:paraId="21F42FDC">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55.88</w:t>
            </w:r>
          </w:p>
        </w:tc>
        <w:tc>
          <w:tcPr>
            <w:tcW w:w="2268" w:type="dxa"/>
            <w:shd w:val="clear" w:color="auto" w:fill="auto"/>
            <w:vAlign w:val="center"/>
          </w:tcPr>
          <w:p w14:paraId="68EC38BC">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0.132</w:t>
            </w:r>
          </w:p>
        </w:tc>
      </w:tr>
      <w:tr w14:paraId="670A4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shd w:val="clear" w:color="auto" w:fill="auto"/>
            <w:vAlign w:val="top"/>
          </w:tcPr>
          <w:p w14:paraId="2DA3A8C7">
            <w:pP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vertAlign w:val="baseline"/>
                <w:lang w:val="en-US" w:eastAsia="zh-CN"/>
              </w:rPr>
              <w:t>Well-being</w:t>
            </w:r>
          </w:p>
        </w:tc>
        <w:tc>
          <w:tcPr>
            <w:tcW w:w="4252" w:type="dxa"/>
            <w:shd w:val="clear" w:color="auto" w:fill="auto"/>
            <w:vAlign w:val="center"/>
          </w:tcPr>
          <w:p w14:paraId="2783C647">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kern w:val="0"/>
                <w:sz w:val="21"/>
                <w:szCs w:val="21"/>
                <w:u w:val="none"/>
                <w:lang w:bidi="ar"/>
              </w:rPr>
              <w:t>Primary REML+Knapp–Hartung analysis</w:t>
            </w:r>
          </w:p>
        </w:tc>
        <w:tc>
          <w:tcPr>
            <w:tcW w:w="567" w:type="dxa"/>
            <w:shd w:val="clear" w:color="auto" w:fill="auto"/>
            <w:vAlign w:val="center"/>
          </w:tcPr>
          <w:p w14:paraId="5700B393">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w:t>
            </w:r>
          </w:p>
        </w:tc>
        <w:tc>
          <w:tcPr>
            <w:tcW w:w="2268" w:type="dxa"/>
            <w:shd w:val="clear" w:color="auto" w:fill="auto"/>
            <w:vAlign w:val="center"/>
          </w:tcPr>
          <w:p w14:paraId="6E54A5BA">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0.47 (−0.07, 1.00)</w:t>
            </w:r>
          </w:p>
        </w:tc>
        <w:tc>
          <w:tcPr>
            <w:tcW w:w="2268" w:type="dxa"/>
            <w:shd w:val="clear" w:color="auto" w:fill="auto"/>
            <w:vAlign w:val="center"/>
          </w:tcPr>
          <w:p w14:paraId="5C53DC14">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0.064</w:t>
            </w:r>
          </w:p>
        </w:tc>
        <w:tc>
          <w:tcPr>
            <w:tcW w:w="1134" w:type="dxa"/>
            <w:shd w:val="clear" w:color="auto" w:fill="auto"/>
            <w:vAlign w:val="center"/>
          </w:tcPr>
          <w:p w14:paraId="074DC542">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&lt; 0.001</w:t>
            </w:r>
          </w:p>
        </w:tc>
        <w:tc>
          <w:tcPr>
            <w:tcW w:w="1134" w:type="dxa"/>
            <w:shd w:val="clear" w:color="auto" w:fill="auto"/>
            <w:vAlign w:val="center"/>
          </w:tcPr>
          <w:p w14:paraId="59949002">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 </w:t>
            </w:r>
          </w:p>
        </w:tc>
        <w:tc>
          <w:tcPr>
            <w:tcW w:w="2268" w:type="dxa"/>
            <w:shd w:val="clear" w:color="auto" w:fill="auto"/>
            <w:vAlign w:val="center"/>
          </w:tcPr>
          <w:p w14:paraId="4809672C">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0.661</w:t>
            </w:r>
          </w:p>
        </w:tc>
      </w:tr>
      <w:tr w14:paraId="2B973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shd w:val="clear" w:color="auto" w:fill="auto"/>
            <w:vAlign w:val="top"/>
          </w:tcPr>
          <w:p w14:paraId="64AB0B0B">
            <w:pP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vertAlign w:val="baseline"/>
                <w:lang w:val="en-US" w:eastAsia="zh-CN"/>
              </w:rPr>
              <w:t>Well-being</w:t>
            </w:r>
          </w:p>
        </w:tc>
        <w:tc>
          <w:tcPr>
            <w:tcW w:w="4252" w:type="dxa"/>
            <w:shd w:val="clear" w:color="auto" w:fill="auto"/>
            <w:vAlign w:val="top"/>
          </w:tcPr>
          <w:p w14:paraId="3094B0BF">
            <w:pPr>
              <w:keepNext w:val="0"/>
              <w:keepLines w:val="0"/>
              <w:widowControl/>
              <w:suppressLineNumbers w:val="0"/>
              <w:jc w:val="both"/>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0"/>
                <w:sz w:val="21"/>
                <w:szCs w:val="21"/>
                <w:u w:val="none"/>
                <w:lang w:bidi="ar"/>
              </w:rPr>
              <w:t>Conventional normal-approximation inference</w:t>
            </w:r>
          </w:p>
        </w:tc>
        <w:tc>
          <w:tcPr>
            <w:tcW w:w="567" w:type="dxa"/>
            <w:shd w:val="clear" w:color="auto" w:fill="auto"/>
            <w:vAlign w:val="center"/>
          </w:tcPr>
          <w:p w14:paraId="55B76DC7">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3</w:t>
            </w:r>
          </w:p>
        </w:tc>
        <w:tc>
          <w:tcPr>
            <w:tcW w:w="2268" w:type="dxa"/>
            <w:shd w:val="clear" w:color="auto" w:fill="auto"/>
            <w:vAlign w:val="center"/>
          </w:tcPr>
          <w:p w14:paraId="4E114ABB">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0.47 (0.09, 0.84)</w:t>
            </w:r>
          </w:p>
        </w:tc>
        <w:tc>
          <w:tcPr>
            <w:tcW w:w="2268" w:type="dxa"/>
            <w:shd w:val="clear" w:color="auto" w:fill="auto"/>
            <w:vAlign w:val="center"/>
          </w:tcPr>
          <w:p w14:paraId="090F683C">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0.015</w:t>
            </w:r>
          </w:p>
        </w:tc>
        <w:tc>
          <w:tcPr>
            <w:tcW w:w="1134" w:type="dxa"/>
            <w:shd w:val="clear" w:color="auto" w:fill="auto"/>
            <w:vAlign w:val="center"/>
          </w:tcPr>
          <w:p w14:paraId="21F49243">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&lt; 0.001</w:t>
            </w:r>
          </w:p>
        </w:tc>
        <w:tc>
          <w:tcPr>
            <w:tcW w:w="1134" w:type="dxa"/>
            <w:shd w:val="clear" w:color="auto" w:fill="auto"/>
            <w:vAlign w:val="center"/>
          </w:tcPr>
          <w:p w14:paraId="10D5A646">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 </w:t>
            </w:r>
          </w:p>
        </w:tc>
        <w:tc>
          <w:tcPr>
            <w:tcW w:w="2268" w:type="dxa"/>
            <w:shd w:val="clear" w:color="auto" w:fill="auto"/>
            <w:vAlign w:val="center"/>
          </w:tcPr>
          <w:p w14:paraId="17251B59">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0.661</w:t>
            </w:r>
          </w:p>
        </w:tc>
      </w:tr>
      <w:tr w14:paraId="20D28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shd w:val="clear" w:color="auto" w:fill="auto"/>
            <w:vAlign w:val="top"/>
          </w:tcPr>
          <w:p w14:paraId="0C713478">
            <w:pP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Well-being</w:t>
            </w:r>
          </w:p>
        </w:tc>
        <w:tc>
          <w:tcPr>
            <w:tcW w:w="4252" w:type="dxa"/>
            <w:shd w:val="clear" w:color="auto" w:fill="auto"/>
            <w:vAlign w:val="center"/>
          </w:tcPr>
          <w:p w14:paraId="08E3CF2C">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Fixed-effect model</w:t>
            </w:r>
          </w:p>
        </w:tc>
        <w:tc>
          <w:tcPr>
            <w:tcW w:w="567" w:type="dxa"/>
            <w:shd w:val="clear" w:color="auto" w:fill="auto"/>
            <w:vAlign w:val="center"/>
          </w:tcPr>
          <w:p w14:paraId="0E1F8A5C">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2268" w:type="dxa"/>
            <w:shd w:val="clear" w:color="auto" w:fill="auto"/>
            <w:vAlign w:val="center"/>
          </w:tcPr>
          <w:p w14:paraId="3E250189">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0.47 (0.09, 0.84)</w:t>
            </w:r>
          </w:p>
        </w:tc>
        <w:tc>
          <w:tcPr>
            <w:tcW w:w="2268" w:type="dxa"/>
            <w:shd w:val="clear" w:color="auto" w:fill="auto"/>
            <w:vAlign w:val="center"/>
          </w:tcPr>
          <w:p w14:paraId="45F66D97">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0.015</w:t>
            </w:r>
          </w:p>
        </w:tc>
        <w:tc>
          <w:tcPr>
            <w:tcW w:w="1134" w:type="dxa"/>
            <w:shd w:val="clear" w:color="auto" w:fill="auto"/>
            <w:vAlign w:val="center"/>
          </w:tcPr>
          <w:p w14:paraId="1B230CEB">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134" w:type="dxa"/>
            <w:shd w:val="clear" w:color="auto" w:fill="auto"/>
            <w:vAlign w:val="center"/>
          </w:tcPr>
          <w:p w14:paraId="72C5BB4A">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0.00</w:t>
            </w:r>
          </w:p>
        </w:tc>
        <w:tc>
          <w:tcPr>
            <w:tcW w:w="2268" w:type="dxa"/>
            <w:shd w:val="clear" w:color="auto" w:fill="auto"/>
            <w:vAlign w:val="center"/>
          </w:tcPr>
          <w:p w14:paraId="1541647E">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0.661</w:t>
            </w:r>
          </w:p>
        </w:tc>
      </w:tr>
      <w:tr w14:paraId="79649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shd w:val="clear" w:color="auto" w:fill="auto"/>
            <w:vAlign w:val="top"/>
          </w:tcPr>
          <w:p w14:paraId="4B752368">
            <w:pP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vertAlign w:val="baseline"/>
                <w:lang w:val="en-US" w:eastAsia="zh-CN"/>
              </w:rPr>
              <w:t>Well-being</w:t>
            </w:r>
          </w:p>
        </w:tc>
        <w:tc>
          <w:tcPr>
            <w:tcW w:w="4252" w:type="dxa"/>
            <w:shd w:val="clear" w:color="auto" w:fill="auto"/>
            <w:vAlign w:val="center"/>
          </w:tcPr>
          <w:p w14:paraId="685D2022">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Age ≥60 years</w:t>
            </w:r>
          </w:p>
        </w:tc>
        <w:tc>
          <w:tcPr>
            <w:tcW w:w="567" w:type="dxa"/>
            <w:shd w:val="clear" w:color="auto" w:fill="auto"/>
            <w:vAlign w:val="center"/>
          </w:tcPr>
          <w:p w14:paraId="17A0C727">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2</w:t>
            </w:r>
          </w:p>
        </w:tc>
        <w:tc>
          <w:tcPr>
            <w:tcW w:w="2268" w:type="dxa"/>
            <w:shd w:val="clear" w:color="auto" w:fill="auto"/>
            <w:vAlign w:val="center"/>
          </w:tcPr>
          <w:p w14:paraId="11F99CE8">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0.34 (−1.10, 1.78)</w:t>
            </w:r>
          </w:p>
        </w:tc>
        <w:tc>
          <w:tcPr>
            <w:tcW w:w="2268" w:type="dxa"/>
            <w:shd w:val="clear" w:color="auto" w:fill="auto"/>
            <w:vAlign w:val="center"/>
          </w:tcPr>
          <w:p w14:paraId="6505A5C6">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0.203</w:t>
            </w:r>
          </w:p>
        </w:tc>
        <w:tc>
          <w:tcPr>
            <w:tcW w:w="1134" w:type="dxa"/>
            <w:shd w:val="clear" w:color="auto" w:fill="auto"/>
            <w:vAlign w:val="center"/>
          </w:tcPr>
          <w:p w14:paraId="1D7E9753">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&lt; 0.001</w:t>
            </w:r>
          </w:p>
        </w:tc>
        <w:tc>
          <w:tcPr>
            <w:tcW w:w="1134" w:type="dxa"/>
            <w:shd w:val="clear" w:color="auto" w:fill="auto"/>
            <w:vAlign w:val="center"/>
          </w:tcPr>
          <w:p w14:paraId="25C09EB2">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0.00 </w:t>
            </w:r>
          </w:p>
        </w:tc>
        <w:tc>
          <w:tcPr>
            <w:tcW w:w="2268" w:type="dxa"/>
            <w:shd w:val="clear" w:color="auto" w:fill="auto"/>
            <w:vAlign w:val="center"/>
          </w:tcPr>
          <w:p w14:paraId="1D2CE472">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0.648</w:t>
            </w:r>
          </w:p>
        </w:tc>
      </w:tr>
      <w:tr w14:paraId="7E5D9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shd w:val="clear" w:color="auto" w:fill="auto"/>
            <w:vAlign w:val="top"/>
          </w:tcPr>
          <w:p w14:paraId="622A083F">
            <w:pP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vertAlign w:val="baseline"/>
                <w:lang w:val="en-US" w:eastAsia="zh-CN"/>
              </w:rPr>
              <w:t>Pain</w:t>
            </w:r>
          </w:p>
        </w:tc>
        <w:tc>
          <w:tcPr>
            <w:tcW w:w="4252" w:type="dxa"/>
            <w:shd w:val="clear" w:color="auto" w:fill="auto"/>
            <w:vAlign w:val="center"/>
          </w:tcPr>
          <w:p w14:paraId="7D57B3E0">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color w:val="auto"/>
                <w:kern w:val="0"/>
                <w:sz w:val="21"/>
                <w:szCs w:val="21"/>
                <w:u w:val="none"/>
                <w:lang w:bidi="ar"/>
              </w:rPr>
              <w:t>Primary REML+Knapp–Hartung analysis</w:t>
            </w:r>
          </w:p>
        </w:tc>
        <w:tc>
          <w:tcPr>
            <w:tcW w:w="567" w:type="dxa"/>
            <w:shd w:val="clear" w:color="auto" w:fill="auto"/>
            <w:vAlign w:val="center"/>
          </w:tcPr>
          <w:p w14:paraId="718DA65F">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6</w:t>
            </w:r>
          </w:p>
        </w:tc>
        <w:tc>
          <w:tcPr>
            <w:tcW w:w="2268" w:type="dxa"/>
            <w:shd w:val="clear" w:color="auto" w:fill="auto"/>
            <w:vAlign w:val="center"/>
          </w:tcPr>
          <w:p w14:paraId="4777CD1B">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sz w:val="21"/>
                <w:szCs w:val="21"/>
                <w:highlight w:val="none"/>
                <w:vertAlign w:val="baseline"/>
                <w:lang w:val="en-US" w:eastAsia="zh-CN"/>
              </w:rPr>
              <w:t>−0.2</w:t>
            </w:r>
            <w:r>
              <w:rPr>
                <w:rFonts w:hint="eastAsia" w:cs="Times New Roman"/>
                <w:color w:val="auto"/>
                <w:sz w:val="21"/>
                <w:szCs w:val="21"/>
                <w:highlight w:val="none"/>
                <w:vertAlign w:val="baseline"/>
                <w:lang w:val="en-US" w:eastAsia="zh-CN"/>
              </w:rPr>
              <w:t>2</w:t>
            </w:r>
            <w:r>
              <w:rPr>
                <w:rFonts w:hint="default" w:ascii="Times New Roman" w:hAnsi="Times New Roman" w:cs="Times New Roman"/>
                <w:color w:val="auto"/>
                <w:sz w:val="21"/>
                <w:szCs w:val="21"/>
                <w:highlight w:val="none"/>
                <w:vertAlign w:val="baseline"/>
                <w:lang w:val="en-US" w:eastAsia="zh-CN"/>
              </w:rPr>
              <w:t xml:space="preserve"> (−0.</w:t>
            </w:r>
            <w:r>
              <w:rPr>
                <w:rFonts w:hint="eastAsia" w:cs="Times New Roman"/>
                <w:color w:val="auto"/>
                <w:sz w:val="21"/>
                <w:szCs w:val="21"/>
                <w:highlight w:val="none"/>
                <w:vertAlign w:val="baseline"/>
                <w:lang w:val="en-US" w:eastAsia="zh-CN"/>
              </w:rPr>
              <w:t>70</w:t>
            </w:r>
            <w:r>
              <w:rPr>
                <w:rFonts w:hint="default" w:ascii="Times New Roman" w:hAnsi="Times New Roman" w:cs="Times New Roman"/>
                <w:color w:val="auto"/>
                <w:sz w:val="21"/>
                <w:szCs w:val="21"/>
                <w:highlight w:val="none"/>
                <w:vertAlign w:val="baseline"/>
                <w:lang w:val="en-US" w:eastAsia="zh-CN"/>
              </w:rPr>
              <w:t>, 0.27)</w:t>
            </w:r>
          </w:p>
        </w:tc>
        <w:tc>
          <w:tcPr>
            <w:tcW w:w="2268" w:type="dxa"/>
            <w:shd w:val="clear" w:color="auto" w:fill="auto"/>
            <w:vAlign w:val="center"/>
          </w:tcPr>
          <w:p w14:paraId="53F5CF6C">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0.30</w:t>
            </w:r>
            <w:r>
              <w:rPr>
                <w:rFonts w:hint="eastAsia" w:ascii="Times New Roman" w:hAnsi="Times New Roman" w:eastAsia="宋体" w:cs="Times New Roman"/>
                <w:i w:val="0"/>
                <w:iCs w:val="0"/>
                <w:color w:val="auto"/>
                <w:kern w:val="0"/>
                <w:sz w:val="21"/>
                <w:szCs w:val="21"/>
                <w:u w:val="none"/>
                <w:lang w:val="en-US" w:eastAsia="zh-CN" w:bidi="ar"/>
              </w:rPr>
              <w:t>2</w:t>
            </w:r>
          </w:p>
        </w:tc>
        <w:tc>
          <w:tcPr>
            <w:tcW w:w="1134" w:type="dxa"/>
            <w:shd w:val="clear" w:color="auto" w:fill="auto"/>
            <w:vAlign w:val="center"/>
          </w:tcPr>
          <w:p w14:paraId="156197BF">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0.076</w:t>
            </w:r>
          </w:p>
        </w:tc>
        <w:tc>
          <w:tcPr>
            <w:tcW w:w="1134" w:type="dxa"/>
            <w:shd w:val="clear" w:color="auto" w:fill="auto"/>
            <w:vAlign w:val="center"/>
          </w:tcPr>
          <w:p w14:paraId="36B90F1F">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44.</w:t>
            </w:r>
            <w:r>
              <w:rPr>
                <w:rFonts w:hint="eastAsia" w:ascii="Times New Roman" w:hAnsi="Times New Roman" w:eastAsia="宋体" w:cs="Times New Roman"/>
                <w:i w:val="0"/>
                <w:iCs w:val="0"/>
                <w:color w:val="auto"/>
                <w:kern w:val="0"/>
                <w:sz w:val="21"/>
                <w:szCs w:val="21"/>
                <w:u w:val="none"/>
                <w:lang w:val="en-US" w:eastAsia="zh-CN" w:bidi="ar"/>
              </w:rPr>
              <w:t>30</w:t>
            </w:r>
          </w:p>
        </w:tc>
        <w:tc>
          <w:tcPr>
            <w:tcW w:w="2268" w:type="dxa"/>
            <w:shd w:val="clear" w:color="auto" w:fill="auto"/>
            <w:vAlign w:val="center"/>
          </w:tcPr>
          <w:p w14:paraId="23ADD04B">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0.08</w:t>
            </w:r>
            <w:r>
              <w:rPr>
                <w:rFonts w:hint="eastAsia" w:ascii="Times New Roman" w:hAnsi="Times New Roman" w:eastAsia="宋体" w:cs="Times New Roman"/>
                <w:i w:val="0"/>
                <w:iCs w:val="0"/>
                <w:color w:val="auto"/>
                <w:kern w:val="0"/>
                <w:sz w:val="21"/>
                <w:szCs w:val="21"/>
                <w:u w:val="none"/>
                <w:lang w:val="en-US" w:eastAsia="zh-CN" w:bidi="ar"/>
              </w:rPr>
              <w:t>4</w:t>
            </w:r>
          </w:p>
        </w:tc>
      </w:tr>
      <w:tr w14:paraId="075FA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shd w:val="clear" w:color="auto" w:fill="auto"/>
            <w:vAlign w:val="top"/>
          </w:tcPr>
          <w:p w14:paraId="25820FB1">
            <w:pP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vertAlign w:val="baseline"/>
                <w:lang w:val="en-US" w:eastAsia="zh-CN"/>
              </w:rPr>
              <w:t>Pain</w:t>
            </w:r>
          </w:p>
        </w:tc>
        <w:tc>
          <w:tcPr>
            <w:tcW w:w="4252" w:type="dxa"/>
            <w:shd w:val="clear" w:color="auto" w:fill="auto"/>
            <w:vAlign w:val="top"/>
          </w:tcPr>
          <w:p w14:paraId="47479C59">
            <w:pPr>
              <w:keepNext w:val="0"/>
              <w:keepLines w:val="0"/>
              <w:widowControl/>
              <w:suppressLineNumbers w:val="0"/>
              <w:jc w:val="both"/>
              <w:textAlignment w:val="center"/>
              <w:rPr>
                <w:rFonts w:hint="default" w:ascii="Times New Roman" w:hAnsi="Times New Roman" w:eastAsia="宋体" w:cs="Times New Roman"/>
                <w:color w:val="auto"/>
                <w:kern w:val="2"/>
                <w:sz w:val="21"/>
                <w:szCs w:val="21"/>
                <w:vertAlign w:val="baseline"/>
                <w:lang w:val="en-US" w:eastAsia="zh-CN" w:bidi="ar-SA"/>
              </w:rPr>
            </w:pPr>
            <w:r>
              <w:rPr>
                <w:rFonts w:hint="default" w:ascii="Times New Roman" w:hAnsi="Times New Roman" w:eastAsia="宋体" w:cs="Times New Roman"/>
                <w:color w:val="auto"/>
                <w:kern w:val="0"/>
                <w:sz w:val="21"/>
                <w:szCs w:val="21"/>
                <w:u w:val="none"/>
                <w:lang w:bidi="ar"/>
              </w:rPr>
              <w:t>Conventional normal-approximation inference</w:t>
            </w:r>
          </w:p>
        </w:tc>
        <w:tc>
          <w:tcPr>
            <w:tcW w:w="567" w:type="dxa"/>
            <w:shd w:val="clear" w:color="auto" w:fill="auto"/>
            <w:vAlign w:val="center"/>
          </w:tcPr>
          <w:p w14:paraId="39A86556">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u w:val="none"/>
                <w:lang w:val="en-US" w:eastAsia="zh-CN" w:bidi="ar"/>
              </w:rPr>
              <w:t>6</w:t>
            </w:r>
          </w:p>
        </w:tc>
        <w:tc>
          <w:tcPr>
            <w:tcW w:w="2268" w:type="dxa"/>
            <w:shd w:val="clear" w:color="auto" w:fill="auto"/>
            <w:vAlign w:val="center"/>
          </w:tcPr>
          <w:p w14:paraId="19701EBF">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−0.2</w:t>
            </w:r>
            <w:r>
              <w:rPr>
                <w:rFonts w:hint="eastAsia" w:ascii="Times New Roman" w:hAnsi="Times New Roman" w:eastAsia="宋体" w:cs="Times New Roman"/>
                <w:i w:val="0"/>
                <w:iCs w:val="0"/>
                <w:color w:val="auto"/>
                <w:kern w:val="0"/>
                <w:sz w:val="21"/>
                <w:szCs w:val="21"/>
                <w:u w:val="none"/>
                <w:lang w:val="en-US" w:eastAsia="zh-CN" w:bidi="ar"/>
              </w:rPr>
              <w:t xml:space="preserve">2 </w:t>
            </w:r>
            <w:r>
              <w:rPr>
                <w:rFonts w:hint="default" w:ascii="Times New Roman" w:hAnsi="Times New Roman" w:eastAsia="宋体" w:cs="Times New Roman"/>
                <w:i w:val="0"/>
                <w:iCs w:val="0"/>
                <w:color w:val="auto"/>
                <w:kern w:val="0"/>
                <w:sz w:val="21"/>
                <w:szCs w:val="21"/>
                <w:u w:val="none"/>
                <w:lang w:val="en-US" w:eastAsia="zh-CN" w:bidi="ar"/>
              </w:rPr>
              <w:t>(−0.55, 0.12)</w:t>
            </w:r>
          </w:p>
        </w:tc>
        <w:tc>
          <w:tcPr>
            <w:tcW w:w="2268" w:type="dxa"/>
            <w:shd w:val="clear" w:color="auto" w:fill="auto"/>
            <w:vAlign w:val="center"/>
          </w:tcPr>
          <w:p w14:paraId="6C35CB72">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0.2</w:t>
            </w:r>
            <w:r>
              <w:rPr>
                <w:rFonts w:hint="eastAsia" w:ascii="Times New Roman" w:hAnsi="Times New Roman" w:eastAsia="宋体" w:cs="Times New Roman"/>
                <w:i w:val="0"/>
                <w:iCs w:val="0"/>
                <w:color w:val="auto"/>
                <w:kern w:val="0"/>
                <w:sz w:val="21"/>
                <w:szCs w:val="21"/>
                <w:u w:val="none"/>
                <w:lang w:val="en-US" w:eastAsia="zh-CN" w:bidi="ar"/>
              </w:rPr>
              <w:t>08</w:t>
            </w:r>
          </w:p>
        </w:tc>
        <w:tc>
          <w:tcPr>
            <w:tcW w:w="1134" w:type="dxa"/>
            <w:shd w:val="clear" w:color="auto" w:fill="auto"/>
            <w:vAlign w:val="center"/>
          </w:tcPr>
          <w:p w14:paraId="6980160B">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0.076</w:t>
            </w:r>
          </w:p>
        </w:tc>
        <w:tc>
          <w:tcPr>
            <w:tcW w:w="1134" w:type="dxa"/>
            <w:shd w:val="clear" w:color="auto" w:fill="auto"/>
            <w:vAlign w:val="center"/>
          </w:tcPr>
          <w:p w14:paraId="11CE9715">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44.</w:t>
            </w:r>
            <w:r>
              <w:rPr>
                <w:rFonts w:hint="eastAsia" w:ascii="Times New Roman" w:hAnsi="Times New Roman" w:eastAsia="宋体" w:cs="Times New Roman"/>
                <w:i w:val="0"/>
                <w:iCs w:val="0"/>
                <w:color w:val="auto"/>
                <w:kern w:val="0"/>
                <w:sz w:val="21"/>
                <w:szCs w:val="21"/>
                <w:u w:val="none"/>
                <w:lang w:val="en-US" w:eastAsia="zh-CN" w:bidi="ar"/>
              </w:rPr>
              <w:t>30</w:t>
            </w:r>
          </w:p>
        </w:tc>
        <w:tc>
          <w:tcPr>
            <w:tcW w:w="2268" w:type="dxa"/>
            <w:shd w:val="clear" w:color="auto" w:fill="auto"/>
            <w:vAlign w:val="center"/>
          </w:tcPr>
          <w:p w14:paraId="16E4CC73">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0.08</w:t>
            </w:r>
            <w:r>
              <w:rPr>
                <w:rFonts w:hint="eastAsia" w:ascii="Times New Roman" w:hAnsi="Times New Roman" w:eastAsia="宋体" w:cs="Times New Roman"/>
                <w:i w:val="0"/>
                <w:iCs w:val="0"/>
                <w:color w:val="auto"/>
                <w:kern w:val="0"/>
                <w:sz w:val="21"/>
                <w:szCs w:val="21"/>
                <w:u w:val="none"/>
                <w:lang w:val="en-US" w:eastAsia="zh-CN" w:bidi="ar"/>
              </w:rPr>
              <w:t>4</w:t>
            </w:r>
          </w:p>
        </w:tc>
      </w:tr>
      <w:tr w14:paraId="4DF11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shd w:val="clear" w:color="auto" w:fill="auto"/>
            <w:vAlign w:val="top"/>
          </w:tcPr>
          <w:p w14:paraId="537FE1E7">
            <w:pP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Pain</w:t>
            </w:r>
          </w:p>
        </w:tc>
        <w:tc>
          <w:tcPr>
            <w:tcW w:w="4252" w:type="dxa"/>
            <w:shd w:val="clear" w:color="auto" w:fill="auto"/>
            <w:vAlign w:val="center"/>
          </w:tcPr>
          <w:p w14:paraId="760DE4E2">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Fixed-effect model</w:t>
            </w:r>
          </w:p>
        </w:tc>
        <w:tc>
          <w:tcPr>
            <w:tcW w:w="567" w:type="dxa"/>
            <w:shd w:val="clear" w:color="auto" w:fill="auto"/>
            <w:vAlign w:val="center"/>
          </w:tcPr>
          <w:p w14:paraId="65311381">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eastAsia" w:ascii="Times New Roman" w:hAnsi="Times New Roman" w:eastAsia="宋体" w:cs="Times New Roman"/>
                <w:i w:val="0"/>
                <w:iCs w:val="0"/>
                <w:color w:val="auto"/>
                <w:kern w:val="0"/>
                <w:sz w:val="21"/>
                <w:szCs w:val="21"/>
                <w:highlight w:val="none"/>
                <w:u w:val="none"/>
                <w:lang w:val="en-US" w:eastAsia="zh-CN" w:bidi="ar"/>
              </w:rPr>
              <w:t>6</w:t>
            </w:r>
          </w:p>
        </w:tc>
        <w:tc>
          <w:tcPr>
            <w:tcW w:w="2268" w:type="dxa"/>
            <w:shd w:val="clear" w:color="auto" w:fill="auto"/>
            <w:vAlign w:val="center"/>
          </w:tcPr>
          <w:p w14:paraId="2AA55B22">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−0.20 (−0.44, 0.0</w:t>
            </w:r>
            <w:r>
              <w:rPr>
                <w:rFonts w:hint="eastAsia" w:ascii="Times New Roman" w:hAnsi="Times New Roman" w:eastAsia="宋体" w:cs="Times New Roman"/>
                <w:i w:val="0"/>
                <w:iCs w:val="0"/>
                <w:color w:val="auto"/>
                <w:kern w:val="0"/>
                <w:sz w:val="21"/>
                <w:szCs w:val="21"/>
                <w:highlight w:val="none"/>
                <w:u w:val="none"/>
                <w:lang w:val="en-US" w:eastAsia="zh-CN" w:bidi="ar"/>
              </w:rPr>
              <w:t>4</w:t>
            </w: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2268" w:type="dxa"/>
            <w:shd w:val="clear" w:color="auto" w:fill="auto"/>
            <w:vAlign w:val="center"/>
          </w:tcPr>
          <w:p w14:paraId="04F73780">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0.1</w:t>
            </w:r>
            <w:r>
              <w:rPr>
                <w:rFonts w:hint="eastAsia" w:ascii="Times New Roman" w:hAnsi="Times New Roman" w:eastAsia="宋体" w:cs="Times New Roman"/>
                <w:i w:val="0"/>
                <w:iCs w:val="0"/>
                <w:color w:val="auto"/>
                <w:kern w:val="0"/>
                <w:sz w:val="21"/>
                <w:szCs w:val="21"/>
                <w:highlight w:val="none"/>
                <w:u w:val="none"/>
                <w:lang w:val="en-US" w:eastAsia="zh-CN" w:bidi="ar"/>
              </w:rPr>
              <w:t>09</w:t>
            </w:r>
          </w:p>
        </w:tc>
        <w:tc>
          <w:tcPr>
            <w:tcW w:w="1134" w:type="dxa"/>
            <w:shd w:val="clear" w:color="auto" w:fill="auto"/>
            <w:vAlign w:val="center"/>
          </w:tcPr>
          <w:p w14:paraId="2C2F7A8A">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134" w:type="dxa"/>
            <w:shd w:val="clear" w:color="auto" w:fill="auto"/>
            <w:vAlign w:val="center"/>
          </w:tcPr>
          <w:p w14:paraId="6F4293AF">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48.</w:t>
            </w:r>
            <w:r>
              <w:rPr>
                <w:rFonts w:hint="eastAsia" w:ascii="Times New Roman" w:hAnsi="Times New Roman" w:eastAsia="宋体" w:cs="Times New Roman"/>
                <w:i w:val="0"/>
                <w:iCs w:val="0"/>
                <w:color w:val="auto"/>
                <w:kern w:val="0"/>
                <w:sz w:val="21"/>
                <w:szCs w:val="21"/>
                <w:highlight w:val="none"/>
                <w:u w:val="none"/>
                <w:lang w:val="en-US" w:eastAsia="zh-CN" w:bidi="ar"/>
              </w:rPr>
              <w:t>46</w:t>
            </w:r>
          </w:p>
        </w:tc>
        <w:tc>
          <w:tcPr>
            <w:tcW w:w="2268" w:type="dxa"/>
            <w:shd w:val="clear" w:color="auto" w:fill="auto"/>
            <w:vAlign w:val="center"/>
          </w:tcPr>
          <w:p w14:paraId="31B9159A">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0.08</w:t>
            </w:r>
            <w:r>
              <w:rPr>
                <w:rFonts w:hint="eastAsia" w:ascii="Times New Roman" w:hAnsi="Times New Roman" w:eastAsia="宋体" w:cs="Times New Roman"/>
                <w:i w:val="0"/>
                <w:iCs w:val="0"/>
                <w:color w:val="auto"/>
                <w:kern w:val="0"/>
                <w:sz w:val="21"/>
                <w:szCs w:val="21"/>
                <w:highlight w:val="none"/>
                <w:u w:val="none"/>
                <w:lang w:val="en-US" w:eastAsia="zh-CN" w:bidi="ar"/>
              </w:rPr>
              <w:t>4</w:t>
            </w:r>
          </w:p>
        </w:tc>
      </w:tr>
      <w:tr w14:paraId="73244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tcBorders>
              <w:bottom w:val="single" w:color="auto" w:sz="12" w:space="0"/>
            </w:tcBorders>
            <w:shd w:val="clear" w:color="auto" w:fill="auto"/>
            <w:vAlign w:val="top"/>
          </w:tcPr>
          <w:p w14:paraId="3473E0A9">
            <w:pPr>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Pain</w:t>
            </w:r>
          </w:p>
        </w:tc>
        <w:tc>
          <w:tcPr>
            <w:tcW w:w="4252" w:type="dxa"/>
            <w:tcBorders>
              <w:bottom w:val="single" w:color="auto" w:sz="12" w:space="0"/>
            </w:tcBorders>
            <w:shd w:val="clear" w:color="auto" w:fill="auto"/>
            <w:vAlign w:val="center"/>
          </w:tcPr>
          <w:p w14:paraId="03C6D55D">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Age ≥60 years</w:t>
            </w:r>
          </w:p>
        </w:tc>
        <w:tc>
          <w:tcPr>
            <w:tcW w:w="567" w:type="dxa"/>
            <w:tcBorders>
              <w:bottom w:val="single" w:color="auto" w:sz="12" w:space="0"/>
            </w:tcBorders>
            <w:shd w:val="clear" w:color="auto" w:fill="auto"/>
            <w:vAlign w:val="center"/>
          </w:tcPr>
          <w:p w14:paraId="3BB9CEA7">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3</w:t>
            </w:r>
          </w:p>
        </w:tc>
        <w:tc>
          <w:tcPr>
            <w:tcW w:w="2268" w:type="dxa"/>
            <w:tcBorders>
              <w:bottom w:val="single" w:color="auto" w:sz="12" w:space="0"/>
            </w:tcBorders>
            <w:shd w:val="clear" w:color="auto" w:fill="auto"/>
            <w:vAlign w:val="center"/>
          </w:tcPr>
          <w:p w14:paraId="6A90B8A0">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−0.33 (−1.77, 1.10)</w:t>
            </w:r>
          </w:p>
        </w:tc>
        <w:tc>
          <w:tcPr>
            <w:tcW w:w="2268" w:type="dxa"/>
            <w:tcBorders>
              <w:bottom w:val="single" w:color="auto" w:sz="12" w:space="0"/>
            </w:tcBorders>
            <w:shd w:val="clear" w:color="auto" w:fill="auto"/>
            <w:vAlign w:val="center"/>
          </w:tcPr>
          <w:p w14:paraId="435FF06D">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0.422</w:t>
            </w:r>
          </w:p>
        </w:tc>
        <w:tc>
          <w:tcPr>
            <w:tcW w:w="1134" w:type="dxa"/>
            <w:tcBorders>
              <w:bottom w:val="single" w:color="auto" w:sz="12" w:space="0"/>
            </w:tcBorders>
            <w:shd w:val="clear" w:color="auto" w:fill="auto"/>
            <w:vAlign w:val="center"/>
          </w:tcPr>
          <w:p w14:paraId="696CDCFE">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0.164</w:t>
            </w:r>
          </w:p>
        </w:tc>
        <w:tc>
          <w:tcPr>
            <w:tcW w:w="1134" w:type="dxa"/>
            <w:tcBorders>
              <w:bottom w:val="single" w:color="auto" w:sz="12" w:space="0"/>
            </w:tcBorders>
            <w:shd w:val="clear" w:color="auto" w:fill="auto"/>
            <w:vAlign w:val="center"/>
          </w:tcPr>
          <w:p w14:paraId="58F72C28">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60.44</w:t>
            </w:r>
          </w:p>
        </w:tc>
        <w:tc>
          <w:tcPr>
            <w:tcW w:w="2268" w:type="dxa"/>
            <w:tcBorders>
              <w:bottom w:val="single" w:color="auto" w:sz="12" w:space="0"/>
            </w:tcBorders>
            <w:shd w:val="clear" w:color="auto" w:fill="auto"/>
            <w:vAlign w:val="center"/>
          </w:tcPr>
          <w:p w14:paraId="2DA1C763">
            <w:pPr>
              <w:keepNext w:val="0"/>
              <w:keepLines w:val="0"/>
              <w:widowControl/>
              <w:suppressLineNumbers w:val="0"/>
              <w:jc w:val="both"/>
              <w:textAlignment w:val="center"/>
              <w:rPr>
                <w:rFonts w:hint="default" w:ascii="Times New Roman" w:hAnsi="Times New Roman" w:eastAsia="宋体" w:cs="Times New Roman"/>
                <w:i w:val="0"/>
                <w:iCs w:val="0"/>
                <w:color w:val="auto"/>
                <w:kern w:val="0"/>
                <w:sz w:val="21"/>
                <w:szCs w:val="21"/>
                <w:highlight w:val="none"/>
                <w:u w:val="none"/>
                <w:lang w:val="en-US" w:eastAsia="zh-CN" w:bidi="ar"/>
              </w:rPr>
            </w:pPr>
            <w:r>
              <w:rPr>
                <w:rFonts w:hint="default" w:ascii="Times New Roman" w:hAnsi="Times New Roman" w:eastAsia="宋体" w:cs="Times New Roman"/>
                <w:i w:val="0"/>
                <w:iCs w:val="0"/>
                <w:color w:val="auto"/>
                <w:kern w:val="0"/>
                <w:sz w:val="21"/>
                <w:szCs w:val="21"/>
                <w:highlight w:val="none"/>
                <w:u w:val="none"/>
                <w:lang w:val="en-US" w:eastAsia="zh-CN" w:bidi="ar"/>
              </w:rPr>
              <w:t>0.096</w:t>
            </w:r>
          </w:p>
        </w:tc>
      </w:tr>
    </w:tbl>
    <w:p w14:paraId="425BCD66">
      <w:pPr>
        <w:rPr>
          <w:rFonts w:hint="eastAsia" w:eastAsiaTheme="minorEastAsia"/>
          <w:lang w:val="en-US" w:eastAsia="zh-CN"/>
        </w:rPr>
      </w:pPr>
    </w:p>
    <w:p w14:paraId="6DA35638">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eastAsia" w:eastAsia="仿宋" w:cs="Times New Roman"/>
          <w:b w:val="0"/>
          <w:bCs w:val="0"/>
          <w:i w:val="0"/>
          <w:iCs w:val="0"/>
          <w:caps w:val="0"/>
          <w:color w:val="auto"/>
          <w:spacing w:val="0"/>
          <w:kern w:val="0"/>
          <w:sz w:val="24"/>
          <w:szCs w:val="24"/>
          <w:shd w:val="clear"/>
          <w:lang w:val="en-US" w:eastAsia="zh-CN" w:bidi="ar"/>
        </w:rPr>
      </w:pPr>
      <w:r>
        <w:rPr>
          <w:rFonts w:hint="eastAsia" w:ascii="Times New Roman" w:hAnsi="Times New Roman" w:eastAsia="仿宋" w:cs="Times New Roman"/>
          <w:b/>
          <w:bCs/>
          <w:i w:val="0"/>
          <w:iCs w:val="0"/>
          <w:caps w:val="0"/>
          <w:color w:val="auto"/>
          <w:spacing w:val="0"/>
          <w:kern w:val="0"/>
          <w:sz w:val="24"/>
          <w:szCs w:val="24"/>
          <w:shd w:val="clear"/>
          <w:lang w:val="en-US" w:eastAsia="zh-CN" w:bidi="ar"/>
        </w:rPr>
        <w:t>B.</w:t>
      </w:r>
      <w:r>
        <w:rPr>
          <w:rFonts w:hint="eastAsia" w:eastAsia="仿宋" w:cs="Times New Roman"/>
          <w:b w:val="0"/>
          <w:bCs w:val="0"/>
          <w:i w:val="0"/>
          <w:iCs w:val="0"/>
          <w:caps w:val="0"/>
          <w:color w:val="auto"/>
          <w:spacing w:val="0"/>
          <w:kern w:val="0"/>
          <w:sz w:val="24"/>
          <w:szCs w:val="24"/>
          <w:shd w:val="clear"/>
          <w:lang w:val="en-US" w:eastAsia="zh-CN" w:bidi="ar"/>
        </w:rPr>
        <w:t xml:space="preserve"> Leave-one-out analyses</w:t>
      </w:r>
    </w:p>
    <w:tbl>
      <w:tblPr>
        <w:tblStyle w:val="7"/>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402"/>
        <w:gridCol w:w="3402"/>
        <w:gridCol w:w="3402"/>
        <w:gridCol w:w="3402"/>
      </w:tblGrid>
      <w:tr w14:paraId="41F03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02" w:type="dxa"/>
            <w:tcBorders>
              <w:top w:val="single" w:color="auto" w:sz="12" w:space="0"/>
              <w:bottom w:val="single" w:color="auto" w:sz="6" w:space="0"/>
            </w:tcBorders>
            <w:vAlign w:val="top"/>
          </w:tcPr>
          <w:p w14:paraId="4D0B0A20">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eastAsia="仿宋" w:cs="Times New Roman"/>
                <w:b/>
                <w:bCs/>
                <w:i w:val="0"/>
                <w:iCs w:val="0"/>
                <w:caps w:val="0"/>
                <w:color w:val="auto"/>
                <w:spacing w:val="0"/>
                <w:kern w:val="0"/>
                <w:sz w:val="21"/>
                <w:szCs w:val="21"/>
                <w:shd w:val="clear"/>
                <w:vertAlign w:val="baseline"/>
                <w:lang w:val="en-US" w:eastAsia="zh-CN" w:bidi="ar"/>
              </w:rPr>
            </w:pPr>
            <w:r>
              <w:rPr>
                <w:rFonts w:hint="eastAsia" w:eastAsia="仿宋" w:cs="Times New Roman"/>
                <w:b/>
                <w:bCs/>
                <w:i w:val="0"/>
                <w:iCs w:val="0"/>
                <w:caps w:val="0"/>
                <w:color w:val="auto"/>
                <w:spacing w:val="0"/>
                <w:kern w:val="0"/>
                <w:sz w:val="21"/>
                <w:szCs w:val="21"/>
                <w:shd w:val="clear"/>
                <w:vertAlign w:val="baseline"/>
                <w:lang w:val="en-US" w:eastAsia="zh-CN" w:bidi="ar"/>
              </w:rPr>
              <w:t>Outcome</w:t>
            </w:r>
          </w:p>
        </w:tc>
        <w:tc>
          <w:tcPr>
            <w:tcW w:w="3402" w:type="dxa"/>
            <w:tcBorders>
              <w:top w:val="single" w:color="auto" w:sz="12" w:space="0"/>
              <w:bottom w:val="single" w:color="auto" w:sz="6" w:space="0"/>
            </w:tcBorders>
            <w:vAlign w:val="top"/>
          </w:tcPr>
          <w:p w14:paraId="6C491FD7">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eastAsia="仿宋" w:cs="Times New Roman"/>
                <w:b/>
                <w:bCs/>
                <w:i w:val="0"/>
                <w:iCs w:val="0"/>
                <w:caps w:val="0"/>
                <w:color w:val="auto"/>
                <w:spacing w:val="0"/>
                <w:kern w:val="0"/>
                <w:sz w:val="21"/>
                <w:szCs w:val="21"/>
                <w:shd w:val="clear"/>
                <w:vertAlign w:val="baseline"/>
                <w:lang w:val="en-US" w:eastAsia="zh-CN" w:bidi="ar"/>
              </w:rPr>
            </w:pPr>
            <w:r>
              <w:rPr>
                <w:rFonts w:hint="default" w:eastAsia="仿宋" w:cs="Times New Roman"/>
                <w:b/>
                <w:bCs/>
                <w:i w:val="0"/>
                <w:iCs w:val="0"/>
                <w:caps w:val="0"/>
                <w:color w:val="auto"/>
                <w:spacing w:val="0"/>
                <w:kern w:val="0"/>
                <w:sz w:val="21"/>
                <w:szCs w:val="21"/>
                <w:shd w:val="clear"/>
                <w:vertAlign w:val="baseline"/>
                <w:lang w:val="en-US" w:eastAsia="zh-CN" w:bidi="ar"/>
              </w:rPr>
              <w:t xml:space="preserve">Range of pooled Hedges’ </w:t>
            </w:r>
            <w:r>
              <w:rPr>
                <w:rFonts w:hint="default" w:eastAsia="仿宋" w:cs="Times New Roman"/>
                <w:b/>
                <w:bCs/>
                <w:i/>
                <w:iCs/>
                <w:caps w:val="0"/>
                <w:color w:val="auto"/>
                <w:spacing w:val="0"/>
                <w:kern w:val="0"/>
                <w:sz w:val="21"/>
                <w:szCs w:val="21"/>
                <w:shd w:val="clear"/>
                <w:vertAlign w:val="baseline"/>
                <w:lang w:val="en-US" w:eastAsia="zh-CN" w:bidi="ar"/>
              </w:rPr>
              <w:t>g</w:t>
            </w:r>
          </w:p>
        </w:tc>
        <w:tc>
          <w:tcPr>
            <w:tcW w:w="3402" w:type="dxa"/>
            <w:tcBorders>
              <w:top w:val="single" w:color="auto" w:sz="12" w:space="0"/>
              <w:bottom w:val="single" w:color="auto" w:sz="6" w:space="0"/>
            </w:tcBorders>
            <w:vAlign w:val="top"/>
          </w:tcPr>
          <w:p w14:paraId="6AAEE706">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eastAsia="仿宋" w:cs="Times New Roman"/>
                <w:b/>
                <w:bCs/>
                <w:i w:val="0"/>
                <w:iCs w:val="0"/>
                <w:caps w:val="0"/>
                <w:color w:val="auto"/>
                <w:spacing w:val="0"/>
                <w:kern w:val="0"/>
                <w:sz w:val="21"/>
                <w:szCs w:val="21"/>
                <w:shd w:val="clear"/>
                <w:vertAlign w:val="baseline"/>
                <w:lang w:val="en-US" w:eastAsia="zh-CN" w:bidi="ar"/>
              </w:rPr>
            </w:pPr>
            <w:r>
              <w:rPr>
                <w:rFonts w:hint="default" w:eastAsia="仿宋" w:cs="Times New Roman"/>
                <w:b/>
                <w:bCs/>
                <w:i w:val="0"/>
                <w:iCs w:val="0"/>
                <w:caps w:val="0"/>
                <w:color w:val="auto"/>
                <w:spacing w:val="0"/>
                <w:kern w:val="0"/>
                <w:sz w:val="21"/>
                <w:szCs w:val="21"/>
                <w:shd w:val="clear"/>
                <w:vertAlign w:val="baseline"/>
                <w:lang w:val="en-US" w:eastAsia="zh-CN" w:bidi="ar"/>
              </w:rPr>
              <w:t>Direction unchanged</w:t>
            </w:r>
          </w:p>
        </w:tc>
        <w:tc>
          <w:tcPr>
            <w:tcW w:w="3402" w:type="dxa"/>
            <w:tcBorders>
              <w:top w:val="single" w:color="auto" w:sz="12" w:space="0"/>
              <w:bottom w:val="single" w:color="auto" w:sz="6" w:space="0"/>
            </w:tcBorders>
            <w:vAlign w:val="top"/>
          </w:tcPr>
          <w:p w14:paraId="5FA12937">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eastAsia="仿宋" w:cs="Times New Roman"/>
                <w:b/>
                <w:bCs/>
                <w:i w:val="0"/>
                <w:iCs w:val="0"/>
                <w:caps w:val="0"/>
                <w:color w:val="auto"/>
                <w:spacing w:val="0"/>
                <w:kern w:val="0"/>
                <w:sz w:val="21"/>
                <w:szCs w:val="21"/>
                <w:shd w:val="clear"/>
                <w:vertAlign w:val="baseline"/>
                <w:lang w:val="en-US" w:eastAsia="zh-CN" w:bidi="ar"/>
              </w:rPr>
            </w:pPr>
            <w:r>
              <w:rPr>
                <w:rFonts w:hint="default" w:eastAsia="仿宋" w:cs="Times New Roman"/>
                <w:b/>
                <w:bCs/>
                <w:i w:val="0"/>
                <w:iCs w:val="0"/>
                <w:caps w:val="0"/>
                <w:color w:val="auto"/>
                <w:spacing w:val="0"/>
                <w:kern w:val="0"/>
                <w:sz w:val="21"/>
                <w:szCs w:val="21"/>
                <w:shd w:val="clear"/>
                <w:vertAlign w:val="baseline"/>
                <w:lang w:val="en-US" w:eastAsia="zh-CN" w:bidi="ar"/>
              </w:rPr>
              <w:t>Statistical significance</w:t>
            </w:r>
          </w:p>
        </w:tc>
      </w:tr>
      <w:tr w14:paraId="3C8699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02" w:type="dxa"/>
            <w:tcBorders>
              <w:top w:val="single" w:color="auto" w:sz="6" w:space="0"/>
            </w:tcBorders>
          </w:tcPr>
          <w:p w14:paraId="4E0A49C5">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eastAsia="仿宋" w:cs="Times New Roman"/>
                <w:b w:val="0"/>
                <w:bCs w:val="0"/>
                <w:i w:val="0"/>
                <w:iCs w:val="0"/>
                <w:caps w:val="0"/>
                <w:color w:val="auto"/>
                <w:spacing w:val="0"/>
                <w:kern w:val="0"/>
                <w:sz w:val="21"/>
                <w:szCs w:val="21"/>
                <w:shd w:val="clear"/>
                <w:vertAlign w:val="baseline"/>
                <w:lang w:val="en-US" w:eastAsia="zh-CN" w:bidi="ar"/>
              </w:rPr>
            </w:pPr>
            <w:r>
              <w:rPr>
                <w:rFonts w:hint="eastAsia" w:eastAsia="仿宋" w:cs="Times New Roman"/>
                <w:b w:val="0"/>
                <w:bCs w:val="0"/>
                <w:i w:val="0"/>
                <w:iCs w:val="0"/>
                <w:caps w:val="0"/>
                <w:color w:val="auto"/>
                <w:spacing w:val="0"/>
                <w:kern w:val="0"/>
                <w:sz w:val="21"/>
                <w:szCs w:val="21"/>
                <w:shd w:val="clear"/>
                <w:vertAlign w:val="baseline"/>
                <w:lang w:val="en-US" w:eastAsia="zh-CN" w:bidi="ar"/>
              </w:rPr>
              <w:t>Anxiety</w:t>
            </w:r>
          </w:p>
        </w:tc>
        <w:tc>
          <w:tcPr>
            <w:tcW w:w="3402" w:type="dxa"/>
            <w:tcBorders>
              <w:top w:val="single" w:color="auto" w:sz="6" w:space="0"/>
            </w:tcBorders>
          </w:tcPr>
          <w:p w14:paraId="6791B75C">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t>−0.</w:t>
            </w:r>
            <w:r>
              <w:rPr>
                <w:rFonts w:hint="eastAsia" w:eastAsia="仿宋" w:cs="Times New Roman"/>
                <w:b w:val="0"/>
                <w:bCs w:val="0"/>
                <w:i w:val="0"/>
                <w:iCs w:val="0"/>
                <w:caps w:val="0"/>
                <w:color w:val="auto"/>
                <w:spacing w:val="0"/>
                <w:kern w:val="0"/>
                <w:sz w:val="21"/>
                <w:szCs w:val="21"/>
                <w:shd w:val="clear"/>
                <w:vertAlign w:val="baseline"/>
                <w:lang w:val="en-US" w:eastAsia="zh-CN" w:bidi="ar"/>
              </w:rPr>
              <w:t>43</w:t>
            </w:r>
            <w: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t xml:space="preserve"> to −0.</w:t>
            </w:r>
            <w:r>
              <w:rPr>
                <w:rFonts w:hint="eastAsia" w:eastAsia="仿宋" w:cs="Times New Roman"/>
                <w:b w:val="0"/>
                <w:bCs w:val="0"/>
                <w:i w:val="0"/>
                <w:iCs w:val="0"/>
                <w:caps w:val="0"/>
                <w:color w:val="auto"/>
                <w:spacing w:val="0"/>
                <w:kern w:val="0"/>
                <w:sz w:val="21"/>
                <w:szCs w:val="21"/>
                <w:shd w:val="clear"/>
                <w:vertAlign w:val="baseline"/>
                <w:lang w:val="en-US" w:eastAsia="zh-CN" w:bidi="ar"/>
              </w:rPr>
              <w:t>31</w:t>
            </w:r>
          </w:p>
        </w:tc>
        <w:tc>
          <w:tcPr>
            <w:tcW w:w="3402" w:type="dxa"/>
            <w:tcBorders>
              <w:top w:val="single" w:color="auto" w:sz="6" w:space="0"/>
            </w:tcBorders>
          </w:tcPr>
          <w:p w14:paraId="6CE1B0E3">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eastAsia="仿宋" w:cs="Times New Roman"/>
                <w:b w:val="0"/>
                <w:bCs w:val="0"/>
                <w:i w:val="0"/>
                <w:iCs w:val="0"/>
                <w:caps w:val="0"/>
                <w:color w:val="auto"/>
                <w:spacing w:val="0"/>
                <w:kern w:val="0"/>
                <w:sz w:val="21"/>
                <w:szCs w:val="21"/>
                <w:shd w:val="clear"/>
                <w:vertAlign w:val="baseline"/>
                <w:lang w:val="en-US" w:eastAsia="zh-CN" w:bidi="ar"/>
              </w:rPr>
            </w:pPr>
            <w:r>
              <w:rPr>
                <w:rFonts w:hint="eastAsia" w:eastAsia="仿宋" w:cs="Times New Roman"/>
                <w:b w:val="0"/>
                <w:bCs w:val="0"/>
                <w:i w:val="0"/>
                <w:iCs w:val="0"/>
                <w:caps w:val="0"/>
                <w:color w:val="auto"/>
                <w:spacing w:val="0"/>
                <w:kern w:val="0"/>
                <w:sz w:val="21"/>
                <w:szCs w:val="21"/>
                <w:shd w:val="clear"/>
                <w:vertAlign w:val="baseline"/>
                <w:lang w:val="en-US" w:eastAsia="zh-CN" w:bidi="ar"/>
              </w:rPr>
              <w:t>Yes</w:t>
            </w:r>
          </w:p>
        </w:tc>
        <w:tc>
          <w:tcPr>
            <w:tcW w:w="3402" w:type="dxa"/>
            <w:tcBorders>
              <w:top w:val="single" w:color="auto" w:sz="6" w:space="0"/>
            </w:tcBorders>
          </w:tcPr>
          <w:p w14:paraId="30CF0BFE">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eastAsia="仿宋" w:cs="Times New Roman"/>
                <w:b w:val="0"/>
                <w:bCs w:val="0"/>
                <w:i w:val="0"/>
                <w:iCs w:val="0"/>
                <w:caps w:val="0"/>
                <w:color w:val="auto"/>
                <w:spacing w:val="0"/>
                <w:kern w:val="0"/>
                <w:sz w:val="21"/>
                <w:szCs w:val="21"/>
                <w:shd w:val="clear"/>
                <w:vertAlign w:val="baseline"/>
                <w:lang w:val="en-US" w:eastAsia="zh-CN" w:bidi="ar"/>
              </w:rPr>
            </w:pPr>
            <w:r>
              <w:rPr>
                <w:rFonts w:hint="default" w:eastAsia="仿宋" w:cs="Times New Roman"/>
                <w:b w:val="0"/>
                <w:bCs w:val="0"/>
                <w:i w:val="0"/>
                <w:iCs w:val="0"/>
                <w:caps w:val="0"/>
                <w:color w:val="auto"/>
                <w:spacing w:val="0"/>
                <w:kern w:val="0"/>
                <w:sz w:val="21"/>
                <w:szCs w:val="21"/>
                <w:shd w:val="clear"/>
                <w:vertAlign w:val="baseline"/>
                <w:lang w:val="en-US" w:eastAsia="zh-CN" w:bidi="ar"/>
              </w:rPr>
              <w:t>Significant in all analyses</w:t>
            </w:r>
          </w:p>
        </w:tc>
      </w:tr>
      <w:tr w14:paraId="6B9D4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02" w:type="dxa"/>
          </w:tcPr>
          <w:p w14:paraId="4F513D51">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eastAsia="仿宋" w:cs="Times New Roman"/>
                <w:b w:val="0"/>
                <w:bCs w:val="0"/>
                <w:i w:val="0"/>
                <w:iCs w:val="0"/>
                <w:caps w:val="0"/>
                <w:color w:val="auto"/>
                <w:spacing w:val="0"/>
                <w:kern w:val="0"/>
                <w:sz w:val="21"/>
                <w:szCs w:val="21"/>
                <w:shd w:val="clear"/>
                <w:vertAlign w:val="baseline"/>
                <w:lang w:val="en-US" w:eastAsia="zh-CN" w:bidi="ar"/>
              </w:rPr>
            </w:pPr>
            <w:r>
              <w:rPr>
                <w:rFonts w:hint="eastAsia" w:eastAsia="仿宋" w:cs="Times New Roman"/>
                <w:b w:val="0"/>
                <w:bCs w:val="0"/>
                <w:i w:val="0"/>
                <w:iCs w:val="0"/>
                <w:caps w:val="0"/>
                <w:color w:val="auto"/>
                <w:spacing w:val="0"/>
                <w:kern w:val="0"/>
                <w:sz w:val="21"/>
                <w:szCs w:val="21"/>
                <w:shd w:val="clear"/>
                <w:vertAlign w:val="baseline"/>
                <w:lang w:val="en-US" w:eastAsia="zh-CN" w:bidi="ar"/>
              </w:rPr>
              <w:t>Depression</w:t>
            </w:r>
          </w:p>
        </w:tc>
        <w:tc>
          <w:tcPr>
            <w:tcW w:w="3402" w:type="dxa"/>
          </w:tcPr>
          <w:p w14:paraId="5AB70455">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t>−0.</w:t>
            </w:r>
            <w:r>
              <w:rPr>
                <w:rFonts w:hint="eastAsia" w:eastAsia="仿宋" w:cs="Times New Roman"/>
                <w:b w:val="0"/>
                <w:bCs w:val="0"/>
                <w:i w:val="0"/>
                <w:iCs w:val="0"/>
                <w:caps w:val="0"/>
                <w:color w:val="auto"/>
                <w:spacing w:val="0"/>
                <w:kern w:val="0"/>
                <w:sz w:val="21"/>
                <w:szCs w:val="21"/>
                <w:shd w:val="clear"/>
                <w:vertAlign w:val="baseline"/>
                <w:lang w:val="en-US" w:eastAsia="zh-CN" w:bidi="ar"/>
              </w:rPr>
              <w:t>42</w:t>
            </w:r>
            <w: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t xml:space="preserve"> to −0.</w:t>
            </w:r>
            <w:r>
              <w:rPr>
                <w:rFonts w:hint="eastAsia" w:eastAsia="仿宋" w:cs="Times New Roman"/>
                <w:b w:val="0"/>
                <w:bCs w:val="0"/>
                <w:i w:val="0"/>
                <w:iCs w:val="0"/>
                <w:caps w:val="0"/>
                <w:color w:val="auto"/>
                <w:spacing w:val="0"/>
                <w:kern w:val="0"/>
                <w:sz w:val="21"/>
                <w:szCs w:val="21"/>
                <w:shd w:val="clear"/>
                <w:vertAlign w:val="baseline"/>
                <w:lang w:val="en-US" w:eastAsia="zh-CN" w:bidi="ar"/>
              </w:rPr>
              <w:t>21</w:t>
            </w:r>
          </w:p>
        </w:tc>
        <w:tc>
          <w:tcPr>
            <w:tcW w:w="3402" w:type="dxa"/>
          </w:tcPr>
          <w:p w14:paraId="660F4092">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eastAsia="仿宋" w:cs="Times New Roman"/>
                <w:b w:val="0"/>
                <w:bCs w:val="0"/>
                <w:i w:val="0"/>
                <w:iCs w:val="0"/>
                <w:caps w:val="0"/>
                <w:color w:val="auto"/>
                <w:spacing w:val="0"/>
                <w:kern w:val="0"/>
                <w:sz w:val="21"/>
                <w:szCs w:val="21"/>
                <w:shd w:val="clear"/>
                <w:vertAlign w:val="baseline"/>
                <w:lang w:val="en-US" w:eastAsia="zh-CN" w:bidi="ar"/>
              </w:rPr>
            </w:pPr>
            <w:r>
              <w:rPr>
                <w:rFonts w:hint="eastAsia" w:eastAsia="仿宋" w:cs="Times New Roman"/>
                <w:b w:val="0"/>
                <w:bCs w:val="0"/>
                <w:i w:val="0"/>
                <w:iCs w:val="0"/>
                <w:caps w:val="0"/>
                <w:color w:val="auto"/>
                <w:spacing w:val="0"/>
                <w:kern w:val="0"/>
                <w:sz w:val="21"/>
                <w:szCs w:val="21"/>
                <w:shd w:val="clear"/>
                <w:vertAlign w:val="baseline"/>
                <w:lang w:val="en-US" w:eastAsia="zh-CN" w:bidi="ar"/>
              </w:rPr>
              <w:t>Yes</w:t>
            </w:r>
          </w:p>
        </w:tc>
        <w:tc>
          <w:tcPr>
            <w:tcW w:w="3402" w:type="dxa"/>
          </w:tcPr>
          <w:p w14:paraId="4C768AD9">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eastAsia="仿宋" w:cs="Times New Roman"/>
                <w:b w:val="0"/>
                <w:bCs w:val="0"/>
                <w:i w:val="0"/>
                <w:iCs w:val="0"/>
                <w:caps w:val="0"/>
                <w:color w:val="auto"/>
                <w:spacing w:val="0"/>
                <w:kern w:val="0"/>
                <w:sz w:val="21"/>
                <w:szCs w:val="21"/>
                <w:shd w:val="clear"/>
                <w:vertAlign w:val="baseline"/>
                <w:lang w:val="en-US" w:eastAsia="zh-CN" w:bidi="ar"/>
              </w:rPr>
            </w:pPr>
            <w:r>
              <w:rPr>
                <w:rFonts w:hint="default" w:eastAsia="仿宋" w:cs="Times New Roman"/>
                <w:b w:val="0"/>
                <w:bCs w:val="0"/>
                <w:i w:val="0"/>
                <w:iCs w:val="0"/>
                <w:caps w:val="0"/>
                <w:color w:val="auto"/>
                <w:spacing w:val="0"/>
                <w:kern w:val="0"/>
                <w:sz w:val="21"/>
                <w:szCs w:val="21"/>
                <w:shd w:val="clear"/>
                <w:vertAlign w:val="baseline"/>
                <w:lang w:val="en-US" w:eastAsia="zh-CN" w:bidi="ar"/>
              </w:rPr>
              <w:t>Varied across analyses</w:t>
            </w:r>
          </w:p>
        </w:tc>
      </w:tr>
      <w:tr w14:paraId="200D2E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 w:hRule="atLeast"/>
          <w:jc w:val="center"/>
        </w:trPr>
        <w:tc>
          <w:tcPr>
            <w:tcW w:w="3402" w:type="dxa"/>
          </w:tcPr>
          <w:p w14:paraId="4FBF3AD5">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eastAsia="仿宋" w:cs="Times New Roman"/>
                <w:b w:val="0"/>
                <w:bCs w:val="0"/>
                <w:i w:val="0"/>
                <w:iCs w:val="0"/>
                <w:caps w:val="0"/>
                <w:color w:val="auto"/>
                <w:spacing w:val="0"/>
                <w:kern w:val="0"/>
                <w:sz w:val="21"/>
                <w:szCs w:val="21"/>
                <w:shd w:val="clear"/>
                <w:vertAlign w:val="baseline"/>
                <w:lang w:val="en-US" w:eastAsia="zh-CN" w:bidi="ar"/>
              </w:rPr>
            </w:pPr>
            <w:r>
              <w:rPr>
                <w:rFonts w:hint="eastAsia" w:ascii="Times New Roman" w:hAnsi="Times New Roman" w:eastAsia="宋体" w:cs="Times New Roman"/>
                <w:color w:val="auto"/>
                <w:sz w:val="21"/>
                <w:szCs w:val="21"/>
                <w:vertAlign w:val="baseline"/>
                <w:lang w:val="en-US" w:eastAsia="zh-CN"/>
              </w:rPr>
              <w:t>Stress</w:t>
            </w:r>
          </w:p>
        </w:tc>
        <w:tc>
          <w:tcPr>
            <w:tcW w:w="3402" w:type="dxa"/>
          </w:tcPr>
          <w:p w14:paraId="1E8F4EFC">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t>−0.65 to −0.23</w:t>
            </w:r>
          </w:p>
        </w:tc>
        <w:tc>
          <w:tcPr>
            <w:tcW w:w="3402" w:type="dxa"/>
          </w:tcPr>
          <w:p w14:paraId="30ECEDB6">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eastAsia="仿宋" w:cs="Times New Roman"/>
                <w:b w:val="0"/>
                <w:bCs w:val="0"/>
                <w:i w:val="0"/>
                <w:iCs w:val="0"/>
                <w:caps w:val="0"/>
                <w:color w:val="auto"/>
                <w:spacing w:val="0"/>
                <w:kern w:val="0"/>
                <w:sz w:val="21"/>
                <w:szCs w:val="21"/>
                <w:shd w:val="clear"/>
                <w:vertAlign w:val="baseline"/>
                <w:lang w:val="en-US" w:eastAsia="zh-CN" w:bidi="ar"/>
              </w:rPr>
            </w:pPr>
            <w:r>
              <w:rPr>
                <w:rFonts w:hint="eastAsia" w:eastAsia="仿宋" w:cs="Times New Roman"/>
                <w:b w:val="0"/>
                <w:bCs w:val="0"/>
                <w:i w:val="0"/>
                <w:iCs w:val="0"/>
                <w:caps w:val="0"/>
                <w:color w:val="auto"/>
                <w:spacing w:val="0"/>
                <w:kern w:val="0"/>
                <w:sz w:val="21"/>
                <w:szCs w:val="21"/>
                <w:shd w:val="clear"/>
                <w:vertAlign w:val="baseline"/>
                <w:lang w:val="en-US" w:eastAsia="zh-CN" w:bidi="ar"/>
              </w:rPr>
              <w:t>Yes</w:t>
            </w:r>
          </w:p>
        </w:tc>
        <w:tc>
          <w:tcPr>
            <w:tcW w:w="3402" w:type="dxa"/>
          </w:tcPr>
          <w:p w14:paraId="1C28A606">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eastAsia="仿宋" w:cs="Times New Roman"/>
                <w:b w:val="0"/>
                <w:bCs w:val="0"/>
                <w:i w:val="0"/>
                <w:iCs w:val="0"/>
                <w:caps w:val="0"/>
                <w:color w:val="auto"/>
                <w:spacing w:val="0"/>
                <w:kern w:val="0"/>
                <w:sz w:val="21"/>
                <w:szCs w:val="21"/>
                <w:shd w:val="clear"/>
                <w:vertAlign w:val="baseline"/>
                <w:lang w:val="en-US" w:eastAsia="zh-CN" w:bidi="ar"/>
              </w:rPr>
            </w:pPr>
            <w:r>
              <w:rPr>
                <w:rFonts w:hint="default" w:eastAsia="仿宋" w:cs="Times New Roman"/>
                <w:b w:val="0"/>
                <w:bCs w:val="0"/>
                <w:i w:val="0"/>
                <w:iCs w:val="0"/>
                <w:caps w:val="0"/>
                <w:color w:val="auto"/>
                <w:spacing w:val="0"/>
                <w:kern w:val="0"/>
                <w:sz w:val="21"/>
                <w:szCs w:val="21"/>
                <w:shd w:val="clear"/>
                <w:vertAlign w:val="baseline"/>
                <w:lang w:val="en-US" w:eastAsia="zh-CN" w:bidi="ar"/>
              </w:rPr>
              <w:t>Non</w:t>
            </w:r>
            <w:r>
              <w:rPr>
                <w:rFonts w:hint="eastAsia" w:eastAsia="仿宋" w:cs="Times New Roman"/>
                <w:b w:val="0"/>
                <w:bCs w:val="0"/>
                <w:i w:val="0"/>
                <w:iCs w:val="0"/>
                <w:caps w:val="0"/>
                <w:color w:val="auto"/>
                <w:spacing w:val="0"/>
                <w:kern w:val="0"/>
                <w:sz w:val="21"/>
                <w:szCs w:val="21"/>
                <w:shd w:val="clear"/>
                <w:vertAlign w:val="baseline"/>
                <w:lang w:val="en-US" w:eastAsia="zh-CN" w:bidi="ar"/>
              </w:rPr>
              <w:t>-</w:t>
            </w:r>
            <w:r>
              <w:rPr>
                <w:rFonts w:hint="default" w:eastAsia="仿宋" w:cs="Times New Roman"/>
                <w:b w:val="0"/>
                <w:bCs w:val="0"/>
                <w:i w:val="0"/>
                <w:iCs w:val="0"/>
                <w:caps w:val="0"/>
                <w:color w:val="auto"/>
                <w:spacing w:val="0"/>
                <w:kern w:val="0"/>
                <w:sz w:val="21"/>
                <w:szCs w:val="21"/>
                <w:shd w:val="clear"/>
                <w:vertAlign w:val="baseline"/>
                <w:lang w:val="en-US" w:eastAsia="zh-CN" w:bidi="ar"/>
              </w:rPr>
              <w:t>significant in all analyses</w:t>
            </w:r>
          </w:p>
        </w:tc>
      </w:tr>
      <w:tr w14:paraId="6703F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02" w:type="dxa"/>
          </w:tcPr>
          <w:p w14:paraId="55F3BFC5">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eastAsia="仿宋" w:cs="Times New Roman"/>
                <w:b w:val="0"/>
                <w:bCs w:val="0"/>
                <w:i w:val="0"/>
                <w:iCs w:val="0"/>
                <w:caps w:val="0"/>
                <w:color w:val="auto"/>
                <w:spacing w:val="0"/>
                <w:kern w:val="0"/>
                <w:sz w:val="21"/>
                <w:szCs w:val="21"/>
                <w:shd w:val="clear"/>
                <w:vertAlign w:val="baseline"/>
                <w:lang w:val="en-US" w:eastAsia="zh-CN" w:bidi="ar"/>
              </w:rPr>
            </w:pPr>
            <w:r>
              <w:rPr>
                <w:rFonts w:hint="eastAsia" w:ascii="Times New Roman" w:hAnsi="Times New Roman" w:eastAsia="宋体" w:cs="Times New Roman"/>
                <w:color w:val="auto"/>
                <w:sz w:val="21"/>
                <w:szCs w:val="21"/>
                <w:vertAlign w:val="baseline"/>
                <w:lang w:val="en-US" w:eastAsia="zh-CN"/>
              </w:rPr>
              <w:t>Mindfulness</w:t>
            </w:r>
          </w:p>
        </w:tc>
        <w:tc>
          <w:tcPr>
            <w:tcW w:w="3402" w:type="dxa"/>
          </w:tcPr>
          <w:p w14:paraId="53B70B83">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t>0.40 to 0.67</w:t>
            </w:r>
          </w:p>
        </w:tc>
        <w:tc>
          <w:tcPr>
            <w:tcW w:w="3402" w:type="dxa"/>
          </w:tcPr>
          <w:p w14:paraId="0E2CED9F">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eastAsia="仿宋" w:cs="Times New Roman"/>
                <w:b w:val="0"/>
                <w:bCs w:val="0"/>
                <w:i w:val="0"/>
                <w:iCs w:val="0"/>
                <w:caps w:val="0"/>
                <w:color w:val="auto"/>
                <w:spacing w:val="0"/>
                <w:kern w:val="0"/>
                <w:sz w:val="21"/>
                <w:szCs w:val="21"/>
                <w:shd w:val="clear"/>
                <w:vertAlign w:val="baseline"/>
                <w:lang w:val="en-US" w:eastAsia="zh-CN" w:bidi="ar"/>
              </w:rPr>
            </w:pPr>
            <w:r>
              <w:rPr>
                <w:rFonts w:hint="eastAsia" w:eastAsia="仿宋" w:cs="Times New Roman"/>
                <w:b w:val="0"/>
                <w:bCs w:val="0"/>
                <w:i w:val="0"/>
                <w:iCs w:val="0"/>
                <w:caps w:val="0"/>
                <w:color w:val="auto"/>
                <w:spacing w:val="0"/>
                <w:kern w:val="0"/>
                <w:sz w:val="21"/>
                <w:szCs w:val="21"/>
                <w:shd w:val="clear"/>
                <w:vertAlign w:val="baseline"/>
                <w:lang w:val="en-US" w:eastAsia="zh-CN" w:bidi="ar"/>
              </w:rPr>
              <w:t>Yes</w:t>
            </w:r>
          </w:p>
        </w:tc>
        <w:tc>
          <w:tcPr>
            <w:tcW w:w="3402" w:type="dxa"/>
          </w:tcPr>
          <w:p w14:paraId="4772DFDA">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eastAsia="仿宋" w:cs="Times New Roman"/>
                <w:b w:val="0"/>
                <w:bCs w:val="0"/>
                <w:i w:val="0"/>
                <w:iCs w:val="0"/>
                <w:caps w:val="0"/>
                <w:color w:val="auto"/>
                <w:spacing w:val="0"/>
                <w:kern w:val="0"/>
                <w:sz w:val="21"/>
                <w:szCs w:val="21"/>
                <w:shd w:val="clear"/>
                <w:vertAlign w:val="baseline"/>
                <w:lang w:val="en-US" w:eastAsia="zh-CN" w:bidi="ar"/>
              </w:rPr>
            </w:pPr>
            <w:r>
              <w:rPr>
                <w:rFonts w:hint="default" w:eastAsia="仿宋" w:cs="Times New Roman"/>
                <w:b w:val="0"/>
                <w:bCs w:val="0"/>
                <w:i w:val="0"/>
                <w:iCs w:val="0"/>
                <w:caps w:val="0"/>
                <w:color w:val="auto"/>
                <w:spacing w:val="0"/>
                <w:kern w:val="0"/>
                <w:sz w:val="21"/>
                <w:szCs w:val="21"/>
                <w:shd w:val="clear"/>
                <w:vertAlign w:val="baseline"/>
                <w:lang w:val="en-US" w:eastAsia="zh-CN" w:bidi="ar"/>
              </w:rPr>
              <w:t>Non</w:t>
            </w:r>
            <w:r>
              <w:rPr>
                <w:rFonts w:hint="eastAsia" w:eastAsia="仿宋" w:cs="Times New Roman"/>
                <w:b w:val="0"/>
                <w:bCs w:val="0"/>
                <w:i w:val="0"/>
                <w:iCs w:val="0"/>
                <w:caps w:val="0"/>
                <w:color w:val="auto"/>
                <w:spacing w:val="0"/>
                <w:kern w:val="0"/>
                <w:sz w:val="21"/>
                <w:szCs w:val="21"/>
                <w:shd w:val="clear"/>
                <w:vertAlign w:val="baseline"/>
                <w:lang w:val="en-US" w:eastAsia="zh-CN" w:bidi="ar"/>
              </w:rPr>
              <w:t>-</w:t>
            </w:r>
            <w:r>
              <w:rPr>
                <w:rFonts w:hint="default" w:eastAsia="仿宋" w:cs="Times New Roman"/>
                <w:b w:val="0"/>
                <w:bCs w:val="0"/>
                <w:i w:val="0"/>
                <w:iCs w:val="0"/>
                <w:caps w:val="0"/>
                <w:color w:val="auto"/>
                <w:spacing w:val="0"/>
                <w:kern w:val="0"/>
                <w:sz w:val="21"/>
                <w:szCs w:val="21"/>
                <w:shd w:val="clear"/>
                <w:vertAlign w:val="baseline"/>
                <w:lang w:val="en-US" w:eastAsia="zh-CN" w:bidi="ar"/>
              </w:rPr>
              <w:t>significant in all analyses</w:t>
            </w:r>
          </w:p>
        </w:tc>
      </w:tr>
      <w:tr w14:paraId="75B08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02" w:type="dxa"/>
          </w:tcPr>
          <w:p w14:paraId="43771F66">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eastAsia="仿宋" w:cs="Times New Roman"/>
                <w:b w:val="0"/>
                <w:bCs w:val="0"/>
                <w:i w:val="0"/>
                <w:iCs w:val="0"/>
                <w:caps w:val="0"/>
                <w:color w:val="auto"/>
                <w:spacing w:val="0"/>
                <w:kern w:val="0"/>
                <w:sz w:val="21"/>
                <w:szCs w:val="21"/>
                <w:shd w:val="clear"/>
                <w:vertAlign w:val="baseline"/>
                <w:lang w:val="en-US" w:eastAsia="zh-CN" w:bidi="ar"/>
              </w:rPr>
            </w:pPr>
            <w:r>
              <w:rPr>
                <w:rFonts w:hint="eastAsia" w:ascii="Times New Roman" w:hAnsi="Times New Roman" w:eastAsia="宋体" w:cs="Times New Roman"/>
                <w:color w:val="auto"/>
                <w:sz w:val="21"/>
                <w:szCs w:val="21"/>
                <w:vertAlign w:val="baseline"/>
                <w:lang w:val="en-US" w:eastAsia="zh-CN"/>
              </w:rPr>
              <w:t>Positive affect</w:t>
            </w:r>
          </w:p>
        </w:tc>
        <w:tc>
          <w:tcPr>
            <w:tcW w:w="3402" w:type="dxa"/>
          </w:tcPr>
          <w:p w14:paraId="3CD5263F">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t>0.19 to 0.47</w:t>
            </w:r>
          </w:p>
        </w:tc>
        <w:tc>
          <w:tcPr>
            <w:tcW w:w="3402" w:type="dxa"/>
          </w:tcPr>
          <w:p w14:paraId="7124AB91">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eastAsia="仿宋" w:cs="Times New Roman"/>
                <w:b w:val="0"/>
                <w:bCs w:val="0"/>
                <w:i w:val="0"/>
                <w:iCs w:val="0"/>
                <w:caps w:val="0"/>
                <w:color w:val="auto"/>
                <w:spacing w:val="0"/>
                <w:kern w:val="0"/>
                <w:sz w:val="21"/>
                <w:szCs w:val="21"/>
                <w:shd w:val="clear"/>
                <w:vertAlign w:val="baseline"/>
                <w:lang w:val="en-US" w:eastAsia="zh-CN" w:bidi="ar"/>
              </w:rPr>
            </w:pPr>
            <w:r>
              <w:rPr>
                <w:rFonts w:hint="eastAsia" w:eastAsia="仿宋" w:cs="Times New Roman"/>
                <w:b w:val="0"/>
                <w:bCs w:val="0"/>
                <w:i w:val="0"/>
                <w:iCs w:val="0"/>
                <w:caps w:val="0"/>
                <w:color w:val="auto"/>
                <w:spacing w:val="0"/>
                <w:kern w:val="0"/>
                <w:sz w:val="21"/>
                <w:szCs w:val="21"/>
                <w:shd w:val="clear"/>
                <w:vertAlign w:val="baseline"/>
                <w:lang w:val="en-US" w:eastAsia="zh-CN" w:bidi="ar"/>
              </w:rPr>
              <w:t>Yes</w:t>
            </w:r>
          </w:p>
        </w:tc>
        <w:tc>
          <w:tcPr>
            <w:tcW w:w="3402" w:type="dxa"/>
            <w:shd w:val="clear" w:color="auto" w:fill="auto"/>
            <w:vAlign w:val="top"/>
          </w:tcPr>
          <w:p w14:paraId="5FAF26C9">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left="0" w:leftChars="0" w:firstLine="0" w:firstLineChars="0"/>
              <w:jc w:val="both"/>
              <w:textAlignment w:val="auto"/>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eastAsia="仿宋" w:cs="Times New Roman"/>
                <w:b w:val="0"/>
                <w:bCs w:val="0"/>
                <w:i w:val="0"/>
                <w:iCs w:val="0"/>
                <w:caps w:val="0"/>
                <w:color w:val="auto"/>
                <w:spacing w:val="0"/>
                <w:kern w:val="0"/>
                <w:sz w:val="21"/>
                <w:szCs w:val="21"/>
                <w:shd w:val="clear"/>
                <w:vertAlign w:val="baseline"/>
                <w:lang w:val="en-US" w:eastAsia="zh-CN" w:bidi="ar"/>
              </w:rPr>
              <w:t>Non</w:t>
            </w:r>
            <w:r>
              <w:rPr>
                <w:rFonts w:hint="eastAsia" w:eastAsia="仿宋" w:cs="Times New Roman"/>
                <w:b w:val="0"/>
                <w:bCs w:val="0"/>
                <w:i w:val="0"/>
                <w:iCs w:val="0"/>
                <w:caps w:val="0"/>
                <w:color w:val="auto"/>
                <w:spacing w:val="0"/>
                <w:kern w:val="0"/>
                <w:sz w:val="21"/>
                <w:szCs w:val="21"/>
                <w:shd w:val="clear"/>
                <w:vertAlign w:val="baseline"/>
                <w:lang w:val="en-US" w:eastAsia="zh-CN" w:bidi="ar"/>
              </w:rPr>
              <w:t>-</w:t>
            </w:r>
            <w:r>
              <w:rPr>
                <w:rFonts w:hint="default" w:eastAsia="仿宋" w:cs="Times New Roman"/>
                <w:b w:val="0"/>
                <w:bCs w:val="0"/>
                <w:i w:val="0"/>
                <w:iCs w:val="0"/>
                <w:caps w:val="0"/>
                <w:color w:val="auto"/>
                <w:spacing w:val="0"/>
                <w:kern w:val="0"/>
                <w:sz w:val="21"/>
                <w:szCs w:val="21"/>
                <w:shd w:val="clear"/>
                <w:vertAlign w:val="baseline"/>
                <w:lang w:val="en-US" w:eastAsia="zh-CN" w:bidi="ar"/>
              </w:rPr>
              <w:t>significant in all analyses</w:t>
            </w:r>
          </w:p>
        </w:tc>
      </w:tr>
      <w:tr w14:paraId="0B2C7C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02" w:type="dxa"/>
          </w:tcPr>
          <w:p w14:paraId="5E82CAB1">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eastAsia="仿宋" w:cs="Times New Roman"/>
                <w:b w:val="0"/>
                <w:bCs w:val="0"/>
                <w:i w:val="0"/>
                <w:iCs w:val="0"/>
                <w:caps w:val="0"/>
                <w:color w:val="auto"/>
                <w:spacing w:val="0"/>
                <w:kern w:val="0"/>
                <w:sz w:val="21"/>
                <w:szCs w:val="21"/>
                <w:shd w:val="clear"/>
                <w:vertAlign w:val="baseline"/>
                <w:lang w:val="en-US" w:eastAsia="zh-CN" w:bidi="ar"/>
              </w:rPr>
            </w:pPr>
            <w:r>
              <w:rPr>
                <w:rFonts w:hint="eastAsia" w:ascii="Times New Roman" w:hAnsi="Times New Roman" w:eastAsia="宋体" w:cs="Times New Roman"/>
                <w:color w:val="auto"/>
                <w:sz w:val="21"/>
                <w:szCs w:val="21"/>
                <w:vertAlign w:val="baseline"/>
                <w:lang w:val="en-US" w:eastAsia="zh-CN"/>
              </w:rPr>
              <w:t>Negative affect</w:t>
            </w:r>
          </w:p>
        </w:tc>
        <w:tc>
          <w:tcPr>
            <w:tcW w:w="3402" w:type="dxa"/>
          </w:tcPr>
          <w:p w14:paraId="5B91C7CA">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t>−0.44 to −0.05</w:t>
            </w:r>
          </w:p>
        </w:tc>
        <w:tc>
          <w:tcPr>
            <w:tcW w:w="3402" w:type="dxa"/>
          </w:tcPr>
          <w:p w14:paraId="0E2A6394">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eastAsia="仿宋" w:cs="Times New Roman"/>
                <w:b w:val="0"/>
                <w:bCs w:val="0"/>
                <w:i w:val="0"/>
                <w:iCs w:val="0"/>
                <w:caps w:val="0"/>
                <w:color w:val="auto"/>
                <w:spacing w:val="0"/>
                <w:kern w:val="0"/>
                <w:sz w:val="21"/>
                <w:szCs w:val="21"/>
                <w:shd w:val="clear"/>
                <w:vertAlign w:val="baseline"/>
                <w:lang w:val="en-US" w:eastAsia="zh-CN" w:bidi="ar"/>
              </w:rPr>
            </w:pPr>
            <w:r>
              <w:rPr>
                <w:rFonts w:hint="eastAsia" w:eastAsia="仿宋" w:cs="Times New Roman"/>
                <w:b w:val="0"/>
                <w:bCs w:val="0"/>
                <w:i w:val="0"/>
                <w:iCs w:val="0"/>
                <w:caps w:val="0"/>
                <w:color w:val="auto"/>
                <w:spacing w:val="0"/>
                <w:kern w:val="0"/>
                <w:sz w:val="21"/>
                <w:szCs w:val="21"/>
                <w:shd w:val="clear"/>
                <w:vertAlign w:val="baseline"/>
                <w:lang w:val="en-US" w:eastAsia="zh-CN" w:bidi="ar"/>
              </w:rPr>
              <w:t>Yes</w:t>
            </w:r>
          </w:p>
        </w:tc>
        <w:tc>
          <w:tcPr>
            <w:tcW w:w="3402" w:type="dxa"/>
          </w:tcPr>
          <w:p w14:paraId="1119CB35">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eastAsia="仿宋" w:cs="Times New Roman"/>
                <w:b w:val="0"/>
                <w:bCs w:val="0"/>
                <w:i w:val="0"/>
                <w:iCs w:val="0"/>
                <w:caps w:val="0"/>
                <w:color w:val="auto"/>
                <w:spacing w:val="0"/>
                <w:kern w:val="0"/>
                <w:sz w:val="21"/>
                <w:szCs w:val="21"/>
                <w:shd w:val="clear"/>
                <w:vertAlign w:val="baseline"/>
                <w:lang w:val="en-US" w:eastAsia="zh-CN" w:bidi="ar"/>
              </w:rPr>
            </w:pPr>
            <w:r>
              <w:rPr>
                <w:rFonts w:hint="default" w:eastAsia="仿宋" w:cs="Times New Roman"/>
                <w:b w:val="0"/>
                <w:bCs w:val="0"/>
                <w:i w:val="0"/>
                <w:iCs w:val="0"/>
                <w:caps w:val="0"/>
                <w:color w:val="auto"/>
                <w:spacing w:val="0"/>
                <w:kern w:val="0"/>
                <w:sz w:val="21"/>
                <w:szCs w:val="21"/>
                <w:shd w:val="clear"/>
                <w:vertAlign w:val="baseline"/>
                <w:lang w:val="en-US" w:eastAsia="zh-CN" w:bidi="ar"/>
              </w:rPr>
              <w:t>Non</w:t>
            </w:r>
            <w:r>
              <w:rPr>
                <w:rFonts w:hint="eastAsia" w:eastAsia="仿宋" w:cs="Times New Roman"/>
                <w:b w:val="0"/>
                <w:bCs w:val="0"/>
                <w:i w:val="0"/>
                <w:iCs w:val="0"/>
                <w:caps w:val="0"/>
                <w:color w:val="auto"/>
                <w:spacing w:val="0"/>
                <w:kern w:val="0"/>
                <w:sz w:val="21"/>
                <w:szCs w:val="21"/>
                <w:shd w:val="clear"/>
                <w:vertAlign w:val="baseline"/>
                <w:lang w:val="en-US" w:eastAsia="zh-CN" w:bidi="ar"/>
              </w:rPr>
              <w:t>-</w:t>
            </w:r>
            <w:r>
              <w:rPr>
                <w:rFonts w:hint="default" w:eastAsia="仿宋" w:cs="Times New Roman"/>
                <w:b w:val="0"/>
                <w:bCs w:val="0"/>
                <w:i w:val="0"/>
                <w:iCs w:val="0"/>
                <w:caps w:val="0"/>
                <w:color w:val="auto"/>
                <w:spacing w:val="0"/>
                <w:kern w:val="0"/>
                <w:sz w:val="21"/>
                <w:szCs w:val="21"/>
                <w:shd w:val="clear"/>
                <w:vertAlign w:val="baseline"/>
                <w:lang w:val="en-US" w:eastAsia="zh-CN" w:bidi="ar"/>
              </w:rPr>
              <w:t>significant in all analyses</w:t>
            </w:r>
          </w:p>
        </w:tc>
      </w:tr>
      <w:tr w14:paraId="04D1B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02" w:type="dxa"/>
            <w:vAlign w:val="top"/>
          </w:tcPr>
          <w:p w14:paraId="7ED19B7A">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left="0" w:leftChars="0" w:firstLine="0" w:firstLineChars="0"/>
              <w:jc w:val="both"/>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Well</w:t>
            </w:r>
            <w:r>
              <w:rPr>
                <w:rFonts w:hint="eastAsia" w:cs="Times New Roman"/>
                <w:color w:val="auto"/>
                <w:sz w:val="21"/>
                <w:szCs w:val="21"/>
                <w:vertAlign w:val="baseline"/>
                <w:lang w:val="en-US" w:eastAsia="zh-CN"/>
              </w:rPr>
              <w:t>-</w:t>
            </w:r>
            <w:r>
              <w:rPr>
                <w:rFonts w:hint="eastAsia" w:ascii="Times New Roman" w:hAnsi="Times New Roman" w:eastAsia="宋体" w:cs="Times New Roman"/>
                <w:color w:val="auto"/>
                <w:sz w:val="21"/>
                <w:szCs w:val="21"/>
                <w:vertAlign w:val="baseline"/>
                <w:lang w:val="en-US" w:eastAsia="zh-CN"/>
              </w:rPr>
              <w:t>being</w:t>
            </w:r>
          </w:p>
        </w:tc>
        <w:tc>
          <w:tcPr>
            <w:tcW w:w="3402" w:type="dxa"/>
            <w:vAlign w:val="top"/>
          </w:tcPr>
          <w:p w14:paraId="310AD52F">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left="0" w:leftChars="0" w:firstLine="0" w:firstLineChars="0"/>
              <w:jc w:val="both"/>
              <w:textAlignment w:val="auto"/>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t>0.34 to 0.59</w:t>
            </w:r>
          </w:p>
        </w:tc>
        <w:tc>
          <w:tcPr>
            <w:tcW w:w="3402" w:type="dxa"/>
            <w:vAlign w:val="top"/>
          </w:tcPr>
          <w:p w14:paraId="64FBDD7C">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left="0" w:leftChars="0" w:firstLine="0" w:firstLineChars="0"/>
              <w:jc w:val="both"/>
              <w:textAlignment w:val="auto"/>
              <w:rPr>
                <w:rFonts w:hint="eastAsia" w:eastAsia="仿宋" w:cs="Times New Roman"/>
                <w:b w:val="0"/>
                <w:bCs w:val="0"/>
                <w:i w:val="0"/>
                <w:iCs w:val="0"/>
                <w:caps w:val="0"/>
                <w:color w:val="auto"/>
                <w:spacing w:val="0"/>
                <w:kern w:val="0"/>
                <w:sz w:val="21"/>
                <w:szCs w:val="21"/>
                <w:shd w:val="clear"/>
                <w:vertAlign w:val="baseline"/>
                <w:lang w:val="en-US" w:eastAsia="zh-CN" w:bidi="ar"/>
              </w:rPr>
            </w:pPr>
            <w:r>
              <w:rPr>
                <w:rFonts w:hint="eastAsia" w:eastAsia="仿宋" w:cs="Times New Roman"/>
                <w:b w:val="0"/>
                <w:bCs w:val="0"/>
                <w:i w:val="0"/>
                <w:iCs w:val="0"/>
                <w:caps w:val="0"/>
                <w:color w:val="auto"/>
                <w:spacing w:val="0"/>
                <w:kern w:val="0"/>
                <w:sz w:val="21"/>
                <w:szCs w:val="21"/>
                <w:shd w:val="clear"/>
                <w:vertAlign w:val="baseline"/>
                <w:lang w:val="en-US" w:eastAsia="zh-CN" w:bidi="ar"/>
              </w:rPr>
              <w:t>Yes</w:t>
            </w:r>
          </w:p>
        </w:tc>
        <w:tc>
          <w:tcPr>
            <w:tcW w:w="3402" w:type="dxa"/>
            <w:vAlign w:val="top"/>
          </w:tcPr>
          <w:p w14:paraId="213BBEDE">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left="0" w:leftChars="0" w:firstLine="0" w:firstLineChars="0"/>
              <w:jc w:val="both"/>
              <w:textAlignment w:val="auto"/>
              <w:rPr>
                <w:rFonts w:hint="default" w:eastAsia="仿宋" w:cs="Times New Roman"/>
                <w:b w:val="0"/>
                <w:bCs w:val="0"/>
                <w:i w:val="0"/>
                <w:iCs w:val="0"/>
                <w:caps w:val="0"/>
                <w:color w:val="auto"/>
                <w:spacing w:val="0"/>
                <w:kern w:val="0"/>
                <w:sz w:val="21"/>
                <w:szCs w:val="21"/>
                <w:shd w:val="clear"/>
                <w:vertAlign w:val="baseline"/>
                <w:lang w:val="en-US" w:eastAsia="zh-CN" w:bidi="ar"/>
              </w:rPr>
            </w:pPr>
            <w:r>
              <w:rPr>
                <w:rFonts w:hint="default" w:eastAsia="仿宋" w:cs="Times New Roman"/>
                <w:b w:val="0"/>
                <w:bCs w:val="0"/>
                <w:i w:val="0"/>
                <w:iCs w:val="0"/>
                <w:caps w:val="0"/>
                <w:color w:val="auto"/>
                <w:spacing w:val="0"/>
                <w:kern w:val="0"/>
                <w:sz w:val="21"/>
                <w:szCs w:val="21"/>
                <w:shd w:val="clear"/>
                <w:vertAlign w:val="baseline"/>
                <w:lang w:val="en-US" w:eastAsia="zh-CN" w:bidi="ar"/>
              </w:rPr>
              <w:t>Non</w:t>
            </w:r>
            <w:r>
              <w:rPr>
                <w:rFonts w:hint="eastAsia" w:eastAsia="仿宋" w:cs="Times New Roman"/>
                <w:b w:val="0"/>
                <w:bCs w:val="0"/>
                <w:i w:val="0"/>
                <w:iCs w:val="0"/>
                <w:caps w:val="0"/>
                <w:color w:val="auto"/>
                <w:spacing w:val="0"/>
                <w:kern w:val="0"/>
                <w:sz w:val="21"/>
                <w:szCs w:val="21"/>
                <w:shd w:val="clear"/>
                <w:vertAlign w:val="baseline"/>
                <w:lang w:val="en-US" w:eastAsia="zh-CN" w:bidi="ar"/>
              </w:rPr>
              <w:t>-</w:t>
            </w:r>
            <w:r>
              <w:rPr>
                <w:rFonts w:hint="default" w:eastAsia="仿宋" w:cs="Times New Roman"/>
                <w:b w:val="0"/>
                <w:bCs w:val="0"/>
                <w:i w:val="0"/>
                <w:iCs w:val="0"/>
                <w:caps w:val="0"/>
                <w:color w:val="auto"/>
                <w:spacing w:val="0"/>
                <w:kern w:val="0"/>
                <w:sz w:val="21"/>
                <w:szCs w:val="21"/>
                <w:shd w:val="clear"/>
                <w:vertAlign w:val="baseline"/>
                <w:lang w:val="en-US" w:eastAsia="zh-CN" w:bidi="ar"/>
              </w:rPr>
              <w:t>significant in all analyses</w:t>
            </w:r>
          </w:p>
        </w:tc>
      </w:tr>
      <w:tr w14:paraId="47636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3402" w:type="dxa"/>
            <w:tcBorders>
              <w:bottom w:val="single" w:color="auto" w:sz="12" w:space="0"/>
            </w:tcBorders>
            <w:vAlign w:val="top"/>
          </w:tcPr>
          <w:p w14:paraId="45479066">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eastAsia="仿宋" w:cs="Times New Roman"/>
                <w:b w:val="0"/>
                <w:bCs w:val="0"/>
                <w:i w:val="0"/>
                <w:iCs w:val="0"/>
                <w:caps w:val="0"/>
                <w:color w:val="auto"/>
                <w:spacing w:val="0"/>
                <w:kern w:val="0"/>
                <w:sz w:val="21"/>
                <w:szCs w:val="21"/>
                <w:shd w:val="clear"/>
                <w:vertAlign w:val="baseline"/>
                <w:lang w:val="en-US" w:eastAsia="zh-CN" w:bidi="ar"/>
              </w:rPr>
            </w:pPr>
            <w:r>
              <w:rPr>
                <w:rFonts w:hint="eastAsia" w:ascii="Times New Roman" w:hAnsi="Times New Roman" w:eastAsia="宋体" w:cs="Times New Roman"/>
                <w:color w:val="auto"/>
                <w:sz w:val="21"/>
                <w:szCs w:val="21"/>
                <w:vertAlign w:val="baseline"/>
                <w:lang w:val="en-US" w:eastAsia="zh-CN"/>
              </w:rPr>
              <w:t>Pain</w:t>
            </w:r>
          </w:p>
        </w:tc>
        <w:tc>
          <w:tcPr>
            <w:tcW w:w="3402" w:type="dxa"/>
            <w:tcBorders>
              <w:bottom w:val="single" w:color="auto" w:sz="12" w:space="0"/>
            </w:tcBorders>
            <w:vAlign w:val="top"/>
          </w:tcPr>
          <w:p w14:paraId="31A8438C">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pPr>
            <w: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t>−0.</w:t>
            </w:r>
            <w:r>
              <w:rPr>
                <w:rFonts w:hint="eastAsia" w:eastAsia="仿宋" w:cs="Times New Roman"/>
                <w:b w:val="0"/>
                <w:bCs w:val="0"/>
                <w:i w:val="0"/>
                <w:iCs w:val="0"/>
                <w:caps w:val="0"/>
                <w:color w:val="auto"/>
                <w:spacing w:val="0"/>
                <w:kern w:val="0"/>
                <w:sz w:val="21"/>
                <w:szCs w:val="21"/>
                <w:shd w:val="clear"/>
                <w:vertAlign w:val="baseline"/>
                <w:lang w:val="en-US" w:eastAsia="zh-CN" w:bidi="ar"/>
              </w:rPr>
              <w:t>30</w:t>
            </w:r>
            <w:r>
              <w:rPr>
                <w:rFonts w:hint="default" w:ascii="Times New Roman" w:hAnsi="Times New Roman" w:eastAsia="仿宋" w:cs="Times New Roman"/>
                <w:b w:val="0"/>
                <w:bCs w:val="0"/>
                <w:i w:val="0"/>
                <w:iCs w:val="0"/>
                <w:caps w:val="0"/>
                <w:color w:val="auto"/>
                <w:spacing w:val="0"/>
                <w:kern w:val="0"/>
                <w:sz w:val="21"/>
                <w:szCs w:val="21"/>
                <w:shd w:val="clear"/>
                <w:vertAlign w:val="baseline"/>
                <w:lang w:val="en-US" w:eastAsia="zh-CN" w:bidi="ar"/>
              </w:rPr>
              <w:t xml:space="preserve"> to −0.</w:t>
            </w:r>
            <w:r>
              <w:rPr>
                <w:rFonts w:hint="eastAsia" w:eastAsia="仿宋" w:cs="Times New Roman"/>
                <w:b w:val="0"/>
                <w:bCs w:val="0"/>
                <w:i w:val="0"/>
                <w:iCs w:val="0"/>
                <w:caps w:val="0"/>
                <w:color w:val="auto"/>
                <w:spacing w:val="0"/>
                <w:kern w:val="0"/>
                <w:sz w:val="21"/>
                <w:szCs w:val="21"/>
                <w:shd w:val="clear"/>
                <w:vertAlign w:val="baseline"/>
                <w:lang w:val="en-US" w:eastAsia="zh-CN" w:bidi="ar"/>
              </w:rPr>
              <w:t>08</w:t>
            </w:r>
          </w:p>
        </w:tc>
        <w:tc>
          <w:tcPr>
            <w:tcW w:w="3402" w:type="dxa"/>
            <w:tcBorders>
              <w:bottom w:val="single" w:color="auto" w:sz="12" w:space="0"/>
            </w:tcBorders>
            <w:vAlign w:val="top"/>
          </w:tcPr>
          <w:p w14:paraId="253E265F">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eastAsia="仿宋" w:cs="Times New Roman"/>
                <w:b w:val="0"/>
                <w:bCs w:val="0"/>
                <w:i w:val="0"/>
                <w:iCs w:val="0"/>
                <w:caps w:val="0"/>
                <w:color w:val="auto"/>
                <w:spacing w:val="0"/>
                <w:kern w:val="0"/>
                <w:sz w:val="21"/>
                <w:szCs w:val="21"/>
                <w:shd w:val="clear"/>
                <w:vertAlign w:val="baseline"/>
                <w:lang w:val="en-US" w:eastAsia="zh-CN" w:bidi="ar"/>
              </w:rPr>
            </w:pPr>
            <w:r>
              <w:rPr>
                <w:rFonts w:hint="eastAsia" w:eastAsia="仿宋" w:cs="Times New Roman"/>
                <w:b w:val="0"/>
                <w:bCs w:val="0"/>
                <w:i w:val="0"/>
                <w:iCs w:val="0"/>
                <w:caps w:val="0"/>
                <w:color w:val="auto"/>
                <w:spacing w:val="0"/>
                <w:kern w:val="0"/>
                <w:sz w:val="21"/>
                <w:szCs w:val="21"/>
                <w:shd w:val="clear"/>
                <w:vertAlign w:val="baseline"/>
                <w:lang w:val="en-US" w:eastAsia="zh-CN" w:bidi="ar"/>
              </w:rPr>
              <w:t>Yes</w:t>
            </w:r>
          </w:p>
        </w:tc>
        <w:tc>
          <w:tcPr>
            <w:tcW w:w="3402" w:type="dxa"/>
            <w:tcBorders>
              <w:bottom w:val="single" w:color="auto" w:sz="12" w:space="0"/>
            </w:tcBorders>
            <w:vAlign w:val="top"/>
          </w:tcPr>
          <w:p w14:paraId="5B3ACB22">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eastAsia="仿宋" w:cs="Times New Roman"/>
                <w:b w:val="0"/>
                <w:bCs w:val="0"/>
                <w:i w:val="0"/>
                <w:iCs w:val="0"/>
                <w:caps w:val="0"/>
                <w:color w:val="auto"/>
                <w:spacing w:val="0"/>
                <w:kern w:val="0"/>
                <w:sz w:val="21"/>
                <w:szCs w:val="21"/>
                <w:shd w:val="clear"/>
                <w:vertAlign w:val="baseline"/>
                <w:lang w:val="en-US" w:eastAsia="zh-CN" w:bidi="ar"/>
              </w:rPr>
            </w:pPr>
            <w:r>
              <w:rPr>
                <w:rFonts w:hint="default" w:eastAsia="仿宋" w:cs="Times New Roman"/>
                <w:b w:val="0"/>
                <w:bCs w:val="0"/>
                <w:i w:val="0"/>
                <w:iCs w:val="0"/>
                <w:caps w:val="0"/>
                <w:color w:val="auto"/>
                <w:spacing w:val="0"/>
                <w:kern w:val="0"/>
                <w:sz w:val="21"/>
                <w:szCs w:val="21"/>
                <w:shd w:val="clear"/>
                <w:vertAlign w:val="baseline"/>
                <w:lang w:val="en-US" w:eastAsia="zh-CN" w:bidi="ar"/>
              </w:rPr>
              <w:t>Non</w:t>
            </w:r>
            <w:r>
              <w:rPr>
                <w:rFonts w:hint="eastAsia" w:eastAsia="仿宋" w:cs="Times New Roman"/>
                <w:b w:val="0"/>
                <w:bCs w:val="0"/>
                <w:i w:val="0"/>
                <w:iCs w:val="0"/>
                <w:caps w:val="0"/>
                <w:color w:val="auto"/>
                <w:spacing w:val="0"/>
                <w:kern w:val="0"/>
                <w:sz w:val="21"/>
                <w:szCs w:val="21"/>
                <w:shd w:val="clear"/>
                <w:vertAlign w:val="baseline"/>
                <w:lang w:val="en-US" w:eastAsia="zh-CN" w:bidi="ar"/>
              </w:rPr>
              <w:t>-</w:t>
            </w:r>
            <w:r>
              <w:rPr>
                <w:rFonts w:hint="default" w:eastAsia="仿宋" w:cs="Times New Roman"/>
                <w:b w:val="0"/>
                <w:bCs w:val="0"/>
                <w:i w:val="0"/>
                <w:iCs w:val="0"/>
                <w:caps w:val="0"/>
                <w:color w:val="auto"/>
                <w:spacing w:val="0"/>
                <w:kern w:val="0"/>
                <w:sz w:val="21"/>
                <w:szCs w:val="21"/>
                <w:shd w:val="clear"/>
                <w:vertAlign w:val="baseline"/>
                <w:lang w:val="en-US" w:eastAsia="zh-CN" w:bidi="ar"/>
              </w:rPr>
              <w:t>significant in all analyses</w:t>
            </w:r>
          </w:p>
        </w:tc>
      </w:tr>
    </w:tbl>
    <w:p w14:paraId="56E9C9E1">
      <w:pPr>
        <w:spacing w:line="360" w:lineRule="auto"/>
        <w:rPr>
          <w:rFonts w:hint="default"/>
          <w:lang w:val="en-US"/>
        </w:rPr>
      </w:pPr>
      <w:r>
        <w:rPr>
          <w:rFonts w:hint="default" w:ascii="Times New Roman" w:hAnsi="Times New Roman" w:cs="Times New Roman"/>
          <w:i/>
          <w:iCs/>
          <w:sz w:val="24"/>
          <w:szCs w:val="24"/>
          <w:lang w:val="en-US" w:eastAsia="zh-CN"/>
        </w:rPr>
        <w:t>Note:</w:t>
      </w:r>
      <w:r>
        <w:rPr>
          <w:rFonts w:hint="default" w:ascii="Times New Roman" w:hAnsi="Times New Roman" w:cs="Times New Roman"/>
          <w:sz w:val="24"/>
          <w:szCs w:val="24"/>
          <w:lang w:val="en-US" w:eastAsia="zh-CN"/>
        </w:rPr>
        <w:t xml:space="preserve"> Primary random-effects analyses used restricted maximum-likelihood (REML) estimation of between-study variance (τ²) with Knapp–Hartung-adjusted confidence intervals and tests. Conventional normal-approximation random-effects analyses and fixed-effect models were conducted as sensitivity analyses. Negative Hedges’ </w:t>
      </w:r>
      <w:r>
        <w:rPr>
          <w:rFonts w:hint="default" w:ascii="Times New Roman" w:hAnsi="Times New Roman" w:cs="Times New Roman"/>
          <w:i/>
          <w:iCs/>
          <w:sz w:val="24"/>
          <w:szCs w:val="24"/>
          <w:lang w:val="en-US" w:eastAsia="zh-CN"/>
        </w:rPr>
        <w:t>g</w:t>
      </w:r>
      <w:r>
        <w:rPr>
          <w:rFonts w:hint="default" w:ascii="Times New Roman" w:hAnsi="Times New Roman" w:cs="Times New Roman"/>
          <w:sz w:val="24"/>
          <w:szCs w:val="24"/>
          <w:lang w:val="en-US" w:eastAsia="zh-CN"/>
        </w:rPr>
        <w:t xml:space="preserve"> values favor VR-based interventions for anxiety, depressive symptoms, stress, negative affect, and pain, whereas positive values favor VR-based interventions for mindfulness, positive affect, and well-being. Age-restricted sensitivity analyses included studies in which the reported overall mean or median age was ≥60 years; when only group-specific age summaries were available, both groups were required to have a mean or median age ≥60 years; studies explicitly recruiting participants aged ≥60 years were also included. Because the ≥60-year restriction was based primarily on study-level age summaries, this analysis was used to assess applicability to older-adult study samples and does not imply that every participant in the included studies was aged ≥60 years.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lang w:val="en-US" w:eastAsia="zh-CN"/>
        </w:rPr>
        <w:t xml:space="preserve">Leave-one-out analyses used the same REML random-effects framework and inferential approach as the primary analyses. </w:t>
      </w:r>
      <w:r>
        <w:rPr>
          <w:rFonts w:hint="default" w:ascii="Times New Roman" w:hAnsi="Times New Roman" w:cs="Times New Roman"/>
          <w:i/>
          <w:iCs/>
          <w:sz w:val="24"/>
          <w:szCs w:val="24"/>
          <w:lang w:val="en-US" w:eastAsia="zh-CN"/>
        </w:rPr>
        <w:t>τ</w:t>
      </w:r>
      <w:r>
        <w:rPr>
          <w:rFonts w:hint="default" w:ascii="Times New Roman" w:hAnsi="Times New Roman" w:cs="Times New Roman"/>
          <w:sz w:val="24"/>
          <w:szCs w:val="24"/>
          <w:lang w:val="en-US" w:eastAsia="zh-CN"/>
        </w:rPr>
        <w:t>² is not applicable to fixed-effect models. k, number of study results; CI, confidence interval; MAAS, Mindful Attention Awareness Scale; REML, restricted maximum likelihood; VAS, visual analogue scale.</w:t>
      </w:r>
    </w:p>
    <w:p w14:paraId="72CBADA0">
      <w:pPr>
        <w:spacing w:line="360" w:lineRule="auto"/>
        <w:rPr>
          <w:rFonts w:hint="default" w:ascii="Times New Roman" w:hAnsi="Times New Roman" w:cs="Times New Roman"/>
          <w:b/>
          <w:bCs/>
          <w:sz w:val="24"/>
          <w:szCs w:val="24"/>
        </w:rPr>
      </w:pPr>
    </w:p>
    <w:p w14:paraId="3C2EB6A6">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b/>
          <w:bCs/>
          <w:sz w:val="24"/>
          <w:szCs w:val="24"/>
        </w:rPr>
      </w:pPr>
    </w:p>
    <w:p w14:paraId="2EE2303B">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b/>
          <w:bCs/>
          <w:sz w:val="24"/>
          <w:szCs w:val="24"/>
        </w:rPr>
      </w:pPr>
    </w:p>
    <w:p w14:paraId="53C43C96">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b/>
          <w:bCs/>
          <w:sz w:val="24"/>
          <w:szCs w:val="24"/>
        </w:rPr>
      </w:pPr>
    </w:p>
    <w:p w14:paraId="6CC7B790">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b/>
          <w:bCs/>
          <w:sz w:val="24"/>
          <w:szCs w:val="24"/>
        </w:rPr>
      </w:pPr>
    </w:p>
    <w:p w14:paraId="4DBE6EF5">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b/>
          <w:bCs/>
          <w:sz w:val="24"/>
          <w:szCs w:val="24"/>
        </w:rPr>
      </w:pPr>
    </w:p>
    <w:p w14:paraId="3519B469">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b/>
          <w:bCs/>
          <w:sz w:val="24"/>
          <w:szCs w:val="24"/>
        </w:rPr>
      </w:pPr>
    </w:p>
    <w:p w14:paraId="1AF68888">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b/>
          <w:bCs/>
          <w:sz w:val="24"/>
          <w:szCs w:val="24"/>
        </w:rPr>
      </w:pPr>
    </w:p>
    <w:p w14:paraId="6F7889A1">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b/>
          <w:bCs/>
          <w:sz w:val="24"/>
          <w:szCs w:val="24"/>
        </w:rPr>
      </w:pPr>
    </w:p>
    <w:p w14:paraId="62783B6B">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b/>
          <w:bCs/>
          <w:sz w:val="24"/>
          <w:szCs w:val="24"/>
        </w:rPr>
      </w:pPr>
    </w:p>
    <w:p w14:paraId="5FDFADDA">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b/>
          <w:bCs/>
          <w:sz w:val="24"/>
          <w:szCs w:val="24"/>
        </w:rPr>
      </w:pPr>
    </w:p>
    <w:p w14:paraId="1DD40EF9">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b/>
          <w:bCs/>
          <w:sz w:val="24"/>
          <w:szCs w:val="24"/>
        </w:rPr>
      </w:pPr>
    </w:p>
    <w:p w14:paraId="52E02C6E">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b/>
          <w:bCs/>
          <w:sz w:val="24"/>
          <w:szCs w:val="24"/>
        </w:rPr>
      </w:pPr>
    </w:p>
    <w:p w14:paraId="79054F29">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b/>
          <w:bCs/>
          <w:sz w:val="24"/>
          <w:szCs w:val="24"/>
        </w:rPr>
      </w:pPr>
    </w:p>
    <w:p w14:paraId="3C3B9E32">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b/>
          <w:bCs/>
          <w:sz w:val="24"/>
          <w:szCs w:val="24"/>
        </w:rPr>
      </w:pPr>
    </w:p>
    <w:p w14:paraId="4B4FF04B">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b/>
          <w:bCs/>
          <w:sz w:val="24"/>
          <w:szCs w:val="24"/>
        </w:rPr>
      </w:pPr>
    </w:p>
    <w:p w14:paraId="6BB1151D">
      <w:pPr>
        <w:keepNext w:val="0"/>
        <w:keepLines w:val="0"/>
        <w:pageBreakBefore w:val="0"/>
        <w:widowControl w:val="0"/>
        <w:kinsoku/>
        <w:wordWrap/>
        <w:overflowPunct/>
        <w:topLinePunct w:val="0"/>
        <w:autoSpaceDE/>
        <w:autoSpaceDN/>
        <w:bidi w:val="0"/>
        <w:adjustRightInd/>
        <w:snapToGrid/>
        <w:spacing w:line="360" w:lineRule="auto"/>
        <w:textAlignment w:val="auto"/>
        <w:outlineLvl w:val="9"/>
        <w:rPr>
          <w:rFonts w:hint="default" w:ascii="Times New Roman" w:hAnsi="Times New Roman" w:cs="Times New Roman"/>
          <w:sz w:val="24"/>
          <w:szCs w:val="24"/>
        </w:rPr>
      </w:pPr>
      <w:r>
        <w:rPr>
          <w:rFonts w:hint="default" w:ascii="Times New Roman" w:hAnsi="Times New Roman" w:cs="Times New Roman"/>
          <w:b/>
          <w:bCs/>
          <w:sz w:val="24"/>
          <w:szCs w:val="24"/>
        </w:rPr>
        <w:t>Table S</w:t>
      </w:r>
      <w:r>
        <w:rPr>
          <w:rFonts w:hint="eastAsia" w:ascii="Times New Roman" w:hAnsi="Times New Roman" w:cs="Times New Roman"/>
          <w:b/>
          <w:bCs/>
          <w:sz w:val="24"/>
          <w:szCs w:val="24"/>
          <w:lang w:val="en-US" w:eastAsia="zh-CN"/>
        </w:rPr>
        <w:t>15</w:t>
      </w:r>
      <w:r>
        <w:rPr>
          <w:rFonts w:hint="default" w:ascii="Times New Roman" w:hAnsi="Times New Roman" w:cs="Times New Roman"/>
          <w:b/>
          <w:bCs/>
          <w:sz w:val="24"/>
          <w:szCs w:val="24"/>
        </w:rPr>
        <w:t>.</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Structured narrative synthesis of eligible study results not included in the meta-analysis</w:t>
      </w:r>
    </w:p>
    <w:tbl>
      <w:tblPr>
        <w:tblStyle w:val="7"/>
        <w:tblW w:w="164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559"/>
        <w:gridCol w:w="2409"/>
        <w:gridCol w:w="1417"/>
        <w:gridCol w:w="1417"/>
        <w:gridCol w:w="2835"/>
        <w:gridCol w:w="2835"/>
        <w:gridCol w:w="3969"/>
      </w:tblGrid>
      <w:tr w14:paraId="5EED7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cantSplit/>
          <w:tblHeader/>
          <w:jc w:val="center"/>
        </w:trPr>
        <w:tc>
          <w:tcPr>
            <w:tcW w:w="1559" w:type="dxa"/>
            <w:shd w:val="clear" w:color="auto" w:fill="auto"/>
            <w:tcMar>
              <w:top w:w="55" w:type="dxa"/>
              <w:left w:w="65" w:type="dxa"/>
              <w:bottom w:w="55" w:type="dxa"/>
              <w:right w:w="65" w:type="dxa"/>
            </w:tcMar>
            <w:vAlign w:val="center"/>
          </w:tcPr>
          <w:p w14:paraId="5101D10E">
            <w:pPr>
              <w:spacing w:before="0" w:after="0" w:line="240" w:lineRule="auto"/>
              <w:jc w:val="center"/>
              <w:rPr>
                <w:rFonts w:hint="default" w:ascii="Times New Roman" w:hAnsi="Times New Roman" w:cs="Times New Roman"/>
                <w:sz w:val="21"/>
                <w:szCs w:val="21"/>
              </w:rPr>
            </w:pPr>
            <w:r>
              <w:rPr>
                <w:rFonts w:hint="default" w:ascii="Times New Roman" w:hAnsi="Times New Roman" w:eastAsia="Times New Roman" w:cs="Times New Roman"/>
                <w:b/>
                <w:sz w:val="21"/>
                <w:szCs w:val="21"/>
              </w:rPr>
              <w:t>Study</w:t>
            </w:r>
          </w:p>
        </w:tc>
        <w:tc>
          <w:tcPr>
            <w:tcW w:w="2409" w:type="dxa"/>
            <w:shd w:val="clear" w:color="auto" w:fill="auto"/>
            <w:tcMar>
              <w:top w:w="55" w:type="dxa"/>
              <w:left w:w="65" w:type="dxa"/>
              <w:bottom w:w="55" w:type="dxa"/>
              <w:right w:w="65" w:type="dxa"/>
            </w:tcMar>
            <w:vAlign w:val="center"/>
          </w:tcPr>
          <w:p w14:paraId="4C759FDD">
            <w:pPr>
              <w:spacing w:before="0" w:after="0" w:line="240" w:lineRule="auto"/>
              <w:jc w:val="center"/>
              <w:rPr>
                <w:rFonts w:hint="default" w:ascii="Times New Roman" w:hAnsi="Times New Roman" w:cs="Times New Roman"/>
                <w:sz w:val="21"/>
                <w:szCs w:val="21"/>
              </w:rPr>
            </w:pPr>
            <w:r>
              <w:rPr>
                <w:rFonts w:hint="default" w:ascii="Times New Roman" w:hAnsi="Times New Roman" w:eastAsia="Times New Roman" w:cs="Times New Roman"/>
                <w:b/>
                <w:sz w:val="21"/>
                <w:szCs w:val="21"/>
              </w:rPr>
              <w:t>Clinical context, comparison, and analyzed n</w:t>
            </w:r>
          </w:p>
        </w:tc>
        <w:tc>
          <w:tcPr>
            <w:tcW w:w="1417" w:type="dxa"/>
            <w:shd w:val="clear" w:color="auto" w:fill="auto"/>
            <w:tcMar>
              <w:top w:w="55" w:type="dxa"/>
              <w:left w:w="65" w:type="dxa"/>
              <w:bottom w:w="55" w:type="dxa"/>
              <w:right w:w="65" w:type="dxa"/>
            </w:tcMar>
            <w:vAlign w:val="center"/>
          </w:tcPr>
          <w:p w14:paraId="796F60B4">
            <w:pPr>
              <w:spacing w:before="0" w:after="0" w:line="240" w:lineRule="auto"/>
              <w:jc w:val="center"/>
              <w:rPr>
                <w:rFonts w:hint="default" w:ascii="Times New Roman" w:hAnsi="Times New Roman" w:cs="Times New Roman"/>
                <w:sz w:val="21"/>
                <w:szCs w:val="21"/>
              </w:rPr>
            </w:pPr>
            <w:r>
              <w:rPr>
                <w:rFonts w:hint="default" w:ascii="Times New Roman" w:hAnsi="Times New Roman" w:eastAsia="Times New Roman" w:cs="Times New Roman"/>
                <w:b/>
                <w:sz w:val="21"/>
                <w:szCs w:val="21"/>
              </w:rPr>
              <w:t>Outcome (scale)</w:t>
            </w:r>
          </w:p>
        </w:tc>
        <w:tc>
          <w:tcPr>
            <w:tcW w:w="1417" w:type="dxa"/>
            <w:shd w:val="clear" w:color="auto" w:fill="auto"/>
            <w:tcMar>
              <w:top w:w="55" w:type="dxa"/>
              <w:left w:w="65" w:type="dxa"/>
              <w:bottom w:w="55" w:type="dxa"/>
              <w:right w:w="65" w:type="dxa"/>
            </w:tcMar>
            <w:vAlign w:val="center"/>
          </w:tcPr>
          <w:p w14:paraId="2AB16FE8">
            <w:pPr>
              <w:spacing w:before="0" w:after="0" w:line="240" w:lineRule="auto"/>
              <w:jc w:val="center"/>
              <w:rPr>
                <w:rFonts w:hint="default" w:ascii="Times New Roman" w:hAnsi="Times New Roman" w:cs="Times New Roman"/>
                <w:sz w:val="21"/>
                <w:szCs w:val="21"/>
              </w:rPr>
            </w:pPr>
            <w:r>
              <w:rPr>
                <w:rFonts w:hint="default" w:ascii="Times New Roman" w:hAnsi="Times New Roman" w:eastAsia="Times New Roman" w:cs="Times New Roman"/>
                <w:b/>
                <w:sz w:val="21"/>
                <w:szCs w:val="21"/>
              </w:rPr>
              <w:t>Assessment time</w:t>
            </w:r>
          </w:p>
        </w:tc>
        <w:tc>
          <w:tcPr>
            <w:tcW w:w="2835" w:type="dxa"/>
            <w:shd w:val="clear" w:color="auto" w:fill="auto"/>
            <w:tcMar>
              <w:top w:w="55" w:type="dxa"/>
              <w:left w:w="65" w:type="dxa"/>
              <w:bottom w:w="55" w:type="dxa"/>
              <w:right w:w="65" w:type="dxa"/>
            </w:tcMar>
            <w:vAlign w:val="center"/>
          </w:tcPr>
          <w:p w14:paraId="7494FF8F">
            <w:pPr>
              <w:spacing w:before="0" w:after="0" w:line="240" w:lineRule="auto"/>
              <w:jc w:val="center"/>
              <w:rPr>
                <w:rFonts w:hint="default" w:ascii="Times New Roman" w:hAnsi="Times New Roman" w:cs="Times New Roman"/>
                <w:sz w:val="21"/>
                <w:szCs w:val="21"/>
              </w:rPr>
            </w:pPr>
            <w:r>
              <w:rPr>
                <w:rFonts w:hint="default" w:ascii="Times New Roman" w:hAnsi="Times New Roman" w:eastAsia="Times New Roman" w:cs="Times New Roman"/>
                <w:b/>
                <w:sz w:val="21"/>
                <w:szCs w:val="21"/>
              </w:rPr>
              <w:t>Available quantitative finding and direction</w:t>
            </w:r>
          </w:p>
        </w:tc>
        <w:tc>
          <w:tcPr>
            <w:tcW w:w="2835" w:type="dxa"/>
            <w:shd w:val="clear" w:color="auto" w:fill="auto"/>
            <w:tcMar>
              <w:top w:w="55" w:type="dxa"/>
              <w:left w:w="65" w:type="dxa"/>
              <w:bottom w:w="55" w:type="dxa"/>
              <w:right w:w="65" w:type="dxa"/>
            </w:tcMar>
            <w:vAlign w:val="center"/>
          </w:tcPr>
          <w:p w14:paraId="25B21EA1">
            <w:pPr>
              <w:spacing w:before="0" w:after="0" w:line="240" w:lineRule="auto"/>
              <w:jc w:val="center"/>
              <w:rPr>
                <w:rFonts w:hint="default" w:ascii="Times New Roman" w:hAnsi="Times New Roman" w:cs="Times New Roman"/>
                <w:sz w:val="21"/>
                <w:szCs w:val="21"/>
              </w:rPr>
            </w:pPr>
            <w:r>
              <w:rPr>
                <w:rFonts w:hint="default" w:ascii="Times New Roman" w:hAnsi="Times New Roman" w:eastAsia="Times New Roman" w:cs="Times New Roman"/>
                <w:b/>
                <w:sz w:val="21"/>
                <w:szCs w:val="21"/>
              </w:rPr>
              <w:t>Uncertainty and RoB 2</w:t>
            </w:r>
          </w:p>
        </w:tc>
        <w:tc>
          <w:tcPr>
            <w:tcW w:w="3969" w:type="dxa"/>
            <w:shd w:val="clear" w:color="auto" w:fill="auto"/>
            <w:tcMar>
              <w:top w:w="55" w:type="dxa"/>
              <w:left w:w="65" w:type="dxa"/>
              <w:bottom w:w="55" w:type="dxa"/>
              <w:right w:w="65" w:type="dxa"/>
            </w:tcMar>
            <w:vAlign w:val="center"/>
          </w:tcPr>
          <w:p w14:paraId="3588D741">
            <w:pPr>
              <w:spacing w:before="0" w:after="0" w:line="240" w:lineRule="auto"/>
              <w:jc w:val="center"/>
              <w:rPr>
                <w:rFonts w:hint="default" w:ascii="Times New Roman" w:hAnsi="Times New Roman" w:cs="Times New Roman"/>
                <w:sz w:val="21"/>
                <w:szCs w:val="21"/>
              </w:rPr>
            </w:pPr>
            <w:r>
              <w:rPr>
                <w:rFonts w:hint="default" w:ascii="Times New Roman" w:hAnsi="Times New Roman" w:eastAsia="Times New Roman" w:cs="Times New Roman"/>
                <w:b/>
                <w:sz w:val="21"/>
                <w:szCs w:val="21"/>
              </w:rPr>
              <w:t>Reason not pooled</w:t>
            </w:r>
          </w:p>
        </w:tc>
      </w:tr>
      <w:tr w14:paraId="73143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1559" w:type="dxa"/>
            <w:shd w:val="clear" w:color="auto" w:fill="auto"/>
            <w:tcMar>
              <w:top w:w="55" w:type="dxa"/>
              <w:left w:w="65" w:type="dxa"/>
              <w:bottom w:w="55" w:type="dxa"/>
              <w:right w:w="65" w:type="dxa"/>
            </w:tcMar>
            <w:vAlign w:val="top"/>
          </w:tcPr>
          <w:p w14:paraId="6B9D042F">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Torres García et al.</w:t>
            </w:r>
          </w:p>
        </w:tc>
        <w:tc>
          <w:tcPr>
            <w:tcW w:w="2409" w:type="dxa"/>
            <w:shd w:val="clear" w:color="auto" w:fill="auto"/>
            <w:tcMar>
              <w:top w:w="55" w:type="dxa"/>
              <w:left w:w="65" w:type="dxa"/>
              <w:bottom w:w="55" w:type="dxa"/>
              <w:right w:w="65" w:type="dxa"/>
            </w:tcMar>
            <w:vAlign w:val="top"/>
          </w:tcPr>
          <w:p w14:paraId="6820B600">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Breast cancer before first chemotherapy dose; VR mindfulness vs psychoeducational intervention; n=133 (VR 71, control 62).</w:t>
            </w:r>
          </w:p>
        </w:tc>
        <w:tc>
          <w:tcPr>
            <w:tcW w:w="1417" w:type="dxa"/>
            <w:shd w:val="clear" w:color="auto" w:fill="auto"/>
            <w:tcMar>
              <w:top w:w="55" w:type="dxa"/>
              <w:left w:w="65" w:type="dxa"/>
              <w:bottom w:w="55" w:type="dxa"/>
              <w:right w:w="65" w:type="dxa"/>
            </w:tcMar>
            <w:vAlign w:val="top"/>
          </w:tcPr>
          <w:p w14:paraId="03F7E608">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Anxiety (HADS-A)</w:t>
            </w:r>
          </w:p>
        </w:tc>
        <w:tc>
          <w:tcPr>
            <w:tcW w:w="1417" w:type="dxa"/>
            <w:shd w:val="clear" w:color="auto" w:fill="auto"/>
            <w:tcMar>
              <w:top w:w="55" w:type="dxa"/>
              <w:left w:w="65" w:type="dxa"/>
              <w:bottom w:w="55" w:type="dxa"/>
              <w:right w:w="65" w:type="dxa"/>
            </w:tcMar>
            <w:vAlign w:val="top"/>
          </w:tcPr>
          <w:p w14:paraId="0436A5CE">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Immediately after Visit 4 (3 months after Visit 3)</w:t>
            </w:r>
          </w:p>
        </w:tc>
        <w:tc>
          <w:tcPr>
            <w:tcW w:w="2835" w:type="dxa"/>
            <w:shd w:val="clear" w:color="auto" w:fill="auto"/>
            <w:tcMar>
              <w:top w:w="55" w:type="dxa"/>
              <w:left w:w="65" w:type="dxa"/>
              <w:bottom w:w="55" w:type="dxa"/>
              <w:right w:w="65" w:type="dxa"/>
            </w:tcMar>
            <w:vAlign w:val="top"/>
          </w:tcPr>
          <w:p w14:paraId="6CEBA86F">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 xml:space="preserve">Direction favored VR. Post-Visit 4 median HADS-A was 6 (range 5–7) in the VR group vs 12 (10–13) in the control group (reported </w:t>
            </w:r>
            <w:r>
              <w:rPr>
                <w:rFonts w:hint="default" w:ascii="Times New Roman" w:hAnsi="Times New Roman" w:eastAsia="Times New Roman" w:cs="Times New Roman"/>
                <w:i/>
                <w:iCs/>
                <w:sz w:val="21"/>
                <w:szCs w:val="21"/>
              </w:rPr>
              <w:t>P</w:t>
            </w:r>
            <w:r>
              <w:rPr>
                <w:rFonts w:hint="eastAsia" w:ascii="Times New Roman" w:hAnsi="Times New Roman" w:eastAsia="宋体" w:cs="Times New Roman"/>
                <w:sz w:val="21"/>
                <w:szCs w:val="21"/>
                <w:lang w:val="en-US" w:eastAsia="zh-CN"/>
              </w:rPr>
              <w:t xml:space="preserve"> </w:t>
            </w:r>
            <w:r>
              <w:rPr>
                <w:rFonts w:hint="default" w:ascii="Times New Roman" w:hAnsi="Times New Roman" w:eastAsia="Times New Roman" w:cs="Times New Roman"/>
                <w:sz w:val="21"/>
                <w:szCs w:val="21"/>
              </w:rPr>
              <w:t>&lt;0.0001).</w:t>
            </w:r>
          </w:p>
        </w:tc>
        <w:tc>
          <w:tcPr>
            <w:tcW w:w="2835" w:type="dxa"/>
            <w:shd w:val="clear" w:color="auto" w:fill="auto"/>
            <w:tcMar>
              <w:top w:w="55" w:type="dxa"/>
              <w:left w:w="65" w:type="dxa"/>
              <w:bottom w:w="55" w:type="dxa"/>
              <w:right w:w="65" w:type="dxa"/>
            </w:tcMar>
            <w:vAlign w:val="top"/>
          </w:tcPr>
          <w:p w14:paraId="2943A416">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 xml:space="preserve">No </w:t>
            </w:r>
            <w:r>
              <w:rPr>
                <w:rFonts w:hint="default" w:ascii="Times New Roman" w:hAnsi="Times New Roman" w:eastAsia="Times New Roman" w:cs="Times New Roman"/>
                <w:i/>
                <w:iCs/>
                <w:sz w:val="21"/>
                <w:szCs w:val="21"/>
              </w:rPr>
              <w:t>CI</w:t>
            </w:r>
            <w:r>
              <w:rPr>
                <w:rFonts w:hint="default" w:ascii="Times New Roman" w:hAnsi="Times New Roman" w:eastAsia="Times New Roman" w:cs="Times New Roman"/>
                <w:sz w:val="21"/>
                <w:szCs w:val="21"/>
              </w:rPr>
              <w:t xml:space="preserve"> or </w:t>
            </w:r>
            <w:r>
              <w:rPr>
                <w:rFonts w:hint="default" w:ascii="Times New Roman" w:hAnsi="Times New Roman" w:eastAsia="Times New Roman" w:cs="Times New Roman"/>
                <w:i/>
                <w:iCs/>
                <w:sz w:val="21"/>
                <w:szCs w:val="21"/>
              </w:rPr>
              <w:t>SE</w:t>
            </w:r>
            <w:r>
              <w:rPr>
                <w:rFonts w:hint="default" w:ascii="Times New Roman" w:hAnsi="Times New Roman" w:eastAsia="Times New Roman" w:cs="Times New Roman"/>
                <w:sz w:val="21"/>
                <w:szCs w:val="21"/>
              </w:rPr>
              <w:t xml:space="preserve"> for a directly comparable endpoint effect. Overall RoB 2: Some concerns.</w:t>
            </w:r>
          </w:p>
        </w:tc>
        <w:tc>
          <w:tcPr>
            <w:tcW w:w="3969" w:type="dxa"/>
            <w:shd w:val="clear" w:color="auto" w:fill="auto"/>
            <w:tcMar>
              <w:top w:w="55" w:type="dxa"/>
              <w:left w:w="65" w:type="dxa"/>
              <w:bottom w:w="55" w:type="dxa"/>
              <w:right w:w="65" w:type="dxa"/>
            </w:tcMar>
            <w:vAlign w:val="top"/>
          </w:tcPr>
          <w:p w14:paraId="649A146B">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Endpoint data were reported as medians and ranges rather than means and SDs. A distribution-based conversion was considered, but deriving both the mean and SD from these summaries would require assumptions about the underlying distributions, and the resulting standardized effect would depend directly on the approximated SD. The corresponding author confirmed that the original database was no longer accessible, and review of the doctoral thesis did not yield group-specific endpoint means/SDs. Available means/SDs referred only to percentage-change measures, which did not match the endpoint estimand used in the meta-analysis.</w:t>
            </w:r>
          </w:p>
        </w:tc>
      </w:tr>
      <w:tr w14:paraId="0F7AD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1559" w:type="dxa"/>
            <w:shd w:val="clear" w:color="auto" w:fill="auto"/>
            <w:tcMar>
              <w:top w:w="55" w:type="dxa"/>
              <w:left w:w="65" w:type="dxa"/>
              <w:bottom w:w="55" w:type="dxa"/>
              <w:right w:w="65" w:type="dxa"/>
            </w:tcMar>
            <w:vAlign w:val="top"/>
          </w:tcPr>
          <w:p w14:paraId="55EC144F">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Torres García et al.</w:t>
            </w:r>
          </w:p>
        </w:tc>
        <w:tc>
          <w:tcPr>
            <w:tcW w:w="2409" w:type="dxa"/>
            <w:shd w:val="clear" w:color="auto" w:fill="auto"/>
            <w:tcMar>
              <w:top w:w="55" w:type="dxa"/>
              <w:left w:w="65" w:type="dxa"/>
              <w:bottom w:w="55" w:type="dxa"/>
              <w:right w:w="65" w:type="dxa"/>
            </w:tcMar>
            <w:vAlign w:val="top"/>
          </w:tcPr>
          <w:p w14:paraId="0BCEE4E3">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Breast cancer before first chemotherapy dose; VR mindfulness vs psychoeducational intervention; n=133 (VR 71, control 62).</w:t>
            </w:r>
          </w:p>
        </w:tc>
        <w:tc>
          <w:tcPr>
            <w:tcW w:w="1417" w:type="dxa"/>
            <w:shd w:val="clear" w:color="auto" w:fill="auto"/>
            <w:tcMar>
              <w:top w:w="55" w:type="dxa"/>
              <w:left w:w="65" w:type="dxa"/>
              <w:bottom w:w="55" w:type="dxa"/>
              <w:right w:w="65" w:type="dxa"/>
            </w:tcMar>
            <w:vAlign w:val="top"/>
          </w:tcPr>
          <w:p w14:paraId="45388371">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Depression (HADS-D)</w:t>
            </w:r>
          </w:p>
        </w:tc>
        <w:tc>
          <w:tcPr>
            <w:tcW w:w="1417" w:type="dxa"/>
            <w:shd w:val="clear" w:color="auto" w:fill="auto"/>
            <w:tcMar>
              <w:top w:w="55" w:type="dxa"/>
              <w:left w:w="65" w:type="dxa"/>
              <w:bottom w:w="55" w:type="dxa"/>
              <w:right w:w="65" w:type="dxa"/>
            </w:tcMar>
            <w:vAlign w:val="top"/>
          </w:tcPr>
          <w:p w14:paraId="4F5BF66A">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Immediately after Visit 4 (3 months after Visit 3)</w:t>
            </w:r>
          </w:p>
        </w:tc>
        <w:tc>
          <w:tcPr>
            <w:tcW w:w="2835" w:type="dxa"/>
            <w:shd w:val="clear" w:color="auto" w:fill="auto"/>
            <w:tcMar>
              <w:top w:w="55" w:type="dxa"/>
              <w:left w:w="65" w:type="dxa"/>
              <w:bottom w:w="55" w:type="dxa"/>
              <w:right w:w="65" w:type="dxa"/>
            </w:tcMar>
            <w:vAlign w:val="top"/>
          </w:tcPr>
          <w:p w14:paraId="38A874E1">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 xml:space="preserve">Direction favored VR. Post-Visit 4 median HADS-D was 8 (range 6–11) in the VR group vs 13 (11–14) in the control group (reported </w:t>
            </w:r>
            <w:r>
              <w:rPr>
                <w:rFonts w:hint="default" w:ascii="Times New Roman" w:hAnsi="Times New Roman" w:eastAsia="Times New Roman" w:cs="Times New Roman"/>
                <w:i/>
                <w:iCs/>
                <w:sz w:val="21"/>
                <w:szCs w:val="21"/>
              </w:rPr>
              <w:t>P</w:t>
            </w:r>
            <w:r>
              <w:rPr>
                <w:rFonts w:hint="eastAsia" w:ascii="Times New Roman" w:hAnsi="Times New Roman" w:eastAsia="宋体" w:cs="Times New Roman"/>
                <w:sz w:val="21"/>
                <w:szCs w:val="21"/>
                <w:lang w:val="en-US" w:eastAsia="zh-CN"/>
              </w:rPr>
              <w:t xml:space="preserve"> </w:t>
            </w:r>
            <w:r>
              <w:rPr>
                <w:rFonts w:hint="default" w:ascii="Times New Roman" w:hAnsi="Times New Roman" w:eastAsia="Times New Roman" w:cs="Times New Roman"/>
                <w:sz w:val="21"/>
                <w:szCs w:val="21"/>
              </w:rPr>
              <w:t>&lt;0.0001).</w:t>
            </w:r>
          </w:p>
        </w:tc>
        <w:tc>
          <w:tcPr>
            <w:tcW w:w="2835" w:type="dxa"/>
            <w:shd w:val="clear" w:color="auto" w:fill="auto"/>
            <w:tcMar>
              <w:top w:w="55" w:type="dxa"/>
              <w:left w:w="65" w:type="dxa"/>
              <w:bottom w:w="55" w:type="dxa"/>
              <w:right w:w="65" w:type="dxa"/>
            </w:tcMar>
            <w:vAlign w:val="top"/>
          </w:tcPr>
          <w:p w14:paraId="66E2641A">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 xml:space="preserve">No </w:t>
            </w:r>
            <w:r>
              <w:rPr>
                <w:rFonts w:hint="default" w:ascii="Times New Roman" w:hAnsi="Times New Roman" w:eastAsia="Times New Roman" w:cs="Times New Roman"/>
                <w:i/>
                <w:iCs/>
                <w:sz w:val="21"/>
                <w:szCs w:val="21"/>
              </w:rPr>
              <w:t>CI</w:t>
            </w:r>
            <w:r>
              <w:rPr>
                <w:rFonts w:hint="default" w:ascii="Times New Roman" w:hAnsi="Times New Roman" w:eastAsia="Times New Roman" w:cs="Times New Roman"/>
                <w:sz w:val="21"/>
                <w:szCs w:val="21"/>
              </w:rPr>
              <w:t xml:space="preserve"> or </w:t>
            </w:r>
            <w:r>
              <w:rPr>
                <w:rFonts w:hint="default" w:ascii="Times New Roman" w:hAnsi="Times New Roman" w:eastAsia="Times New Roman" w:cs="Times New Roman"/>
                <w:i/>
                <w:iCs/>
                <w:sz w:val="21"/>
                <w:szCs w:val="21"/>
              </w:rPr>
              <w:t>SE</w:t>
            </w:r>
            <w:r>
              <w:rPr>
                <w:rFonts w:hint="default" w:ascii="Times New Roman" w:hAnsi="Times New Roman" w:eastAsia="Times New Roman" w:cs="Times New Roman"/>
                <w:sz w:val="21"/>
                <w:szCs w:val="21"/>
              </w:rPr>
              <w:t xml:space="preserve"> for a directly comparable endpoint effect. Overall RoB 2: Some concerns.</w:t>
            </w:r>
          </w:p>
        </w:tc>
        <w:tc>
          <w:tcPr>
            <w:tcW w:w="3969" w:type="dxa"/>
            <w:shd w:val="clear" w:color="auto" w:fill="auto"/>
            <w:tcMar>
              <w:top w:w="55" w:type="dxa"/>
              <w:left w:w="65" w:type="dxa"/>
              <w:bottom w:w="55" w:type="dxa"/>
              <w:right w:w="65" w:type="dxa"/>
            </w:tcMar>
            <w:vAlign w:val="top"/>
          </w:tcPr>
          <w:p w14:paraId="363C1B37">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Endpoint data were reported as medians and ranges rather than means and SDs. A distribution-based conversion was considered, but deriving both the mean and SD from these summaries would require assumptions about the underlying distributions, and the resulting standardized effect would depend directly on the approximated SD. Author contact and examination of the doctoral thesis did not yield group-specific endpoint means/SDs; available means/SDs referred only to percentage-change measures, which did not match the endpoint estimand used in the meta-analysis.</w:t>
            </w:r>
          </w:p>
        </w:tc>
      </w:tr>
      <w:tr w14:paraId="2FE1F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1559" w:type="dxa"/>
            <w:shd w:val="clear" w:color="auto" w:fill="auto"/>
            <w:tcMar>
              <w:top w:w="55" w:type="dxa"/>
              <w:left w:w="65" w:type="dxa"/>
              <w:bottom w:w="55" w:type="dxa"/>
              <w:right w:w="65" w:type="dxa"/>
            </w:tcMar>
            <w:vAlign w:val="top"/>
          </w:tcPr>
          <w:p w14:paraId="5ED0711B">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Gromala et al.</w:t>
            </w:r>
          </w:p>
        </w:tc>
        <w:tc>
          <w:tcPr>
            <w:tcW w:w="2409" w:type="dxa"/>
            <w:shd w:val="clear" w:color="auto" w:fill="auto"/>
            <w:tcMar>
              <w:top w:w="55" w:type="dxa"/>
              <w:left w:w="65" w:type="dxa"/>
              <w:bottom w:w="55" w:type="dxa"/>
              <w:right w:w="65" w:type="dxa"/>
            </w:tcMar>
            <w:vAlign w:val="top"/>
          </w:tcPr>
          <w:p w14:paraId="76B8FA24">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Adults with chronic pain; Virtual Meditative Walk (VR + biofeedback + MBSR audio) vs non-VR MBSR audio. Twenty participants were initially enrolled; 13 were included in the pain analysis after 7 declined to complete the pain assessment forms (VR 7, control 6).</w:t>
            </w:r>
          </w:p>
        </w:tc>
        <w:tc>
          <w:tcPr>
            <w:tcW w:w="1417" w:type="dxa"/>
            <w:shd w:val="clear" w:color="auto" w:fill="auto"/>
            <w:tcMar>
              <w:top w:w="55" w:type="dxa"/>
              <w:left w:w="65" w:type="dxa"/>
              <w:bottom w:w="55" w:type="dxa"/>
              <w:right w:w="65" w:type="dxa"/>
            </w:tcMar>
            <w:vAlign w:val="top"/>
          </w:tcPr>
          <w:p w14:paraId="0948E388">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Pain (NRS)</w:t>
            </w:r>
          </w:p>
        </w:tc>
        <w:tc>
          <w:tcPr>
            <w:tcW w:w="1417" w:type="dxa"/>
            <w:shd w:val="clear" w:color="auto" w:fill="auto"/>
            <w:tcMar>
              <w:top w:w="55" w:type="dxa"/>
              <w:left w:w="65" w:type="dxa"/>
              <w:bottom w:w="55" w:type="dxa"/>
              <w:right w:w="65" w:type="dxa"/>
            </w:tcMar>
            <w:vAlign w:val="top"/>
          </w:tcPr>
          <w:p w14:paraId="61DC6430">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Immediately after the single 12-minute intervention</w:t>
            </w:r>
          </w:p>
        </w:tc>
        <w:tc>
          <w:tcPr>
            <w:tcW w:w="2835" w:type="dxa"/>
            <w:shd w:val="clear" w:color="auto" w:fill="auto"/>
            <w:tcMar>
              <w:top w:w="55" w:type="dxa"/>
              <w:left w:w="65" w:type="dxa"/>
              <w:bottom w:w="55" w:type="dxa"/>
              <w:right w:w="65" w:type="dxa"/>
            </w:tcMar>
            <w:vAlign w:val="top"/>
          </w:tcPr>
          <w:p w14:paraId="140BE106">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 xml:space="preserve">Direction favored VR. The time-by-condition interaction indicated a larger pain reduction with VR, </w:t>
            </w:r>
            <w:r>
              <w:rPr>
                <w:rFonts w:hint="default" w:ascii="Times New Roman" w:hAnsi="Times New Roman" w:eastAsia="Times New Roman" w:cs="Times New Roman"/>
                <w:i/>
                <w:iCs/>
                <w:sz w:val="21"/>
                <w:szCs w:val="21"/>
              </w:rPr>
              <w:t>F</w:t>
            </w:r>
            <w:r>
              <w:rPr>
                <w:rFonts w:hint="default" w:ascii="Times New Roman" w:hAnsi="Times New Roman" w:eastAsia="Times New Roman" w:cs="Times New Roman"/>
                <w:sz w:val="21"/>
                <w:szCs w:val="21"/>
              </w:rPr>
              <w:t xml:space="preserve">(1,11)=8.16, </w:t>
            </w:r>
            <w:r>
              <w:rPr>
                <w:rFonts w:hint="default" w:ascii="Times New Roman" w:hAnsi="Times New Roman" w:eastAsia="Times New Roman" w:cs="Times New Roman"/>
                <w:i/>
                <w:iCs/>
                <w:sz w:val="21"/>
                <w:szCs w:val="21"/>
              </w:rPr>
              <w:t>P</w:t>
            </w:r>
            <w:r>
              <w:rPr>
                <w:rFonts w:hint="eastAsia" w:ascii="Times New Roman" w:hAnsi="Times New Roman" w:eastAsia="宋体" w:cs="Times New Roman"/>
                <w:i/>
                <w:iCs/>
                <w:sz w:val="21"/>
                <w:szCs w:val="21"/>
                <w:lang w:val="en-US" w:eastAsia="zh-CN"/>
              </w:rPr>
              <w:t xml:space="preserve"> </w:t>
            </w:r>
            <w:r>
              <w:rPr>
                <w:rFonts w:hint="default" w:ascii="Times New Roman" w:hAnsi="Times New Roman" w:eastAsia="Times New Roman" w:cs="Times New Roman"/>
                <w:sz w:val="21"/>
                <w:szCs w:val="21"/>
              </w:rPr>
              <w:t xml:space="preserve">&lt;0.05, </w:t>
            </w:r>
            <w:r>
              <w:rPr>
                <w:rFonts w:hint="default" w:ascii="Times New Roman" w:hAnsi="Times New Roman" w:eastAsia="Times New Roman" w:cs="Times New Roman"/>
                <w:i/>
                <w:iCs/>
                <w:sz w:val="21"/>
                <w:szCs w:val="21"/>
              </w:rPr>
              <w:t>r</w:t>
            </w:r>
            <w:r>
              <w:rPr>
                <w:rFonts w:hint="default" w:ascii="Times New Roman" w:hAnsi="Times New Roman" w:eastAsia="Times New Roman" w:cs="Times New Roman"/>
                <w:sz w:val="21"/>
                <w:szCs w:val="21"/>
              </w:rPr>
              <w:t>=0.54. The authors also reported an average 2.6-point NRS pain reduction in the VR group relative to the control group.</w:t>
            </w:r>
          </w:p>
        </w:tc>
        <w:tc>
          <w:tcPr>
            <w:tcW w:w="2835" w:type="dxa"/>
            <w:shd w:val="clear" w:color="auto" w:fill="auto"/>
            <w:tcMar>
              <w:top w:w="55" w:type="dxa"/>
              <w:left w:w="65" w:type="dxa"/>
              <w:bottom w:w="55" w:type="dxa"/>
              <w:right w:w="65" w:type="dxa"/>
            </w:tcMar>
            <w:vAlign w:val="top"/>
          </w:tcPr>
          <w:p w14:paraId="2EBCC0DA">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Very small proof-of-concept sample, with 13/20 initially enrolled participants analyzed for pain; no group-specific endpoint mean/</w:t>
            </w:r>
            <w:r>
              <w:rPr>
                <w:rFonts w:hint="default" w:ascii="Times New Roman" w:hAnsi="Times New Roman" w:eastAsia="Times New Roman" w:cs="Times New Roman"/>
                <w:i/>
                <w:iCs/>
                <w:sz w:val="21"/>
                <w:szCs w:val="21"/>
              </w:rPr>
              <w:t>SD</w:t>
            </w:r>
            <w:r>
              <w:rPr>
                <w:rFonts w:hint="default" w:ascii="Times New Roman" w:hAnsi="Times New Roman" w:eastAsia="Times New Roman" w:cs="Times New Roman"/>
                <w:sz w:val="21"/>
                <w:szCs w:val="21"/>
              </w:rPr>
              <w:t xml:space="preserve"> or </w:t>
            </w:r>
            <w:r>
              <w:rPr>
                <w:rFonts w:hint="default" w:ascii="Times New Roman" w:hAnsi="Times New Roman" w:eastAsia="Times New Roman" w:cs="Times New Roman"/>
                <w:i/>
                <w:iCs/>
                <w:sz w:val="21"/>
                <w:szCs w:val="21"/>
              </w:rPr>
              <w:t>CI</w:t>
            </w:r>
            <w:r>
              <w:rPr>
                <w:rFonts w:hint="default" w:ascii="Times New Roman" w:hAnsi="Times New Roman" w:eastAsia="Times New Roman" w:cs="Times New Roman"/>
                <w:sz w:val="21"/>
                <w:szCs w:val="21"/>
              </w:rPr>
              <w:t xml:space="preserve"> for a directly comparable between-group effect. Overall RoB 2: Some concerns.</w:t>
            </w:r>
          </w:p>
        </w:tc>
        <w:tc>
          <w:tcPr>
            <w:tcW w:w="3969" w:type="dxa"/>
            <w:shd w:val="clear" w:color="auto" w:fill="auto"/>
            <w:tcMar>
              <w:top w:w="55" w:type="dxa"/>
              <w:left w:w="65" w:type="dxa"/>
              <w:bottom w:w="55" w:type="dxa"/>
              <w:right w:w="65" w:type="dxa"/>
            </w:tcMar>
            <w:vAlign w:val="top"/>
          </w:tcPr>
          <w:p w14:paraId="0E3E8E0C">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 xml:space="preserve">Group-specific pre- and post-intervention means and </w:t>
            </w:r>
            <w:r>
              <w:rPr>
                <w:rFonts w:hint="default" w:ascii="Times New Roman" w:hAnsi="Times New Roman" w:eastAsia="Times New Roman" w:cs="Times New Roman"/>
                <w:i/>
                <w:iCs/>
                <w:sz w:val="21"/>
                <w:szCs w:val="21"/>
              </w:rPr>
              <w:t>SD</w:t>
            </w:r>
            <w:r>
              <w:rPr>
                <w:rFonts w:hint="default" w:ascii="Times New Roman" w:hAnsi="Times New Roman" w:eastAsia="Times New Roman" w:cs="Times New Roman"/>
                <w:sz w:val="21"/>
                <w:szCs w:val="21"/>
              </w:rPr>
              <w:t xml:space="preserve">s were not reported. The available interaction statistic and figure did not provide the numerical group-specific endpoint summaries needed to derive a directly comparable endpoint Hedges’ </w:t>
            </w:r>
            <w:r>
              <w:rPr>
                <w:rFonts w:hint="default" w:ascii="Times New Roman" w:hAnsi="Times New Roman" w:eastAsia="Times New Roman" w:cs="Times New Roman"/>
                <w:i/>
                <w:iCs/>
                <w:sz w:val="21"/>
                <w:szCs w:val="21"/>
              </w:rPr>
              <w:t>g</w:t>
            </w:r>
            <w:r>
              <w:rPr>
                <w:rFonts w:hint="default" w:ascii="Times New Roman" w:hAnsi="Times New Roman" w:eastAsia="Times New Roman" w:cs="Times New Roman"/>
                <w:sz w:val="21"/>
                <w:szCs w:val="21"/>
              </w:rPr>
              <w:t xml:space="preserve"> and </w:t>
            </w:r>
            <w:r>
              <w:rPr>
                <w:rFonts w:hint="default" w:ascii="Times New Roman" w:hAnsi="Times New Roman" w:eastAsia="Times New Roman" w:cs="Times New Roman"/>
                <w:i/>
                <w:iCs/>
                <w:sz w:val="21"/>
                <w:szCs w:val="21"/>
              </w:rPr>
              <w:t>SE</w:t>
            </w:r>
            <w:r>
              <w:rPr>
                <w:rFonts w:hint="default" w:ascii="Times New Roman" w:hAnsi="Times New Roman" w:eastAsia="Times New Roman" w:cs="Times New Roman"/>
                <w:sz w:val="21"/>
                <w:szCs w:val="21"/>
              </w:rPr>
              <w:t>.</w:t>
            </w:r>
          </w:p>
        </w:tc>
      </w:tr>
      <w:tr w14:paraId="7C226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1559" w:type="dxa"/>
            <w:shd w:val="clear" w:color="auto" w:fill="auto"/>
            <w:tcMar>
              <w:top w:w="55" w:type="dxa"/>
              <w:left w:w="65" w:type="dxa"/>
              <w:bottom w:w="55" w:type="dxa"/>
              <w:right w:w="65" w:type="dxa"/>
            </w:tcMar>
            <w:vAlign w:val="top"/>
          </w:tcPr>
          <w:p w14:paraId="4F2B370B">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Krishnamoorthy et al.</w:t>
            </w:r>
          </w:p>
        </w:tc>
        <w:tc>
          <w:tcPr>
            <w:tcW w:w="2409" w:type="dxa"/>
            <w:shd w:val="clear" w:color="auto" w:fill="auto"/>
            <w:tcMar>
              <w:top w:w="55" w:type="dxa"/>
              <w:left w:w="65" w:type="dxa"/>
              <w:bottom w:w="55" w:type="dxa"/>
              <w:right w:w="65" w:type="dxa"/>
            </w:tcMar>
            <w:vAlign w:val="top"/>
          </w:tcPr>
          <w:p w14:paraId="79874110">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Cardiac surgery; VR-guided mindfulness vs 15-minute music therapy; preoperative n=36 (VR 19, music 17).</w:t>
            </w:r>
          </w:p>
        </w:tc>
        <w:tc>
          <w:tcPr>
            <w:tcW w:w="1417" w:type="dxa"/>
            <w:shd w:val="clear" w:color="auto" w:fill="auto"/>
            <w:tcMar>
              <w:top w:w="55" w:type="dxa"/>
              <w:left w:w="65" w:type="dxa"/>
              <w:bottom w:w="55" w:type="dxa"/>
              <w:right w:w="65" w:type="dxa"/>
            </w:tcMar>
            <w:vAlign w:val="top"/>
          </w:tcPr>
          <w:p w14:paraId="3E968023">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Anxiety (STAI)</w:t>
            </w:r>
          </w:p>
        </w:tc>
        <w:tc>
          <w:tcPr>
            <w:tcW w:w="1417" w:type="dxa"/>
            <w:shd w:val="clear" w:color="auto" w:fill="auto"/>
            <w:tcMar>
              <w:top w:w="55" w:type="dxa"/>
              <w:left w:w="65" w:type="dxa"/>
              <w:bottom w:w="55" w:type="dxa"/>
              <w:right w:w="65" w:type="dxa"/>
            </w:tcMar>
            <w:vAlign w:val="top"/>
          </w:tcPr>
          <w:p w14:paraId="775D82C3">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Immediately after the preoperative session</w:t>
            </w:r>
          </w:p>
        </w:tc>
        <w:tc>
          <w:tcPr>
            <w:tcW w:w="2835" w:type="dxa"/>
            <w:shd w:val="clear" w:color="auto" w:fill="auto"/>
            <w:tcMar>
              <w:top w:w="55" w:type="dxa"/>
              <w:left w:w="65" w:type="dxa"/>
              <w:bottom w:w="55" w:type="dxa"/>
              <w:right w:w="65" w:type="dxa"/>
            </w:tcMar>
            <w:vAlign w:val="top"/>
          </w:tcPr>
          <w:p w14:paraId="18D55D43">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 xml:space="preserve">Reported post-session medians were 23 (IQR 20–35) with VR and 23 (21–24) with music. Median pre-to-post change was −15.0 (IQR −20.0 to −6.5) with VR vs −17.0 (−24.0 to −10.0) with music (between-change </w:t>
            </w:r>
            <w:r>
              <w:rPr>
                <w:rFonts w:hint="default" w:ascii="Times New Roman" w:hAnsi="Times New Roman" w:eastAsia="Times New Roman" w:cs="Times New Roman"/>
                <w:i/>
                <w:iCs/>
                <w:sz w:val="21"/>
                <w:szCs w:val="21"/>
              </w:rPr>
              <w:t>P</w:t>
            </w:r>
            <w:r>
              <w:rPr>
                <w:rFonts w:hint="default" w:ascii="Times New Roman" w:hAnsi="Times New Roman" w:eastAsia="Times New Roman" w:cs="Times New Roman"/>
                <w:sz w:val="21"/>
                <w:szCs w:val="21"/>
              </w:rPr>
              <w:t>=0.70).</w:t>
            </w:r>
          </w:p>
        </w:tc>
        <w:tc>
          <w:tcPr>
            <w:tcW w:w="2835" w:type="dxa"/>
            <w:shd w:val="clear" w:color="auto" w:fill="auto"/>
            <w:tcMar>
              <w:top w:w="55" w:type="dxa"/>
              <w:left w:w="65" w:type="dxa"/>
              <w:bottom w:w="55" w:type="dxa"/>
              <w:right w:w="65" w:type="dxa"/>
            </w:tcMar>
            <w:vAlign w:val="top"/>
          </w:tcPr>
          <w:p w14:paraId="055B17AB">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 xml:space="preserve">Pilot sample; no </w:t>
            </w:r>
            <w:r>
              <w:rPr>
                <w:rFonts w:hint="default" w:ascii="Times New Roman" w:hAnsi="Times New Roman" w:eastAsia="Times New Roman" w:cs="Times New Roman"/>
                <w:i/>
                <w:iCs/>
                <w:sz w:val="21"/>
                <w:szCs w:val="21"/>
              </w:rPr>
              <w:t>CI</w:t>
            </w:r>
            <w:r>
              <w:rPr>
                <w:rFonts w:hint="default" w:ascii="Times New Roman" w:hAnsi="Times New Roman" w:eastAsia="Times New Roman" w:cs="Times New Roman"/>
                <w:sz w:val="21"/>
                <w:szCs w:val="21"/>
              </w:rPr>
              <w:t xml:space="preserve"> or </w:t>
            </w:r>
            <w:r>
              <w:rPr>
                <w:rFonts w:hint="default" w:ascii="Times New Roman" w:hAnsi="Times New Roman" w:eastAsia="Times New Roman" w:cs="Times New Roman"/>
                <w:i/>
                <w:iCs/>
                <w:sz w:val="21"/>
                <w:szCs w:val="21"/>
              </w:rPr>
              <w:t>SE</w:t>
            </w:r>
            <w:r>
              <w:rPr>
                <w:rFonts w:hint="default" w:ascii="Times New Roman" w:hAnsi="Times New Roman" w:eastAsia="Times New Roman" w:cs="Times New Roman"/>
                <w:sz w:val="21"/>
                <w:szCs w:val="21"/>
              </w:rPr>
              <w:t xml:space="preserve"> for a directly comparable endpoint effect. Overall RoB 2: Some concerns.</w:t>
            </w:r>
          </w:p>
        </w:tc>
        <w:tc>
          <w:tcPr>
            <w:tcW w:w="3969" w:type="dxa"/>
            <w:shd w:val="clear" w:color="auto" w:fill="auto"/>
            <w:tcMar>
              <w:top w:w="55" w:type="dxa"/>
              <w:left w:w="65" w:type="dxa"/>
              <w:bottom w:w="55" w:type="dxa"/>
              <w:right w:w="65" w:type="dxa"/>
            </w:tcMar>
            <w:vAlign w:val="top"/>
          </w:tcPr>
          <w:p w14:paraId="0720773B">
            <w:pPr>
              <w:spacing w:before="0" w:after="12" w:line="228" w:lineRule="auto"/>
              <w:jc w:val="left"/>
              <w:rPr>
                <w:rFonts w:hint="eastAsia" w:ascii="Times New Roman" w:hAnsi="Times New Roman" w:eastAsia="宋体" w:cs="Times New Roman"/>
                <w:sz w:val="21"/>
                <w:szCs w:val="21"/>
                <w:lang w:val="en-US" w:eastAsia="zh-CN"/>
              </w:rPr>
            </w:pPr>
            <w:r>
              <w:rPr>
                <w:rFonts w:hint="default" w:ascii="Times New Roman" w:hAnsi="Times New Roman" w:eastAsia="Times New Roman" w:cs="Times New Roman"/>
                <w:sz w:val="21"/>
                <w:szCs w:val="21"/>
              </w:rPr>
              <w:t xml:space="preserve">Group-specific endpoint means and </w:t>
            </w:r>
            <w:r>
              <w:rPr>
                <w:rFonts w:hint="default" w:ascii="Times New Roman" w:hAnsi="Times New Roman" w:eastAsia="Times New Roman" w:cs="Times New Roman"/>
                <w:i/>
                <w:iCs/>
                <w:sz w:val="21"/>
                <w:szCs w:val="21"/>
              </w:rPr>
              <w:t>SD</w:t>
            </w:r>
            <w:r>
              <w:rPr>
                <w:rFonts w:hint="default" w:ascii="Times New Roman" w:hAnsi="Times New Roman" w:eastAsia="Times New Roman" w:cs="Times New Roman"/>
                <w:sz w:val="21"/>
                <w:szCs w:val="21"/>
              </w:rPr>
              <w:t>s were unavailable; results were reported as medians/IQRs. A distribution-based conversion was considered but would provide an approximation rather than directly reported endpoint data and would not reproduce the endpoint-based effect estimand used in the primary meta-analysis</w:t>
            </w:r>
            <w:r>
              <w:rPr>
                <w:rFonts w:hint="eastAsia" w:ascii="Times New Roman" w:hAnsi="Times New Roman" w:eastAsia="宋体" w:cs="Times New Roman"/>
                <w:sz w:val="21"/>
                <w:szCs w:val="21"/>
                <w:lang w:val="en-US" w:eastAsia="zh-CN"/>
              </w:rPr>
              <w:t>.</w:t>
            </w:r>
          </w:p>
        </w:tc>
      </w:tr>
      <w:tr w14:paraId="044A6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1559" w:type="dxa"/>
            <w:shd w:val="clear" w:color="auto" w:fill="auto"/>
            <w:tcMar>
              <w:top w:w="55" w:type="dxa"/>
              <w:left w:w="65" w:type="dxa"/>
              <w:bottom w:w="55" w:type="dxa"/>
              <w:right w:w="65" w:type="dxa"/>
            </w:tcMar>
            <w:vAlign w:val="top"/>
          </w:tcPr>
          <w:p w14:paraId="26F1A2ED">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Krishnamoorthy et al.</w:t>
            </w:r>
          </w:p>
        </w:tc>
        <w:tc>
          <w:tcPr>
            <w:tcW w:w="2409" w:type="dxa"/>
            <w:shd w:val="clear" w:color="auto" w:fill="auto"/>
            <w:tcMar>
              <w:top w:w="55" w:type="dxa"/>
              <w:left w:w="65" w:type="dxa"/>
              <w:bottom w:w="55" w:type="dxa"/>
              <w:right w:w="65" w:type="dxa"/>
            </w:tcMar>
            <w:vAlign w:val="top"/>
          </w:tcPr>
          <w:p w14:paraId="420323B9">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Cardiac surgery; VR-guided mindfulness vs 15-minute music therapy; complete postoperative paired STAI data n=19 (VR 8, music 11).</w:t>
            </w:r>
          </w:p>
        </w:tc>
        <w:tc>
          <w:tcPr>
            <w:tcW w:w="1417" w:type="dxa"/>
            <w:shd w:val="clear" w:color="auto" w:fill="auto"/>
            <w:tcMar>
              <w:top w:w="55" w:type="dxa"/>
              <w:left w:w="65" w:type="dxa"/>
              <w:bottom w:w="55" w:type="dxa"/>
              <w:right w:w="65" w:type="dxa"/>
            </w:tcMar>
            <w:vAlign w:val="top"/>
          </w:tcPr>
          <w:p w14:paraId="172A5B55">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Anxiety (STAI)</w:t>
            </w:r>
          </w:p>
        </w:tc>
        <w:tc>
          <w:tcPr>
            <w:tcW w:w="1417" w:type="dxa"/>
            <w:shd w:val="clear" w:color="auto" w:fill="auto"/>
            <w:tcMar>
              <w:top w:w="55" w:type="dxa"/>
              <w:left w:w="65" w:type="dxa"/>
              <w:bottom w:w="55" w:type="dxa"/>
              <w:right w:w="65" w:type="dxa"/>
            </w:tcMar>
            <w:vAlign w:val="top"/>
          </w:tcPr>
          <w:p w14:paraId="3762A56E">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Immediately after the postoperative session on postoperative day 3</w:t>
            </w:r>
          </w:p>
        </w:tc>
        <w:tc>
          <w:tcPr>
            <w:tcW w:w="2835" w:type="dxa"/>
            <w:shd w:val="clear" w:color="auto" w:fill="auto"/>
            <w:tcMar>
              <w:top w:w="55" w:type="dxa"/>
              <w:left w:w="65" w:type="dxa"/>
              <w:bottom w:w="55" w:type="dxa"/>
              <w:right w:w="65" w:type="dxa"/>
            </w:tcMar>
            <w:vAlign w:val="top"/>
          </w:tcPr>
          <w:p w14:paraId="318F3273">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 xml:space="preserve">Post-session median STAI was 24 (IQR 22–30) with VR and 23 (20–27) with music. Median pre-to-post change was −5.0 (−8.3 to 0.0) with VR vs −8.0 (−13.5 to −2.0) with music (between-change </w:t>
            </w:r>
            <w:r>
              <w:rPr>
                <w:rFonts w:hint="default" w:ascii="Times New Roman" w:hAnsi="Times New Roman" w:eastAsia="Times New Roman" w:cs="Times New Roman"/>
                <w:i/>
                <w:iCs/>
                <w:sz w:val="21"/>
                <w:szCs w:val="21"/>
              </w:rPr>
              <w:t>P</w:t>
            </w:r>
            <w:r>
              <w:rPr>
                <w:rFonts w:hint="default" w:ascii="Times New Roman" w:hAnsi="Times New Roman" w:eastAsia="Times New Roman" w:cs="Times New Roman"/>
                <w:sz w:val="21"/>
                <w:szCs w:val="21"/>
              </w:rPr>
              <w:t>=0.30).</w:t>
            </w:r>
          </w:p>
        </w:tc>
        <w:tc>
          <w:tcPr>
            <w:tcW w:w="2835" w:type="dxa"/>
            <w:shd w:val="clear" w:color="auto" w:fill="auto"/>
            <w:tcMar>
              <w:top w:w="55" w:type="dxa"/>
              <w:left w:w="65" w:type="dxa"/>
              <w:bottom w:w="55" w:type="dxa"/>
              <w:right w:w="65" w:type="dxa"/>
            </w:tcMar>
            <w:vAlign w:val="top"/>
          </w:tcPr>
          <w:p w14:paraId="629A1DEE">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 xml:space="preserve">Postoperative data were sparse and incomplete; no </w:t>
            </w:r>
            <w:r>
              <w:rPr>
                <w:rFonts w:hint="default" w:ascii="Times New Roman" w:hAnsi="Times New Roman" w:eastAsia="Times New Roman" w:cs="Times New Roman"/>
                <w:i/>
                <w:iCs/>
                <w:sz w:val="21"/>
                <w:szCs w:val="21"/>
              </w:rPr>
              <w:t>CI</w:t>
            </w:r>
            <w:r>
              <w:rPr>
                <w:rFonts w:hint="default" w:ascii="Times New Roman" w:hAnsi="Times New Roman" w:eastAsia="Times New Roman" w:cs="Times New Roman"/>
                <w:sz w:val="21"/>
                <w:szCs w:val="21"/>
              </w:rPr>
              <w:t xml:space="preserve"> or </w:t>
            </w:r>
            <w:r>
              <w:rPr>
                <w:rFonts w:hint="default" w:ascii="Times New Roman" w:hAnsi="Times New Roman" w:eastAsia="Times New Roman" w:cs="Times New Roman"/>
                <w:i/>
                <w:iCs/>
                <w:sz w:val="21"/>
                <w:szCs w:val="21"/>
              </w:rPr>
              <w:t>SE</w:t>
            </w:r>
            <w:r>
              <w:rPr>
                <w:rFonts w:hint="default" w:ascii="Times New Roman" w:hAnsi="Times New Roman" w:eastAsia="Times New Roman" w:cs="Times New Roman"/>
                <w:sz w:val="21"/>
                <w:szCs w:val="21"/>
              </w:rPr>
              <w:t xml:space="preserve"> for a directly comparable endpoint effect. Overall RoB 2: High risk.</w:t>
            </w:r>
          </w:p>
        </w:tc>
        <w:tc>
          <w:tcPr>
            <w:tcW w:w="3969" w:type="dxa"/>
            <w:shd w:val="clear" w:color="auto" w:fill="auto"/>
            <w:tcMar>
              <w:top w:w="55" w:type="dxa"/>
              <w:left w:w="65" w:type="dxa"/>
              <w:bottom w:w="55" w:type="dxa"/>
              <w:right w:w="65" w:type="dxa"/>
            </w:tcMar>
            <w:vAlign w:val="top"/>
          </w:tcPr>
          <w:p w14:paraId="0F3298EF">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 xml:space="preserve">Endpoint means and </w:t>
            </w:r>
            <w:r>
              <w:rPr>
                <w:rFonts w:hint="default" w:ascii="Times New Roman" w:hAnsi="Times New Roman" w:eastAsia="Times New Roman" w:cs="Times New Roman"/>
                <w:i/>
                <w:iCs/>
                <w:sz w:val="21"/>
                <w:szCs w:val="21"/>
              </w:rPr>
              <w:t>SD</w:t>
            </w:r>
            <w:r>
              <w:rPr>
                <w:rFonts w:hint="default" w:ascii="Times New Roman" w:hAnsi="Times New Roman" w:eastAsia="Times New Roman" w:cs="Times New Roman"/>
                <w:sz w:val="21"/>
                <w:szCs w:val="21"/>
              </w:rPr>
              <w:t>s were unavailable; results were reported as medians/IQRs. Substantial postoperative missing data further limited a defensible conversion-based estimate for the endpoint effect used in the primary synthesis.</w:t>
            </w:r>
          </w:p>
        </w:tc>
      </w:tr>
      <w:tr w14:paraId="7CA3F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1559" w:type="dxa"/>
            <w:shd w:val="clear" w:color="auto" w:fill="auto"/>
            <w:tcMar>
              <w:top w:w="55" w:type="dxa"/>
              <w:left w:w="65" w:type="dxa"/>
              <w:bottom w:w="55" w:type="dxa"/>
              <w:right w:w="65" w:type="dxa"/>
            </w:tcMar>
            <w:vAlign w:val="top"/>
          </w:tcPr>
          <w:p w14:paraId="1F36E04F">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Krishnamoorthy et al.</w:t>
            </w:r>
          </w:p>
        </w:tc>
        <w:tc>
          <w:tcPr>
            <w:tcW w:w="2409" w:type="dxa"/>
            <w:shd w:val="clear" w:color="auto" w:fill="auto"/>
            <w:tcMar>
              <w:top w:w="55" w:type="dxa"/>
              <w:left w:w="65" w:type="dxa"/>
              <w:bottom w:w="55" w:type="dxa"/>
              <w:right w:w="65" w:type="dxa"/>
            </w:tcMar>
            <w:vAlign w:val="top"/>
          </w:tcPr>
          <w:p w14:paraId="64B4C057">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Cardiac surgery; VR-guided mindfulness vs 15-minute music therapy; preoperative n=36 (VR 19, music 17).</w:t>
            </w:r>
          </w:p>
        </w:tc>
        <w:tc>
          <w:tcPr>
            <w:tcW w:w="1417" w:type="dxa"/>
            <w:shd w:val="clear" w:color="auto" w:fill="auto"/>
            <w:tcMar>
              <w:top w:w="55" w:type="dxa"/>
              <w:left w:w="65" w:type="dxa"/>
              <w:bottom w:w="55" w:type="dxa"/>
              <w:right w:w="65" w:type="dxa"/>
            </w:tcMar>
            <w:vAlign w:val="top"/>
          </w:tcPr>
          <w:p w14:paraId="26D7FD7F">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Pain (VAS)</w:t>
            </w:r>
          </w:p>
        </w:tc>
        <w:tc>
          <w:tcPr>
            <w:tcW w:w="1417" w:type="dxa"/>
            <w:shd w:val="clear" w:color="auto" w:fill="auto"/>
            <w:tcMar>
              <w:top w:w="55" w:type="dxa"/>
              <w:left w:w="65" w:type="dxa"/>
              <w:bottom w:w="55" w:type="dxa"/>
              <w:right w:w="65" w:type="dxa"/>
            </w:tcMar>
            <w:vAlign w:val="top"/>
          </w:tcPr>
          <w:p w14:paraId="239702E0">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Immediately after the preoperative session</w:t>
            </w:r>
          </w:p>
        </w:tc>
        <w:tc>
          <w:tcPr>
            <w:tcW w:w="2835" w:type="dxa"/>
            <w:shd w:val="clear" w:color="auto" w:fill="auto"/>
            <w:tcMar>
              <w:top w:w="55" w:type="dxa"/>
              <w:left w:w="65" w:type="dxa"/>
              <w:bottom w:w="55" w:type="dxa"/>
              <w:right w:w="65" w:type="dxa"/>
            </w:tcMar>
            <w:vAlign w:val="top"/>
          </w:tcPr>
          <w:p w14:paraId="0DF29C35">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 xml:space="preserve">Baseline median pain was 0.00 (IQR 0.00–0.00) in both groups. Post-session median pain was 0.50 (0.00–1.50) with VR vs 0.00 (0.00–0.00) with music (between-group </w:t>
            </w:r>
            <w:r>
              <w:rPr>
                <w:rFonts w:hint="default" w:ascii="Times New Roman" w:hAnsi="Times New Roman" w:eastAsia="Times New Roman" w:cs="Times New Roman"/>
                <w:i/>
                <w:iCs/>
                <w:sz w:val="21"/>
                <w:szCs w:val="21"/>
              </w:rPr>
              <w:t>P</w:t>
            </w:r>
            <w:r>
              <w:rPr>
                <w:rFonts w:hint="default" w:ascii="Times New Roman" w:hAnsi="Times New Roman" w:eastAsia="Times New Roman" w:cs="Times New Roman"/>
                <w:sz w:val="21"/>
                <w:szCs w:val="21"/>
              </w:rPr>
              <w:t>=0.20), indicating a pronounced floor effect. The postoperative pain result was not explicitly reported.</w:t>
            </w:r>
          </w:p>
        </w:tc>
        <w:tc>
          <w:tcPr>
            <w:tcW w:w="2835" w:type="dxa"/>
            <w:shd w:val="clear" w:color="auto" w:fill="auto"/>
            <w:tcMar>
              <w:top w:w="55" w:type="dxa"/>
              <w:left w:w="65" w:type="dxa"/>
              <w:bottom w:w="55" w:type="dxa"/>
              <w:right w:w="65" w:type="dxa"/>
            </w:tcMar>
            <w:vAlign w:val="top"/>
          </w:tcPr>
          <w:p w14:paraId="393C206D">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 xml:space="preserve">Very low baseline pain limits interpretation; no </w:t>
            </w:r>
            <w:r>
              <w:rPr>
                <w:rFonts w:hint="default" w:ascii="Times New Roman" w:hAnsi="Times New Roman" w:eastAsia="Times New Roman" w:cs="Times New Roman"/>
                <w:i/>
                <w:iCs/>
                <w:sz w:val="21"/>
                <w:szCs w:val="21"/>
              </w:rPr>
              <w:t>CI</w:t>
            </w:r>
            <w:r>
              <w:rPr>
                <w:rFonts w:hint="default" w:ascii="Times New Roman" w:hAnsi="Times New Roman" w:eastAsia="Times New Roman" w:cs="Times New Roman"/>
                <w:sz w:val="21"/>
                <w:szCs w:val="21"/>
              </w:rPr>
              <w:t xml:space="preserve"> or </w:t>
            </w:r>
            <w:r>
              <w:rPr>
                <w:rFonts w:hint="default" w:ascii="Times New Roman" w:hAnsi="Times New Roman" w:eastAsia="Times New Roman" w:cs="Times New Roman"/>
                <w:i/>
                <w:iCs/>
                <w:sz w:val="21"/>
                <w:szCs w:val="21"/>
              </w:rPr>
              <w:t>SE</w:t>
            </w:r>
            <w:r>
              <w:rPr>
                <w:rFonts w:hint="default" w:ascii="Times New Roman" w:hAnsi="Times New Roman" w:eastAsia="Times New Roman" w:cs="Times New Roman"/>
                <w:sz w:val="21"/>
                <w:szCs w:val="21"/>
              </w:rPr>
              <w:t xml:space="preserve"> for a directly comparable between-group effect. Overall RoB 2: High risk.</w:t>
            </w:r>
          </w:p>
        </w:tc>
        <w:tc>
          <w:tcPr>
            <w:tcW w:w="3969" w:type="dxa"/>
            <w:shd w:val="clear" w:color="auto" w:fill="auto"/>
            <w:tcMar>
              <w:top w:w="55" w:type="dxa"/>
              <w:left w:w="65" w:type="dxa"/>
              <w:bottom w:w="55" w:type="dxa"/>
              <w:right w:w="65" w:type="dxa"/>
            </w:tcMar>
            <w:vAlign w:val="top"/>
          </w:tcPr>
          <w:p w14:paraId="5742B4AE">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Only medians/IQRs were available, and the postoperative pain result was not explicitly reported. The floor effect and absence of group-specific endpoint means/</w:t>
            </w:r>
            <w:r>
              <w:rPr>
                <w:rFonts w:hint="default" w:ascii="Times New Roman" w:hAnsi="Times New Roman" w:eastAsia="Times New Roman" w:cs="Times New Roman"/>
                <w:i/>
                <w:iCs/>
                <w:sz w:val="21"/>
                <w:szCs w:val="21"/>
              </w:rPr>
              <w:t>SD</w:t>
            </w:r>
            <w:r>
              <w:rPr>
                <w:rFonts w:hint="default" w:ascii="Times New Roman" w:hAnsi="Times New Roman" w:eastAsia="Times New Roman" w:cs="Times New Roman"/>
                <w:sz w:val="21"/>
                <w:szCs w:val="21"/>
              </w:rPr>
              <w:t xml:space="preserve">s precluded derivation of a directly comparable endpoint Hedges’ </w:t>
            </w:r>
            <w:r>
              <w:rPr>
                <w:rFonts w:hint="default" w:ascii="Times New Roman" w:hAnsi="Times New Roman" w:eastAsia="Times New Roman" w:cs="Times New Roman"/>
                <w:i/>
                <w:iCs/>
                <w:sz w:val="21"/>
                <w:szCs w:val="21"/>
              </w:rPr>
              <w:t>g</w:t>
            </w:r>
            <w:r>
              <w:rPr>
                <w:rFonts w:hint="default" w:ascii="Times New Roman" w:hAnsi="Times New Roman" w:eastAsia="Times New Roman" w:cs="Times New Roman"/>
                <w:sz w:val="21"/>
                <w:szCs w:val="21"/>
              </w:rPr>
              <w:t xml:space="preserve"> and </w:t>
            </w:r>
            <w:r>
              <w:rPr>
                <w:rFonts w:hint="default" w:ascii="Times New Roman" w:hAnsi="Times New Roman" w:eastAsia="Times New Roman" w:cs="Times New Roman"/>
                <w:i/>
                <w:iCs/>
                <w:sz w:val="21"/>
                <w:szCs w:val="21"/>
              </w:rPr>
              <w:t>SE</w:t>
            </w:r>
            <w:r>
              <w:rPr>
                <w:rFonts w:hint="default" w:ascii="Times New Roman" w:hAnsi="Times New Roman" w:eastAsia="Times New Roman" w:cs="Times New Roman"/>
                <w:sz w:val="21"/>
                <w:szCs w:val="21"/>
              </w:rPr>
              <w:t>.</w:t>
            </w:r>
          </w:p>
        </w:tc>
      </w:tr>
      <w:tr w14:paraId="730FC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1559" w:type="dxa"/>
            <w:shd w:val="clear" w:color="auto" w:fill="auto"/>
            <w:tcMar>
              <w:top w:w="55" w:type="dxa"/>
              <w:left w:w="65" w:type="dxa"/>
              <w:bottom w:w="55" w:type="dxa"/>
              <w:right w:w="65" w:type="dxa"/>
            </w:tcMar>
            <w:vAlign w:val="top"/>
          </w:tcPr>
          <w:p w14:paraId="329C9EA2">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Rousseaux et al.</w:t>
            </w:r>
          </w:p>
        </w:tc>
        <w:tc>
          <w:tcPr>
            <w:tcW w:w="2409" w:type="dxa"/>
            <w:shd w:val="clear" w:color="auto" w:fill="auto"/>
            <w:tcMar>
              <w:top w:w="55" w:type="dxa"/>
              <w:left w:w="65" w:type="dxa"/>
              <w:bottom w:w="55" w:type="dxa"/>
              <w:right w:w="65" w:type="dxa"/>
            </w:tcMar>
            <w:vAlign w:val="top"/>
          </w:tcPr>
          <w:p w14:paraId="79AE2096">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Cardiac surgery; four-arm trial. Eligible comparison for this review: VR hypnosis (VRH) vs standard care; preoperative n=50 (VRH 25, control 25), postoperative n=37 (VRH 15, control 22).</w:t>
            </w:r>
          </w:p>
        </w:tc>
        <w:tc>
          <w:tcPr>
            <w:tcW w:w="1417" w:type="dxa"/>
            <w:shd w:val="clear" w:color="auto" w:fill="auto"/>
            <w:tcMar>
              <w:top w:w="55" w:type="dxa"/>
              <w:left w:w="65" w:type="dxa"/>
              <w:bottom w:w="55" w:type="dxa"/>
              <w:right w:w="65" w:type="dxa"/>
            </w:tcMar>
            <w:vAlign w:val="top"/>
          </w:tcPr>
          <w:p w14:paraId="44F51317">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Anxiety (VAS)</w:t>
            </w:r>
          </w:p>
        </w:tc>
        <w:tc>
          <w:tcPr>
            <w:tcW w:w="1417" w:type="dxa"/>
            <w:shd w:val="clear" w:color="auto" w:fill="auto"/>
            <w:tcMar>
              <w:top w:w="55" w:type="dxa"/>
              <w:left w:w="65" w:type="dxa"/>
              <w:bottom w:w="55" w:type="dxa"/>
              <w:right w:w="65" w:type="dxa"/>
            </w:tcMar>
            <w:vAlign w:val="top"/>
          </w:tcPr>
          <w:p w14:paraId="7EAEB025">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Repeated-measures assessment across T0–T3 (pre- and postoperative assessments)</w:t>
            </w:r>
          </w:p>
        </w:tc>
        <w:tc>
          <w:tcPr>
            <w:tcW w:w="2835" w:type="dxa"/>
            <w:shd w:val="clear" w:color="auto" w:fill="auto"/>
            <w:tcMar>
              <w:top w:w="55" w:type="dxa"/>
              <w:left w:w="65" w:type="dxa"/>
              <w:bottom w:w="55" w:type="dxa"/>
              <w:right w:w="65" w:type="dxa"/>
            </w:tcMar>
            <w:vAlign w:val="top"/>
          </w:tcPr>
          <w:p w14:paraId="75A5A447">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Direction for the eligible VRH-vs-control comparison could not be quantified from the reported numerical data. Anxiety decreased from T0 to later assessments across groups; apart from a baseline difference between VRH and hypnosis, the source reported no additional between-group differences.</w:t>
            </w:r>
          </w:p>
        </w:tc>
        <w:tc>
          <w:tcPr>
            <w:tcW w:w="2835" w:type="dxa"/>
            <w:shd w:val="clear" w:color="auto" w:fill="auto"/>
            <w:tcMar>
              <w:top w:w="55" w:type="dxa"/>
              <w:left w:w="65" w:type="dxa"/>
              <w:bottom w:w="55" w:type="dxa"/>
              <w:right w:w="65" w:type="dxa"/>
            </w:tcMar>
            <w:vAlign w:val="top"/>
          </w:tcPr>
          <w:p w14:paraId="466A198B">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 xml:space="preserve">No pairwise endpoint estimate, </w:t>
            </w:r>
            <w:r>
              <w:rPr>
                <w:rFonts w:hint="default" w:ascii="Times New Roman" w:hAnsi="Times New Roman" w:eastAsia="Times New Roman" w:cs="Times New Roman"/>
                <w:i/>
                <w:iCs/>
                <w:sz w:val="21"/>
                <w:szCs w:val="21"/>
              </w:rPr>
              <w:t>CI</w:t>
            </w:r>
            <w:r>
              <w:rPr>
                <w:rFonts w:hint="default" w:ascii="Times New Roman" w:hAnsi="Times New Roman" w:eastAsia="Times New Roman" w:cs="Times New Roman"/>
                <w:sz w:val="21"/>
                <w:szCs w:val="21"/>
              </w:rPr>
              <w:t xml:space="preserve">, </w:t>
            </w:r>
            <w:r>
              <w:rPr>
                <w:rFonts w:hint="default" w:ascii="Times New Roman" w:hAnsi="Times New Roman" w:eastAsia="Times New Roman" w:cs="Times New Roman"/>
                <w:i/>
                <w:iCs/>
                <w:sz w:val="21"/>
                <w:szCs w:val="21"/>
              </w:rPr>
              <w:t>SE</w:t>
            </w:r>
            <w:r>
              <w:rPr>
                <w:rFonts w:hint="default" w:ascii="Times New Roman" w:hAnsi="Times New Roman" w:eastAsia="Times New Roman" w:cs="Times New Roman"/>
                <w:sz w:val="21"/>
                <w:szCs w:val="21"/>
              </w:rPr>
              <w:t>, or group-specific endpoint means/</w:t>
            </w:r>
            <w:r>
              <w:rPr>
                <w:rFonts w:hint="default" w:ascii="Times New Roman" w:hAnsi="Times New Roman" w:eastAsia="Times New Roman" w:cs="Times New Roman"/>
                <w:i/>
                <w:iCs/>
                <w:sz w:val="21"/>
                <w:szCs w:val="21"/>
              </w:rPr>
              <w:t>SD</w:t>
            </w:r>
            <w:r>
              <w:rPr>
                <w:rFonts w:hint="default" w:ascii="Times New Roman" w:hAnsi="Times New Roman" w:eastAsia="Times New Roman" w:cs="Times New Roman"/>
                <w:sz w:val="21"/>
                <w:szCs w:val="21"/>
              </w:rPr>
              <w:t>s for the eligible VRH-vs-control comparison; substantial postoperative missing data. Overall RoB 2: High risk.</w:t>
            </w:r>
          </w:p>
        </w:tc>
        <w:tc>
          <w:tcPr>
            <w:tcW w:w="3969" w:type="dxa"/>
            <w:shd w:val="clear" w:color="auto" w:fill="auto"/>
            <w:tcMar>
              <w:top w:w="55" w:type="dxa"/>
              <w:left w:w="65" w:type="dxa"/>
              <w:bottom w:w="55" w:type="dxa"/>
              <w:right w:w="65" w:type="dxa"/>
            </w:tcMar>
            <w:vAlign w:val="top"/>
          </w:tcPr>
          <w:p w14:paraId="06C924BB">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 xml:space="preserve">Results were reported as four-arm repeated-measures analyses and figures without group-specific numerical endpoint means and </w:t>
            </w:r>
            <w:r>
              <w:rPr>
                <w:rFonts w:hint="default" w:ascii="Times New Roman" w:hAnsi="Times New Roman" w:eastAsia="Times New Roman" w:cs="Times New Roman"/>
                <w:i/>
                <w:iCs/>
                <w:sz w:val="21"/>
                <w:szCs w:val="21"/>
              </w:rPr>
              <w:t>SD</w:t>
            </w:r>
            <w:r>
              <w:rPr>
                <w:rFonts w:hint="default" w:ascii="Times New Roman" w:hAnsi="Times New Roman" w:eastAsia="Times New Roman" w:cs="Times New Roman"/>
                <w:sz w:val="21"/>
                <w:szCs w:val="21"/>
              </w:rPr>
              <w:t xml:space="preserve">s for the eligible VRH-vs-control pairwise comparison; therefore, a directly comparable endpoint Hedges’ </w:t>
            </w:r>
            <w:r>
              <w:rPr>
                <w:rFonts w:hint="default" w:ascii="Times New Roman" w:hAnsi="Times New Roman" w:eastAsia="Times New Roman" w:cs="Times New Roman"/>
                <w:i/>
                <w:iCs/>
                <w:sz w:val="21"/>
                <w:szCs w:val="21"/>
              </w:rPr>
              <w:t>g</w:t>
            </w:r>
            <w:r>
              <w:rPr>
                <w:rFonts w:hint="default" w:ascii="Times New Roman" w:hAnsi="Times New Roman" w:eastAsia="Times New Roman" w:cs="Times New Roman"/>
                <w:sz w:val="21"/>
                <w:szCs w:val="21"/>
              </w:rPr>
              <w:t xml:space="preserve"> and </w:t>
            </w:r>
            <w:r>
              <w:rPr>
                <w:rFonts w:hint="default" w:ascii="Times New Roman" w:hAnsi="Times New Roman" w:eastAsia="Times New Roman" w:cs="Times New Roman"/>
                <w:i/>
                <w:iCs/>
                <w:sz w:val="21"/>
                <w:szCs w:val="21"/>
              </w:rPr>
              <w:t>SE</w:t>
            </w:r>
            <w:r>
              <w:rPr>
                <w:rFonts w:hint="default" w:ascii="Times New Roman" w:hAnsi="Times New Roman" w:eastAsia="Times New Roman" w:cs="Times New Roman"/>
                <w:sz w:val="21"/>
                <w:szCs w:val="21"/>
              </w:rPr>
              <w:t xml:space="preserve"> could not be derived.</w:t>
            </w:r>
          </w:p>
        </w:tc>
      </w:tr>
      <w:tr w14:paraId="5B09D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1559" w:type="dxa"/>
            <w:shd w:val="clear" w:color="auto" w:fill="auto"/>
            <w:tcMar>
              <w:top w:w="55" w:type="dxa"/>
              <w:left w:w="65" w:type="dxa"/>
              <w:bottom w:w="55" w:type="dxa"/>
              <w:right w:w="65" w:type="dxa"/>
            </w:tcMar>
            <w:vAlign w:val="top"/>
          </w:tcPr>
          <w:p w14:paraId="0477FC89">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Rousseaux et al.</w:t>
            </w:r>
          </w:p>
        </w:tc>
        <w:tc>
          <w:tcPr>
            <w:tcW w:w="2409" w:type="dxa"/>
            <w:shd w:val="clear" w:color="auto" w:fill="auto"/>
            <w:tcMar>
              <w:top w:w="55" w:type="dxa"/>
              <w:left w:w="65" w:type="dxa"/>
              <w:bottom w:w="55" w:type="dxa"/>
              <w:right w:w="65" w:type="dxa"/>
            </w:tcMar>
            <w:vAlign w:val="top"/>
          </w:tcPr>
          <w:p w14:paraId="7C99A5A7">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Cardiac surgery; four-arm trial. Eligible comparison for this review: VR hypnosis (VRH) vs standard care; preoperative n=50 (VRH 25, control 25), postoperative n=37 (VRH 15, control 22).</w:t>
            </w:r>
          </w:p>
        </w:tc>
        <w:tc>
          <w:tcPr>
            <w:tcW w:w="1417" w:type="dxa"/>
            <w:shd w:val="clear" w:color="auto" w:fill="auto"/>
            <w:tcMar>
              <w:top w:w="55" w:type="dxa"/>
              <w:left w:w="65" w:type="dxa"/>
              <w:bottom w:w="55" w:type="dxa"/>
              <w:right w:w="65" w:type="dxa"/>
            </w:tcMar>
            <w:vAlign w:val="top"/>
          </w:tcPr>
          <w:p w14:paraId="4F444733">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Pain (VAS)</w:t>
            </w:r>
          </w:p>
        </w:tc>
        <w:tc>
          <w:tcPr>
            <w:tcW w:w="1417" w:type="dxa"/>
            <w:shd w:val="clear" w:color="auto" w:fill="auto"/>
            <w:tcMar>
              <w:top w:w="55" w:type="dxa"/>
              <w:left w:w="65" w:type="dxa"/>
              <w:bottom w:w="55" w:type="dxa"/>
              <w:right w:w="65" w:type="dxa"/>
            </w:tcMar>
            <w:vAlign w:val="top"/>
          </w:tcPr>
          <w:p w14:paraId="7DE58605">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Repeated-measures assessment across T0–T3 (pre- and postoperative assessments)</w:t>
            </w:r>
          </w:p>
        </w:tc>
        <w:tc>
          <w:tcPr>
            <w:tcW w:w="2835" w:type="dxa"/>
            <w:shd w:val="clear" w:color="auto" w:fill="auto"/>
            <w:tcMar>
              <w:top w:w="55" w:type="dxa"/>
              <w:left w:w="65" w:type="dxa"/>
              <w:bottom w:w="55" w:type="dxa"/>
              <w:right w:w="65" w:type="dxa"/>
            </w:tcMar>
            <w:vAlign w:val="top"/>
          </w:tcPr>
          <w:p w14:paraId="2864CD8F">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Direction for the eligible VRH-vs-control comparison could not be quantified from the reported numerical data. Pain was higher at postoperative assessments than at T0/T1 across groups, and the source reported no between-group differences in pain trajectories.</w:t>
            </w:r>
          </w:p>
        </w:tc>
        <w:tc>
          <w:tcPr>
            <w:tcW w:w="2835" w:type="dxa"/>
            <w:shd w:val="clear" w:color="auto" w:fill="auto"/>
            <w:tcMar>
              <w:top w:w="55" w:type="dxa"/>
              <w:left w:w="65" w:type="dxa"/>
              <w:bottom w:w="55" w:type="dxa"/>
              <w:right w:w="65" w:type="dxa"/>
            </w:tcMar>
            <w:vAlign w:val="top"/>
          </w:tcPr>
          <w:p w14:paraId="0D7440A7">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 xml:space="preserve">No pairwise endpoint estimate, </w:t>
            </w:r>
            <w:r>
              <w:rPr>
                <w:rFonts w:hint="default" w:ascii="Times New Roman" w:hAnsi="Times New Roman" w:eastAsia="Times New Roman" w:cs="Times New Roman"/>
                <w:i/>
                <w:iCs/>
                <w:sz w:val="21"/>
                <w:szCs w:val="21"/>
              </w:rPr>
              <w:t>CI</w:t>
            </w:r>
            <w:r>
              <w:rPr>
                <w:rFonts w:hint="default" w:ascii="Times New Roman" w:hAnsi="Times New Roman" w:eastAsia="Times New Roman" w:cs="Times New Roman"/>
                <w:sz w:val="21"/>
                <w:szCs w:val="21"/>
              </w:rPr>
              <w:t xml:space="preserve">, </w:t>
            </w:r>
            <w:r>
              <w:rPr>
                <w:rFonts w:hint="default" w:ascii="Times New Roman" w:hAnsi="Times New Roman" w:eastAsia="Times New Roman" w:cs="Times New Roman"/>
                <w:i/>
                <w:iCs/>
                <w:sz w:val="21"/>
                <w:szCs w:val="21"/>
              </w:rPr>
              <w:t>SE</w:t>
            </w:r>
            <w:r>
              <w:rPr>
                <w:rFonts w:hint="default" w:ascii="Times New Roman" w:hAnsi="Times New Roman" w:eastAsia="Times New Roman" w:cs="Times New Roman"/>
                <w:sz w:val="21"/>
                <w:szCs w:val="21"/>
              </w:rPr>
              <w:t>, or group-specific endpoint means/</w:t>
            </w:r>
            <w:r>
              <w:rPr>
                <w:rFonts w:hint="default" w:ascii="Times New Roman" w:hAnsi="Times New Roman" w:eastAsia="Times New Roman" w:cs="Times New Roman"/>
                <w:i/>
                <w:iCs/>
                <w:sz w:val="21"/>
                <w:szCs w:val="21"/>
              </w:rPr>
              <w:t>SD</w:t>
            </w:r>
            <w:r>
              <w:rPr>
                <w:rFonts w:hint="default" w:ascii="Times New Roman" w:hAnsi="Times New Roman" w:eastAsia="Times New Roman" w:cs="Times New Roman"/>
                <w:sz w:val="21"/>
                <w:szCs w:val="21"/>
              </w:rPr>
              <w:t>s for VRH vs control; substantial postoperative missing data. Overall RoB 2: High risk.</w:t>
            </w:r>
          </w:p>
        </w:tc>
        <w:tc>
          <w:tcPr>
            <w:tcW w:w="3969" w:type="dxa"/>
            <w:shd w:val="clear" w:color="auto" w:fill="auto"/>
            <w:tcMar>
              <w:top w:w="55" w:type="dxa"/>
              <w:left w:w="65" w:type="dxa"/>
              <w:bottom w:w="55" w:type="dxa"/>
              <w:right w:w="65" w:type="dxa"/>
            </w:tcMar>
            <w:vAlign w:val="top"/>
          </w:tcPr>
          <w:p w14:paraId="10F81B1B">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 xml:space="preserve">Four-arm repeated-measures results were reported without the numerical pairwise endpoint data needed to derive a directly comparable Hedges’ </w:t>
            </w:r>
            <w:r>
              <w:rPr>
                <w:rFonts w:hint="default" w:ascii="Times New Roman" w:hAnsi="Times New Roman" w:eastAsia="Times New Roman" w:cs="Times New Roman"/>
                <w:i/>
                <w:iCs/>
                <w:sz w:val="21"/>
                <w:szCs w:val="21"/>
              </w:rPr>
              <w:t>g</w:t>
            </w:r>
            <w:r>
              <w:rPr>
                <w:rFonts w:hint="default" w:ascii="Times New Roman" w:hAnsi="Times New Roman" w:eastAsia="Times New Roman" w:cs="Times New Roman"/>
                <w:sz w:val="21"/>
                <w:szCs w:val="21"/>
              </w:rPr>
              <w:t xml:space="preserve"> and </w:t>
            </w:r>
            <w:r>
              <w:rPr>
                <w:rFonts w:hint="default" w:ascii="Times New Roman" w:hAnsi="Times New Roman" w:eastAsia="Times New Roman" w:cs="Times New Roman"/>
                <w:i/>
                <w:iCs/>
                <w:sz w:val="21"/>
                <w:szCs w:val="21"/>
              </w:rPr>
              <w:t>SE</w:t>
            </w:r>
            <w:r>
              <w:rPr>
                <w:rFonts w:hint="default" w:ascii="Times New Roman" w:hAnsi="Times New Roman" w:eastAsia="Times New Roman" w:cs="Times New Roman"/>
                <w:sz w:val="21"/>
                <w:szCs w:val="21"/>
              </w:rPr>
              <w:t xml:space="preserve"> for VRH vs control.</w:t>
            </w:r>
          </w:p>
        </w:tc>
      </w:tr>
      <w:tr w14:paraId="62077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1559" w:type="dxa"/>
            <w:shd w:val="clear" w:color="auto" w:fill="auto"/>
            <w:tcMar>
              <w:top w:w="55" w:type="dxa"/>
              <w:left w:w="65" w:type="dxa"/>
              <w:bottom w:w="55" w:type="dxa"/>
              <w:right w:w="65" w:type="dxa"/>
            </w:tcMar>
            <w:vAlign w:val="top"/>
          </w:tcPr>
          <w:p w14:paraId="35CA6C4E">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Bai et al.</w:t>
            </w:r>
          </w:p>
        </w:tc>
        <w:tc>
          <w:tcPr>
            <w:tcW w:w="2409" w:type="dxa"/>
            <w:shd w:val="clear" w:color="auto" w:fill="auto"/>
            <w:tcMar>
              <w:top w:w="55" w:type="dxa"/>
              <w:left w:w="65" w:type="dxa"/>
              <w:bottom w:w="55" w:type="dxa"/>
              <w:right w:w="65" w:type="dxa"/>
            </w:tcMar>
            <w:vAlign w:val="top"/>
          </w:tcPr>
          <w:p w14:paraId="4CCD9534">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Dementia family caregivers; 6-week VR-based mindfulness vs audio-guided mindfulness active control; n=16 (8/8).</w:t>
            </w:r>
          </w:p>
        </w:tc>
        <w:tc>
          <w:tcPr>
            <w:tcW w:w="1417" w:type="dxa"/>
            <w:shd w:val="clear" w:color="auto" w:fill="auto"/>
            <w:tcMar>
              <w:top w:w="55" w:type="dxa"/>
              <w:left w:w="65" w:type="dxa"/>
              <w:bottom w:w="55" w:type="dxa"/>
              <w:right w:w="65" w:type="dxa"/>
            </w:tcMar>
            <w:vAlign w:val="top"/>
          </w:tcPr>
          <w:p w14:paraId="01715371">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Depression (CES-D)</w:t>
            </w:r>
          </w:p>
        </w:tc>
        <w:tc>
          <w:tcPr>
            <w:tcW w:w="1417" w:type="dxa"/>
            <w:shd w:val="clear" w:color="auto" w:fill="auto"/>
            <w:tcMar>
              <w:top w:w="55" w:type="dxa"/>
              <w:left w:w="65" w:type="dxa"/>
              <w:bottom w:w="55" w:type="dxa"/>
              <w:right w:w="65" w:type="dxa"/>
            </w:tcMar>
            <w:vAlign w:val="top"/>
          </w:tcPr>
          <w:p w14:paraId="0098F816">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At the end of the 6-week intervention</w:t>
            </w:r>
          </w:p>
        </w:tc>
        <w:tc>
          <w:tcPr>
            <w:tcW w:w="2835" w:type="dxa"/>
            <w:shd w:val="clear" w:color="auto" w:fill="auto"/>
            <w:tcMar>
              <w:top w:w="55" w:type="dxa"/>
              <w:left w:w="65" w:type="dxa"/>
              <w:bottom w:w="55" w:type="dxa"/>
              <w:right w:w="65" w:type="dxa"/>
            </w:tcMar>
            <w:vAlign w:val="top"/>
          </w:tcPr>
          <w:p w14:paraId="2DE1C424">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 xml:space="preserve">Median pre-to-post CES-D change was −4.50 (IQR 10.50) with VR vs −4.00 (9.25) with audio-guided mindfulness; between-group </w:t>
            </w:r>
            <w:r>
              <w:rPr>
                <w:rFonts w:hint="default" w:ascii="Times New Roman" w:hAnsi="Times New Roman" w:eastAsia="Times New Roman" w:cs="Times New Roman"/>
                <w:i/>
                <w:iCs/>
                <w:sz w:val="21"/>
                <w:szCs w:val="21"/>
              </w:rPr>
              <w:t>P</w:t>
            </w:r>
            <w:r>
              <w:rPr>
                <w:rFonts w:hint="default" w:ascii="Times New Roman" w:hAnsi="Times New Roman" w:eastAsia="Times New Roman" w:cs="Times New Roman"/>
                <w:sz w:val="21"/>
                <w:szCs w:val="21"/>
              </w:rPr>
              <w:t>=0.958.</w:t>
            </w:r>
          </w:p>
        </w:tc>
        <w:tc>
          <w:tcPr>
            <w:tcW w:w="2835" w:type="dxa"/>
            <w:shd w:val="clear" w:color="auto" w:fill="auto"/>
            <w:tcMar>
              <w:top w:w="55" w:type="dxa"/>
              <w:left w:w="65" w:type="dxa"/>
              <w:bottom w:w="55" w:type="dxa"/>
              <w:right w:w="65" w:type="dxa"/>
            </w:tcMar>
            <w:vAlign w:val="top"/>
          </w:tcPr>
          <w:p w14:paraId="2893EA03">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 xml:space="preserve">Very small sample; no </w:t>
            </w:r>
            <w:r>
              <w:rPr>
                <w:rFonts w:hint="default" w:ascii="Times New Roman" w:hAnsi="Times New Roman" w:eastAsia="Times New Roman" w:cs="Times New Roman"/>
                <w:i/>
                <w:iCs/>
                <w:sz w:val="21"/>
                <w:szCs w:val="21"/>
              </w:rPr>
              <w:t>CI</w:t>
            </w:r>
            <w:r>
              <w:rPr>
                <w:rFonts w:hint="default" w:ascii="Times New Roman" w:hAnsi="Times New Roman" w:eastAsia="Times New Roman" w:cs="Times New Roman"/>
                <w:sz w:val="21"/>
                <w:szCs w:val="21"/>
              </w:rPr>
              <w:t xml:space="preserve"> or </w:t>
            </w:r>
            <w:r>
              <w:rPr>
                <w:rFonts w:hint="default" w:ascii="Times New Roman" w:hAnsi="Times New Roman" w:eastAsia="Times New Roman" w:cs="Times New Roman"/>
                <w:i/>
                <w:iCs/>
                <w:sz w:val="21"/>
                <w:szCs w:val="21"/>
              </w:rPr>
              <w:t>SE</w:t>
            </w:r>
            <w:r>
              <w:rPr>
                <w:rFonts w:hint="default" w:ascii="Times New Roman" w:hAnsi="Times New Roman" w:eastAsia="Times New Roman" w:cs="Times New Roman"/>
                <w:sz w:val="21"/>
                <w:szCs w:val="21"/>
              </w:rPr>
              <w:t xml:space="preserve"> and no group-specific post-intervention endpoint means/</w:t>
            </w:r>
            <w:r>
              <w:rPr>
                <w:rFonts w:hint="default" w:ascii="Times New Roman" w:hAnsi="Times New Roman" w:eastAsia="Times New Roman" w:cs="Times New Roman"/>
                <w:i/>
                <w:iCs/>
                <w:sz w:val="21"/>
                <w:szCs w:val="21"/>
              </w:rPr>
              <w:t>SD</w:t>
            </w:r>
            <w:r>
              <w:rPr>
                <w:rFonts w:hint="default" w:ascii="Times New Roman" w:hAnsi="Times New Roman" w:eastAsia="Times New Roman" w:cs="Times New Roman"/>
                <w:sz w:val="21"/>
                <w:szCs w:val="21"/>
              </w:rPr>
              <w:t>s. Overall RoB 2: Some concerns.</w:t>
            </w:r>
          </w:p>
        </w:tc>
        <w:tc>
          <w:tcPr>
            <w:tcW w:w="3969" w:type="dxa"/>
            <w:shd w:val="clear" w:color="auto" w:fill="auto"/>
            <w:tcMar>
              <w:top w:w="55" w:type="dxa"/>
              <w:left w:w="65" w:type="dxa"/>
              <w:bottom w:w="55" w:type="dxa"/>
              <w:right w:w="65" w:type="dxa"/>
            </w:tcMar>
            <w:vAlign w:val="top"/>
          </w:tcPr>
          <w:p w14:paraId="605B043C">
            <w:pPr>
              <w:spacing w:before="0" w:after="12" w:line="228" w:lineRule="auto"/>
              <w:jc w:val="left"/>
              <w:rPr>
                <w:rFonts w:hint="default" w:ascii="Times New Roman" w:hAnsi="Times New Roman" w:cs="Times New Roman"/>
                <w:sz w:val="21"/>
                <w:szCs w:val="21"/>
              </w:rPr>
            </w:pPr>
            <w:r>
              <w:rPr>
                <w:rFonts w:hint="default" w:ascii="Times New Roman" w:hAnsi="Times New Roman" w:eastAsia="Times New Roman" w:cs="Times New Roman"/>
                <w:sz w:val="21"/>
                <w:szCs w:val="21"/>
              </w:rPr>
              <w:t>Change scores were reported as medians/IQRs rather than means/</w:t>
            </w:r>
            <w:r>
              <w:rPr>
                <w:rFonts w:hint="default" w:ascii="Times New Roman" w:hAnsi="Times New Roman" w:eastAsia="Times New Roman" w:cs="Times New Roman"/>
                <w:i w:val="0"/>
                <w:iCs w:val="0"/>
                <w:sz w:val="21"/>
                <w:szCs w:val="21"/>
              </w:rPr>
              <w:t>SD</w:t>
            </w:r>
            <w:r>
              <w:rPr>
                <w:rFonts w:hint="default" w:ascii="Times New Roman" w:hAnsi="Times New Roman" w:eastAsia="Times New Roman" w:cs="Times New Roman"/>
                <w:sz w:val="21"/>
                <w:szCs w:val="21"/>
              </w:rPr>
              <w:t>s, and group-specific post-intervention endpoint summaries were unavailable. Converting the reported change-score distributions would not recover the prespecified endpoint-based effect estimate.</w:t>
            </w:r>
          </w:p>
        </w:tc>
      </w:tr>
    </w:tbl>
    <w:p w14:paraId="1BF425D4">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cs="Times New Roman"/>
          <w:color w:val="auto"/>
          <w:sz w:val="24"/>
          <w:szCs w:val="24"/>
          <w:lang w:val="en-US" w:eastAsia="zh-CN"/>
        </w:rPr>
      </w:pPr>
      <w:r>
        <w:rPr>
          <w:rFonts w:hint="default" w:cs="Times New Roman"/>
          <w:i/>
          <w:iCs/>
          <w:color w:val="auto"/>
          <w:sz w:val="24"/>
          <w:szCs w:val="24"/>
          <w:lang w:val="en-US" w:eastAsia="zh-CN"/>
        </w:rPr>
        <w:t>Note:</w:t>
      </w:r>
      <w:r>
        <w:rPr>
          <w:rFonts w:hint="default" w:cs="Times New Roman"/>
          <w:color w:val="auto"/>
          <w:sz w:val="24"/>
          <w:szCs w:val="24"/>
          <w:lang w:val="en-US" w:eastAsia="zh-CN"/>
        </w:rPr>
        <w:t xml:space="preserve"> This structured synthesis integrates effect direction, available quantitative information, sample size, precision/uncertainty, result-level RoB 2, and clinical context; statistical significance alone was not used to classify findings. Direction refers to the comparison relevant to this review. Where a source reported only multi-arm omnibus or repeated-measures results, no pairwise direction was assigned unless supported by the reported numerical data. RoB 2 judgments correspond to the outcome and assessment time summarized in </w:t>
      </w:r>
      <w:r>
        <w:rPr>
          <w:rFonts w:hint="default" w:cs="Times New Roman"/>
          <w:b/>
          <w:bCs/>
          <w:color w:val="auto"/>
          <w:sz w:val="24"/>
          <w:szCs w:val="24"/>
          <w:lang w:val="en-US" w:eastAsia="zh-CN"/>
        </w:rPr>
        <w:t>Table S10</w:t>
      </w:r>
      <w:r>
        <w:rPr>
          <w:rFonts w:hint="default" w:cs="Times New Roman"/>
          <w:color w:val="auto"/>
          <w:sz w:val="24"/>
          <w:szCs w:val="24"/>
          <w:lang w:val="en-US" w:eastAsia="zh-CN"/>
        </w:rPr>
        <w:t xml:space="preserve">. Investigators of all five narrative-only studies were contacted on August 28, 2026 to request missing summary statistics. One investigator (Torres García et al.) replied; no additional directly comparable endpoint means/SDs were available after author contact and review of the doctoral thesis. No additional analyzable endpoint data were obtained from the remaining studies by the time of the final analysis. Distribution-based conversions of reported medians were considered on a study-by-study basis but were not used when they required insufficiently supported distributional assumptions, produced an estimate highly dependent on approximated dispersion, or would not reproduce the endpoint-based effect estimand used in the primary meta-analysis. CES-D, Center for Epidemiologic Studies Depression Scale; </w:t>
      </w:r>
      <w:r>
        <w:rPr>
          <w:rFonts w:hint="default" w:cs="Times New Roman"/>
          <w:i/>
          <w:iCs/>
          <w:color w:val="auto"/>
          <w:sz w:val="24"/>
          <w:szCs w:val="24"/>
          <w:lang w:val="en-US" w:eastAsia="zh-CN"/>
        </w:rPr>
        <w:t>CI</w:t>
      </w:r>
      <w:r>
        <w:rPr>
          <w:rFonts w:hint="default" w:cs="Times New Roman"/>
          <w:color w:val="auto"/>
          <w:sz w:val="24"/>
          <w:szCs w:val="24"/>
          <w:lang w:val="en-US" w:eastAsia="zh-CN"/>
        </w:rPr>
        <w:t xml:space="preserve">, confidence interval; HADS-A/HADS-D, Hospital Anxiety and Depression Scale anxiety/depression subscales; IQR, interquartile range; MBSR, mindfulness-based stress reduction; NRS, numerical rating scale; RoB 2, revised Cochrane risk-of-bias tool for randomized trials; </w:t>
      </w:r>
      <w:r>
        <w:rPr>
          <w:rFonts w:hint="default" w:cs="Times New Roman"/>
          <w:i/>
          <w:iCs/>
          <w:color w:val="auto"/>
          <w:sz w:val="24"/>
          <w:szCs w:val="24"/>
          <w:lang w:val="en-US" w:eastAsia="zh-CN"/>
        </w:rPr>
        <w:t>SD</w:t>
      </w:r>
      <w:r>
        <w:rPr>
          <w:rFonts w:hint="default" w:cs="Times New Roman"/>
          <w:color w:val="auto"/>
          <w:sz w:val="24"/>
          <w:szCs w:val="24"/>
          <w:lang w:val="en-US" w:eastAsia="zh-CN"/>
        </w:rPr>
        <w:t xml:space="preserve">, standard deviation; </w:t>
      </w:r>
      <w:r>
        <w:rPr>
          <w:rFonts w:hint="default" w:cs="Times New Roman"/>
          <w:i/>
          <w:iCs/>
          <w:color w:val="auto"/>
          <w:sz w:val="24"/>
          <w:szCs w:val="24"/>
          <w:lang w:val="en-US" w:eastAsia="zh-CN"/>
        </w:rPr>
        <w:t>SE</w:t>
      </w:r>
      <w:r>
        <w:rPr>
          <w:rFonts w:hint="default" w:cs="Times New Roman"/>
          <w:color w:val="auto"/>
          <w:sz w:val="24"/>
          <w:szCs w:val="24"/>
          <w:lang w:val="en-US" w:eastAsia="zh-CN"/>
        </w:rPr>
        <w:t>, standard error; STAI, State-Trait Anxiety Inventory; VAS, visual analogue scale; VMW, Virtual Meditative Walk; VR, virtual reality; VRH, virtual reality hypnosis.</w:t>
      </w:r>
    </w:p>
    <w:p w14:paraId="4AA37D55">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cs="Times New Roman"/>
          <w:color w:val="auto"/>
          <w:sz w:val="24"/>
          <w:szCs w:val="24"/>
          <w:lang w:val="en-US" w:eastAsia="zh-CN"/>
        </w:rPr>
      </w:pPr>
    </w:p>
    <w:p w14:paraId="51FB3806">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cs="Times New Roman"/>
          <w:color w:val="auto"/>
          <w:sz w:val="24"/>
          <w:szCs w:val="24"/>
          <w:lang w:val="en-US" w:eastAsia="zh-CN"/>
        </w:rPr>
      </w:pPr>
    </w:p>
    <w:p w14:paraId="7E3E42CA">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cs="Times New Roman"/>
          <w:color w:val="auto"/>
          <w:sz w:val="24"/>
          <w:szCs w:val="24"/>
          <w:lang w:val="en-US" w:eastAsia="zh-CN"/>
        </w:rPr>
      </w:pPr>
    </w:p>
    <w:p w14:paraId="1C47B150">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cs="Times New Roman"/>
          <w:color w:val="auto"/>
          <w:sz w:val="24"/>
          <w:szCs w:val="24"/>
          <w:lang w:val="en-US" w:eastAsia="zh-CN"/>
        </w:rPr>
      </w:pPr>
    </w:p>
    <w:p w14:paraId="44C0187D">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cs="Times New Roman"/>
          <w:color w:val="auto"/>
          <w:sz w:val="24"/>
          <w:szCs w:val="24"/>
          <w:lang w:val="en-US" w:eastAsia="zh-CN"/>
        </w:rPr>
      </w:pPr>
    </w:p>
    <w:p w14:paraId="32F5034B">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cs="Times New Roman"/>
          <w:color w:val="auto"/>
          <w:sz w:val="24"/>
          <w:szCs w:val="24"/>
          <w:lang w:val="en-US" w:eastAsia="zh-CN"/>
        </w:rPr>
      </w:pPr>
    </w:p>
    <w:p w14:paraId="445CC747">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cs="Times New Roman"/>
          <w:color w:val="auto"/>
          <w:sz w:val="24"/>
          <w:szCs w:val="24"/>
          <w:lang w:val="en-US" w:eastAsia="zh-CN"/>
        </w:rPr>
      </w:pPr>
    </w:p>
    <w:p w14:paraId="09CBAC2D">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cs="Times New Roman"/>
          <w:color w:val="auto"/>
          <w:sz w:val="24"/>
          <w:szCs w:val="24"/>
          <w:lang w:val="en-US" w:eastAsia="zh-CN"/>
        </w:rPr>
      </w:pPr>
    </w:p>
    <w:p w14:paraId="54FE2EA1">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cs="Times New Roman"/>
          <w:color w:val="auto"/>
          <w:sz w:val="24"/>
          <w:szCs w:val="24"/>
          <w:lang w:val="en-US" w:eastAsia="zh-CN"/>
        </w:rPr>
      </w:pPr>
    </w:p>
    <w:p w14:paraId="25CCD5F3">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cs="Times New Roman"/>
          <w:color w:val="auto"/>
          <w:sz w:val="24"/>
          <w:szCs w:val="24"/>
          <w:lang w:val="en-US" w:eastAsia="zh-CN"/>
        </w:rPr>
      </w:pPr>
    </w:p>
    <w:p w14:paraId="7DDE0BFF">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cs="Times New Roman"/>
          <w:color w:val="auto"/>
          <w:sz w:val="24"/>
          <w:szCs w:val="24"/>
          <w:lang w:val="en-US" w:eastAsia="zh-CN"/>
        </w:rPr>
      </w:pPr>
    </w:p>
    <w:p w14:paraId="2609B545">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default" w:cs="Times New Roman"/>
          <w:b/>
          <w:bCs/>
          <w:color w:val="auto"/>
          <w:sz w:val="24"/>
          <w:szCs w:val="24"/>
          <w:lang w:val="en-US" w:eastAsia="zh-CN"/>
        </w:rPr>
      </w:pPr>
    </w:p>
    <w:p w14:paraId="29A297C7">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default" w:cs="Times New Roman"/>
          <w:b/>
          <w:bCs/>
          <w:color w:val="auto"/>
          <w:sz w:val="24"/>
          <w:szCs w:val="24"/>
          <w:lang w:val="en-US" w:eastAsia="zh-CN"/>
        </w:rPr>
      </w:pPr>
    </w:p>
    <w:p w14:paraId="42696580">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default" w:cs="Times New Roman"/>
          <w:b/>
          <w:bCs/>
          <w:color w:val="auto"/>
          <w:sz w:val="24"/>
          <w:szCs w:val="24"/>
          <w:lang w:val="en-US" w:eastAsia="zh-CN"/>
        </w:rPr>
      </w:pPr>
    </w:p>
    <w:p w14:paraId="0FD564D3">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outlineLvl w:val="9"/>
        <w:rPr>
          <w:rFonts w:hint="eastAsia" w:cs="Times New Roman"/>
          <w:color w:val="auto"/>
          <w:sz w:val="24"/>
          <w:szCs w:val="24"/>
          <w:lang w:val="en-US" w:eastAsia="zh-CN"/>
        </w:rPr>
      </w:pPr>
      <w:r>
        <w:rPr>
          <w:rFonts w:hint="default" w:cs="Times New Roman"/>
          <w:b/>
          <w:bCs/>
          <w:color w:val="auto"/>
          <w:sz w:val="24"/>
          <w:szCs w:val="24"/>
          <w:lang w:val="en-US" w:eastAsia="zh-CN"/>
        </w:rPr>
        <w:t>Table S</w:t>
      </w:r>
      <w:r>
        <w:rPr>
          <w:rFonts w:hint="eastAsia" w:cs="Times New Roman"/>
          <w:b/>
          <w:bCs/>
          <w:color w:val="auto"/>
          <w:sz w:val="24"/>
          <w:szCs w:val="24"/>
          <w:lang w:val="en-US" w:eastAsia="zh-CN"/>
        </w:rPr>
        <w:t>16</w:t>
      </w:r>
      <w:r>
        <w:rPr>
          <w:rFonts w:hint="default" w:cs="Times New Roman"/>
          <w:b/>
          <w:bCs/>
          <w:color w:val="auto"/>
          <w:sz w:val="24"/>
          <w:szCs w:val="24"/>
          <w:lang w:val="en-US" w:eastAsia="zh-CN"/>
        </w:rPr>
        <w:t>.</w:t>
      </w:r>
      <w:r>
        <w:rPr>
          <w:rFonts w:hint="default" w:cs="Times New Roman"/>
          <w:color w:val="auto"/>
          <w:sz w:val="24"/>
          <w:szCs w:val="24"/>
          <w:lang w:val="en-US" w:eastAsia="zh-CN"/>
        </w:rPr>
        <w:t xml:space="preserve"> GRADE summary of the certainty of the evidence for the outcomes</w:t>
      </w:r>
    </w:p>
    <w:tbl>
      <w:tblPr>
        <w:tblStyle w:val="7"/>
        <w:tblW w:w="1595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59"/>
        <w:gridCol w:w="1276"/>
        <w:gridCol w:w="1446"/>
        <w:gridCol w:w="1417"/>
        <w:gridCol w:w="1417"/>
        <w:gridCol w:w="2835"/>
        <w:gridCol w:w="1899"/>
        <w:gridCol w:w="2126"/>
        <w:gridCol w:w="1984"/>
      </w:tblGrid>
      <w:tr w14:paraId="6D012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559" w:type="dxa"/>
            <w:vMerge w:val="restart"/>
            <w:tcBorders>
              <w:top w:val="single" w:color="auto" w:sz="12" w:space="0"/>
              <w:bottom w:val="single" w:color="auto" w:sz="6" w:space="0"/>
            </w:tcBorders>
            <w:vAlign w:val="top"/>
          </w:tcPr>
          <w:p w14:paraId="76AD0ABC">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ascii="Times New Roman" w:hAnsi="Times New Roman" w:cs="Times New Roman"/>
                <w:b/>
                <w:bCs/>
                <w:color w:val="auto"/>
                <w:sz w:val="21"/>
                <w:szCs w:val="21"/>
                <w:vertAlign w:val="baseline"/>
                <w:lang w:val="en-US" w:eastAsia="zh-CN"/>
              </w:rPr>
            </w:pPr>
            <w:r>
              <w:rPr>
                <w:rFonts w:hint="default" w:ascii="Times New Roman" w:hAnsi="Times New Roman" w:cs="Times New Roman"/>
                <w:b/>
                <w:bCs/>
                <w:color w:val="auto"/>
                <w:sz w:val="21"/>
                <w:szCs w:val="21"/>
                <w:vertAlign w:val="baseline"/>
                <w:lang w:val="en-US" w:eastAsia="zh-CN"/>
              </w:rPr>
              <w:t>Outcome</w:t>
            </w:r>
          </w:p>
        </w:tc>
        <w:tc>
          <w:tcPr>
            <w:tcW w:w="8391" w:type="dxa"/>
            <w:gridSpan w:val="5"/>
            <w:tcBorders>
              <w:top w:val="single" w:color="auto" w:sz="12" w:space="0"/>
              <w:bottom w:val="single" w:color="auto" w:sz="6" w:space="0"/>
            </w:tcBorders>
            <w:vAlign w:val="center"/>
          </w:tcPr>
          <w:p w14:paraId="683908CB">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center"/>
              <w:textAlignment w:val="auto"/>
              <w:rPr>
                <w:rFonts w:hint="default" w:ascii="Times New Roman" w:hAnsi="Times New Roman" w:cs="Times New Roman"/>
                <w:b/>
                <w:bCs/>
                <w:color w:val="auto"/>
                <w:sz w:val="21"/>
                <w:szCs w:val="21"/>
                <w:vertAlign w:val="baseline"/>
                <w:lang w:val="en-US" w:eastAsia="zh-CN"/>
              </w:rPr>
            </w:pPr>
            <w:r>
              <w:rPr>
                <w:rFonts w:hint="eastAsia" w:cs="Times New Roman"/>
                <w:b/>
                <w:bCs/>
                <w:color w:val="auto"/>
                <w:lang w:val="en-US" w:eastAsia="zh-CN"/>
              </w:rPr>
              <w:t>C</w:t>
            </w:r>
            <w:r>
              <w:rPr>
                <w:rFonts w:hint="default" w:ascii="Times New Roman" w:hAnsi="Times New Roman" w:cs="Times New Roman"/>
                <w:b/>
                <w:bCs/>
                <w:color w:val="auto"/>
              </w:rPr>
              <w:t>ertainty assessment</w:t>
            </w:r>
          </w:p>
        </w:tc>
        <w:tc>
          <w:tcPr>
            <w:tcW w:w="1899" w:type="dxa"/>
            <w:vMerge w:val="restart"/>
            <w:tcBorders>
              <w:top w:val="single" w:color="auto" w:sz="12" w:space="0"/>
            </w:tcBorders>
            <w:vAlign w:val="top"/>
          </w:tcPr>
          <w:p w14:paraId="05FA1DF7">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b/>
                <w:bCs/>
                <w:color w:val="auto"/>
                <w:sz w:val="21"/>
                <w:szCs w:val="21"/>
                <w:vertAlign w:val="baseline"/>
                <w:lang w:val="en-US" w:eastAsia="zh-CN"/>
              </w:rPr>
            </w:pPr>
            <w:r>
              <w:rPr>
                <w:rFonts w:hint="default" w:ascii="Times New Roman" w:hAnsi="Times New Roman" w:cs="Times New Roman"/>
                <w:b/>
                <w:bCs/>
                <w:color w:val="auto"/>
                <w:sz w:val="21"/>
                <w:szCs w:val="21"/>
                <w:vertAlign w:val="baseline"/>
                <w:lang w:val="en-US" w:eastAsia="zh-CN"/>
              </w:rPr>
              <w:t xml:space="preserve">No. of </w:t>
            </w:r>
            <w:r>
              <w:rPr>
                <w:rFonts w:hint="eastAsia" w:cs="Times New Roman"/>
                <w:b/>
                <w:bCs/>
                <w:color w:val="auto"/>
                <w:sz w:val="21"/>
                <w:szCs w:val="21"/>
                <w:vertAlign w:val="baseline"/>
                <w:lang w:val="en-US" w:eastAsia="zh-CN"/>
              </w:rPr>
              <w:t>p</w:t>
            </w:r>
            <w:r>
              <w:rPr>
                <w:rFonts w:hint="default" w:ascii="Times New Roman" w:hAnsi="Times New Roman" w:cs="Times New Roman"/>
                <w:b/>
                <w:bCs/>
                <w:color w:val="auto"/>
                <w:sz w:val="21"/>
                <w:szCs w:val="21"/>
                <w:vertAlign w:val="baseline"/>
                <w:lang w:val="en-US" w:eastAsia="zh-CN"/>
              </w:rPr>
              <w:t>articipants</w:t>
            </w:r>
            <w:r>
              <w:rPr>
                <w:rFonts w:hint="eastAsia" w:ascii="Times New Roman" w:hAnsi="Times New Roman" w:cs="Times New Roman"/>
                <w:b/>
                <w:bCs/>
                <w:color w:val="auto"/>
                <w:sz w:val="21"/>
                <w:szCs w:val="21"/>
                <w:vertAlign w:val="baseline"/>
                <w:lang w:val="en-US" w:eastAsia="zh-CN"/>
              </w:rPr>
              <w:t xml:space="preserve"> </w:t>
            </w:r>
            <w:r>
              <w:rPr>
                <w:rFonts w:hint="default" w:ascii="Times New Roman" w:hAnsi="Times New Roman" w:cs="Times New Roman"/>
                <w:b/>
                <w:bCs/>
                <w:color w:val="auto"/>
                <w:sz w:val="21"/>
                <w:szCs w:val="21"/>
                <w:vertAlign w:val="baseline"/>
                <w:lang w:val="en-US" w:eastAsia="zh-CN"/>
              </w:rPr>
              <w:t>(studies)</w:t>
            </w:r>
          </w:p>
        </w:tc>
        <w:tc>
          <w:tcPr>
            <w:tcW w:w="2126" w:type="dxa"/>
            <w:vMerge w:val="restart"/>
            <w:tcBorders>
              <w:top w:val="single" w:color="auto" w:sz="12" w:space="0"/>
            </w:tcBorders>
            <w:vAlign w:val="top"/>
          </w:tcPr>
          <w:p w14:paraId="3B30F451">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b/>
                <w:bCs/>
                <w:color w:val="auto"/>
                <w:sz w:val="21"/>
                <w:szCs w:val="21"/>
                <w:vertAlign w:val="baseline"/>
                <w:lang w:val="en-US" w:eastAsia="zh-CN"/>
              </w:rPr>
            </w:pPr>
            <w:r>
              <w:rPr>
                <w:rFonts w:hint="default" w:ascii="Times New Roman" w:hAnsi="Times New Roman" w:cs="Times New Roman"/>
                <w:b/>
                <w:bCs/>
                <w:color w:val="auto"/>
                <w:sz w:val="21"/>
                <w:szCs w:val="21"/>
                <w:vertAlign w:val="baseline"/>
                <w:lang w:val="en-US" w:eastAsia="zh-CN"/>
              </w:rPr>
              <w:t xml:space="preserve">Hedges’ </w:t>
            </w:r>
            <w:r>
              <w:rPr>
                <w:rFonts w:hint="default" w:ascii="Times New Roman" w:hAnsi="Times New Roman" w:cs="Times New Roman"/>
                <w:b/>
                <w:bCs/>
                <w:i/>
                <w:iCs/>
                <w:color w:val="auto"/>
                <w:sz w:val="21"/>
                <w:szCs w:val="21"/>
                <w:vertAlign w:val="baseline"/>
                <w:lang w:val="en-US" w:eastAsia="zh-CN"/>
              </w:rPr>
              <w:t xml:space="preserve">g </w:t>
            </w:r>
            <w:r>
              <w:rPr>
                <w:rFonts w:hint="default" w:ascii="Times New Roman" w:hAnsi="Times New Roman" w:cs="Times New Roman"/>
                <w:b/>
                <w:bCs/>
                <w:color w:val="auto"/>
                <w:sz w:val="21"/>
                <w:szCs w:val="21"/>
                <w:vertAlign w:val="baseline"/>
                <w:lang w:val="en-US" w:eastAsia="zh-CN"/>
              </w:rPr>
              <w:t>(95% CI)</w:t>
            </w:r>
          </w:p>
        </w:tc>
        <w:tc>
          <w:tcPr>
            <w:tcW w:w="1984" w:type="dxa"/>
            <w:vMerge w:val="restart"/>
            <w:tcBorders>
              <w:top w:val="single" w:color="auto" w:sz="12" w:space="0"/>
            </w:tcBorders>
            <w:vAlign w:val="top"/>
          </w:tcPr>
          <w:p w14:paraId="0B9AD508">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b/>
                <w:bCs/>
                <w:color w:val="auto"/>
                <w:sz w:val="21"/>
                <w:szCs w:val="21"/>
                <w:vertAlign w:val="baseline"/>
                <w:lang w:val="en-US" w:eastAsia="zh-CN"/>
              </w:rPr>
            </w:pPr>
            <w:r>
              <w:rPr>
                <w:rFonts w:hint="eastAsia" w:cs="Times New Roman"/>
                <w:b/>
                <w:bCs/>
                <w:color w:val="auto"/>
                <w:sz w:val="21"/>
                <w:szCs w:val="21"/>
                <w:vertAlign w:val="baseline"/>
                <w:lang w:val="en-US" w:eastAsia="zh-CN"/>
              </w:rPr>
              <w:t>Certainty</w:t>
            </w:r>
            <w:r>
              <w:rPr>
                <w:rFonts w:hint="default" w:ascii="Times New Roman" w:hAnsi="Times New Roman" w:cs="Times New Roman"/>
                <w:b/>
                <w:bCs/>
                <w:color w:val="auto"/>
                <w:sz w:val="21"/>
                <w:szCs w:val="21"/>
                <w:vertAlign w:val="baseline"/>
                <w:lang w:val="en-US" w:eastAsia="zh-CN"/>
              </w:rPr>
              <w:t xml:space="preserve"> of the evidence (GRADE)</w:t>
            </w:r>
          </w:p>
        </w:tc>
      </w:tr>
      <w:tr w14:paraId="1FD8E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559" w:type="dxa"/>
            <w:vMerge w:val="continue"/>
            <w:tcBorders>
              <w:top w:val="single" w:color="auto" w:sz="6" w:space="0"/>
              <w:bottom w:val="single" w:color="auto" w:sz="6" w:space="0"/>
            </w:tcBorders>
            <w:vAlign w:val="top"/>
          </w:tcPr>
          <w:p w14:paraId="16CFFD73">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ascii="Times New Roman" w:hAnsi="Times New Roman" w:cs="Times New Roman"/>
                <w:b/>
                <w:bCs/>
                <w:color w:val="auto"/>
                <w:sz w:val="21"/>
                <w:szCs w:val="21"/>
                <w:vertAlign w:val="baseline"/>
                <w:lang w:val="en-US" w:eastAsia="zh-CN"/>
              </w:rPr>
            </w:pPr>
          </w:p>
        </w:tc>
        <w:tc>
          <w:tcPr>
            <w:tcW w:w="1276" w:type="dxa"/>
            <w:tcBorders>
              <w:top w:val="single" w:color="auto" w:sz="6" w:space="0"/>
              <w:bottom w:val="single" w:color="auto" w:sz="6" w:space="0"/>
            </w:tcBorders>
            <w:vAlign w:val="center"/>
          </w:tcPr>
          <w:p w14:paraId="328893C5">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center"/>
              <w:textAlignment w:val="auto"/>
              <w:rPr>
                <w:rFonts w:hint="default" w:ascii="Times New Roman" w:hAnsi="Times New Roman" w:cs="Times New Roman"/>
                <w:b/>
                <w:bCs/>
                <w:color w:val="auto"/>
                <w:sz w:val="21"/>
                <w:szCs w:val="21"/>
                <w:vertAlign w:val="baseline"/>
                <w:lang w:val="en-US" w:eastAsia="zh-CN"/>
              </w:rPr>
            </w:pPr>
            <w:r>
              <w:rPr>
                <w:rFonts w:hint="default" w:ascii="Times New Roman" w:hAnsi="Times New Roman" w:cs="Times New Roman"/>
                <w:b/>
                <w:bCs/>
                <w:color w:val="auto"/>
                <w:sz w:val="21"/>
                <w:szCs w:val="21"/>
                <w:vertAlign w:val="baseline"/>
                <w:lang w:val="en-US" w:eastAsia="zh-CN"/>
              </w:rPr>
              <w:t>Risk of bias</w:t>
            </w:r>
          </w:p>
        </w:tc>
        <w:tc>
          <w:tcPr>
            <w:tcW w:w="1446" w:type="dxa"/>
            <w:tcBorders>
              <w:top w:val="single" w:color="auto" w:sz="6" w:space="0"/>
              <w:bottom w:val="single" w:color="auto" w:sz="6" w:space="0"/>
            </w:tcBorders>
            <w:vAlign w:val="center"/>
          </w:tcPr>
          <w:p w14:paraId="53A3FCE6">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center"/>
              <w:textAlignment w:val="auto"/>
              <w:rPr>
                <w:rFonts w:hint="default" w:ascii="Times New Roman" w:hAnsi="Times New Roman" w:cs="Times New Roman"/>
                <w:b/>
                <w:bCs/>
                <w:color w:val="auto"/>
                <w:sz w:val="21"/>
                <w:szCs w:val="21"/>
                <w:vertAlign w:val="baseline"/>
                <w:lang w:val="en-US" w:eastAsia="zh-CN"/>
              </w:rPr>
            </w:pPr>
            <w:r>
              <w:rPr>
                <w:rFonts w:hint="default" w:ascii="Times New Roman" w:hAnsi="Times New Roman" w:cs="Times New Roman"/>
                <w:b/>
                <w:bCs/>
                <w:color w:val="auto"/>
                <w:sz w:val="21"/>
                <w:szCs w:val="21"/>
                <w:vertAlign w:val="baseline"/>
                <w:lang w:val="en-US" w:eastAsia="zh-CN"/>
              </w:rPr>
              <w:t>Inconsistency</w:t>
            </w:r>
          </w:p>
        </w:tc>
        <w:tc>
          <w:tcPr>
            <w:tcW w:w="1417" w:type="dxa"/>
            <w:tcBorders>
              <w:top w:val="single" w:color="auto" w:sz="6" w:space="0"/>
              <w:bottom w:val="single" w:color="auto" w:sz="6" w:space="0"/>
            </w:tcBorders>
            <w:vAlign w:val="center"/>
          </w:tcPr>
          <w:p w14:paraId="4898BB77">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center"/>
              <w:textAlignment w:val="auto"/>
              <w:rPr>
                <w:rFonts w:hint="default" w:ascii="Times New Roman" w:hAnsi="Times New Roman" w:cs="Times New Roman"/>
                <w:b/>
                <w:bCs/>
                <w:color w:val="auto"/>
                <w:sz w:val="21"/>
                <w:szCs w:val="21"/>
                <w:vertAlign w:val="baseline"/>
                <w:lang w:val="en-US" w:eastAsia="zh-CN"/>
              </w:rPr>
            </w:pPr>
            <w:r>
              <w:rPr>
                <w:rFonts w:hint="default" w:ascii="Times New Roman" w:hAnsi="Times New Roman" w:cs="Times New Roman"/>
                <w:b/>
                <w:bCs/>
                <w:color w:val="auto"/>
                <w:sz w:val="21"/>
                <w:szCs w:val="21"/>
                <w:vertAlign w:val="baseline"/>
                <w:lang w:val="en-US" w:eastAsia="zh-CN"/>
              </w:rPr>
              <w:t>Indirectness</w:t>
            </w:r>
          </w:p>
        </w:tc>
        <w:tc>
          <w:tcPr>
            <w:tcW w:w="1417" w:type="dxa"/>
            <w:tcBorders>
              <w:top w:val="single" w:color="auto" w:sz="6" w:space="0"/>
              <w:bottom w:val="single" w:color="auto" w:sz="6" w:space="0"/>
            </w:tcBorders>
            <w:vAlign w:val="center"/>
          </w:tcPr>
          <w:p w14:paraId="04D05F43">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center"/>
              <w:textAlignment w:val="auto"/>
              <w:rPr>
                <w:rFonts w:hint="default" w:ascii="Times New Roman" w:hAnsi="Times New Roman" w:cs="Times New Roman"/>
                <w:b/>
                <w:bCs/>
                <w:color w:val="auto"/>
                <w:sz w:val="21"/>
                <w:szCs w:val="21"/>
                <w:vertAlign w:val="baseline"/>
                <w:lang w:val="en-US" w:eastAsia="zh-CN"/>
              </w:rPr>
            </w:pPr>
            <w:r>
              <w:rPr>
                <w:rFonts w:hint="default" w:ascii="Times New Roman" w:hAnsi="Times New Roman" w:cs="Times New Roman"/>
                <w:b/>
                <w:bCs/>
                <w:color w:val="auto"/>
                <w:sz w:val="21"/>
                <w:szCs w:val="21"/>
                <w:vertAlign w:val="baseline"/>
                <w:lang w:val="en-US" w:eastAsia="zh-CN"/>
              </w:rPr>
              <w:t>Imprecision</w:t>
            </w:r>
          </w:p>
        </w:tc>
        <w:tc>
          <w:tcPr>
            <w:tcW w:w="2835" w:type="dxa"/>
            <w:tcBorders>
              <w:top w:val="single" w:color="auto" w:sz="6" w:space="0"/>
              <w:bottom w:val="single" w:color="auto" w:sz="6" w:space="0"/>
            </w:tcBorders>
            <w:vAlign w:val="center"/>
          </w:tcPr>
          <w:p w14:paraId="18CB7C85">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center"/>
              <w:textAlignment w:val="auto"/>
              <w:rPr>
                <w:rFonts w:hint="default" w:ascii="Times New Roman" w:hAnsi="Times New Roman" w:cs="Times New Roman"/>
                <w:b/>
                <w:bCs/>
                <w:color w:val="auto"/>
                <w:sz w:val="21"/>
                <w:szCs w:val="21"/>
                <w:vertAlign w:val="baseline"/>
                <w:lang w:val="en-US" w:eastAsia="zh-CN"/>
              </w:rPr>
            </w:pPr>
            <w:r>
              <w:rPr>
                <w:rFonts w:hint="default" w:ascii="Times New Roman" w:hAnsi="Times New Roman" w:cs="Times New Roman"/>
                <w:b/>
                <w:bCs/>
                <w:color w:val="auto"/>
                <w:sz w:val="21"/>
                <w:szCs w:val="21"/>
                <w:vertAlign w:val="baseline"/>
                <w:lang w:val="en-US" w:eastAsia="zh-CN"/>
              </w:rPr>
              <w:t>Publication bias</w:t>
            </w:r>
          </w:p>
        </w:tc>
        <w:tc>
          <w:tcPr>
            <w:tcW w:w="1899" w:type="dxa"/>
            <w:vMerge w:val="continue"/>
          </w:tcPr>
          <w:p w14:paraId="759B2C66">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ascii="Times New Roman" w:hAnsi="Times New Roman" w:cs="Times New Roman"/>
                <w:b/>
                <w:bCs/>
                <w:color w:val="auto"/>
                <w:sz w:val="21"/>
                <w:szCs w:val="21"/>
                <w:vertAlign w:val="baseline"/>
                <w:lang w:val="en-US" w:eastAsia="zh-CN"/>
              </w:rPr>
            </w:pPr>
          </w:p>
        </w:tc>
        <w:tc>
          <w:tcPr>
            <w:tcW w:w="2126" w:type="dxa"/>
            <w:vMerge w:val="continue"/>
          </w:tcPr>
          <w:p w14:paraId="22DD5C17">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ascii="Times New Roman" w:hAnsi="Times New Roman" w:cs="Times New Roman"/>
                <w:b/>
                <w:bCs/>
                <w:color w:val="auto"/>
                <w:sz w:val="21"/>
                <w:szCs w:val="21"/>
                <w:vertAlign w:val="baseline"/>
                <w:lang w:val="en-US" w:eastAsia="zh-CN"/>
              </w:rPr>
            </w:pPr>
          </w:p>
        </w:tc>
        <w:tc>
          <w:tcPr>
            <w:tcW w:w="1984" w:type="dxa"/>
            <w:vMerge w:val="continue"/>
          </w:tcPr>
          <w:p w14:paraId="1A07965C">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ascii="Times New Roman" w:hAnsi="Times New Roman" w:cs="Times New Roman"/>
                <w:b/>
                <w:bCs/>
                <w:color w:val="auto"/>
                <w:sz w:val="21"/>
                <w:szCs w:val="21"/>
                <w:vertAlign w:val="baseline"/>
                <w:lang w:val="en-US" w:eastAsia="zh-CN"/>
              </w:rPr>
            </w:pPr>
          </w:p>
        </w:tc>
      </w:tr>
      <w:tr w14:paraId="29C6D9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tcBorders>
              <w:top w:val="single" w:color="auto" w:sz="6" w:space="0"/>
            </w:tcBorders>
            <w:vAlign w:val="top"/>
          </w:tcPr>
          <w:p w14:paraId="46D42572">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Anxiety</w:t>
            </w:r>
          </w:p>
        </w:tc>
        <w:tc>
          <w:tcPr>
            <w:tcW w:w="1276" w:type="dxa"/>
            <w:tcBorders>
              <w:top w:val="single" w:color="auto" w:sz="6" w:space="0"/>
            </w:tcBorders>
            <w:vAlign w:val="top"/>
          </w:tcPr>
          <w:p w14:paraId="3A223389">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Seriousᵃ</w:t>
            </w:r>
          </w:p>
        </w:tc>
        <w:tc>
          <w:tcPr>
            <w:tcW w:w="1446" w:type="dxa"/>
            <w:tcBorders>
              <w:top w:val="single" w:color="auto" w:sz="6" w:space="0"/>
            </w:tcBorders>
            <w:vAlign w:val="top"/>
          </w:tcPr>
          <w:p w14:paraId="6A8A6513">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color w:val="auto"/>
                <w:sz w:val="21"/>
                <w:szCs w:val="21"/>
                <w:vertAlign w:val="baseline"/>
                <w:lang w:val="en-US" w:eastAsia="zh-CN"/>
              </w:rPr>
            </w:pPr>
            <w:r>
              <w:rPr>
                <w:rFonts w:hint="eastAsia" w:cs="Times New Roman"/>
                <w:b w:val="0"/>
                <w:color w:val="auto"/>
                <w:sz w:val="21"/>
                <w:szCs w:val="21"/>
                <w:lang w:val="en-US" w:eastAsia="zh-CN"/>
              </w:rPr>
              <w:t>Not s</w:t>
            </w:r>
            <w:r>
              <w:rPr>
                <w:rFonts w:hint="default" w:ascii="Times New Roman" w:hAnsi="Times New Roman" w:cs="Times New Roman"/>
                <w:b w:val="0"/>
                <w:color w:val="auto"/>
                <w:sz w:val="21"/>
                <w:szCs w:val="21"/>
              </w:rPr>
              <w:t>erious</w:t>
            </w:r>
            <w:r>
              <w:rPr>
                <w:rFonts w:hint="default" w:ascii="Times New Roman" w:hAnsi="Times New Roman" w:cs="Times New Roman"/>
                <w:b w:val="0"/>
                <w:color w:val="auto"/>
                <w:sz w:val="21"/>
                <w:szCs w:val="21"/>
                <w:vertAlign w:val="superscript"/>
                <w:lang w:val="en-US" w:eastAsia="zh-CN"/>
              </w:rPr>
              <w:t>b</w:t>
            </w:r>
          </w:p>
        </w:tc>
        <w:tc>
          <w:tcPr>
            <w:tcW w:w="1417" w:type="dxa"/>
            <w:tcBorders>
              <w:top w:val="single" w:color="auto" w:sz="6" w:space="0"/>
            </w:tcBorders>
            <w:vAlign w:val="top"/>
          </w:tcPr>
          <w:p w14:paraId="79DE739B">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color w:val="auto"/>
                <w:sz w:val="21"/>
                <w:szCs w:val="21"/>
                <w:lang w:val="en-US" w:eastAsia="zh-CN"/>
              </w:rPr>
              <w:t>No</w:t>
            </w:r>
            <w:r>
              <w:rPr>
                <w:rFonts w:hint="eastAsia" w:ascii="Times New Roman" w:hAnsi="Times New Roman" w:eastAsia="宋体" w:cs="Times New Roman"/>
                <w:b w:val="0"/>
                <w:color w:val="auto"/>
                <w:sz w:val="21"/>
                <w:szCs w:val="21"/>
                <w:lang w:val="en-US" w:eastAsia="zh-CN"/>
              </w:rPr>
              <w:t>t</w:t>
            </w:r>
            <w:r>
              <w:rPr>
                <w:rFonts w:hint="default" w:ascii="Times New Roman" w:hAnsi="Times New Roman" w:eastAsia="宋体" w:cs="Times New Roman"/>
                <w:b w:val="0"/>
                <w:color w:val="auto"/>
                <w:sz w:val="21"/>
                <w:szCs w:val="21"/>
                <w:lang w:val="en-US" w:eastAsia="zh-CN"/>
              </w:rPr>
              <w:t xml:space="preserve"> s</w:t>
            </w:r>
            <w:r>
              <w:rPr>
                <w:rFonts w:hint="default" w:ascii="Times New Roman" w:hAnsi="Times New Roman" w:cs="Times New Roman"/>
                <w:b w:val="0"/>
                <w:color w:val="auto"/>
                <w:sz w:val="21"/>
                <w:szCs w:val="21"/>
              </w:rPr>
              <w:t>erious</w:t>
            </w:r>
            <w:r>
              <w:rPr>
                <w:rFonts w:hint="default" w:ascii="Times New Roman" w:hAnsi="Times New Roman" w:cs="Times New Roman"/>
                <w:b w:val="0"/>
                <w:color w:val="auto"/>
                <w:sz w:val="21"/>
                <w:szCs w:val="21"/>
                <w:vertAlign w:val="superscript"/>
                <w:lang w:val="en-US" w:eastAsia="zh-CN"/>
              </w:rPr>
              <w:t>c</w:t>
            </w:r>
          </w:p>
        </w:tc>
        <w:tc>
          <w:tcPr>
            <w:tcW w:w="1417" w:type="dxa"/>
            <w:tcBorders>
              <w:top w:val="single" w:color="auto" w:sz="6" w:space="0"/>
            </w:tcBorders>
            <w:vAlign w:val="top"/>
          </w:tcPr>
          <w:p w14:paraId="2DEF5699">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color w:val="auto"/>
                <w:sz w:val="21"/>
                <w:szCs w:val="21"/>
                <w:vertAlign w:val="baseline"/>
                <w:lang w:val="en-US" w:eastAsia="zh-CN"/>
              </w:rPr>
            </w:pPr>
            <w:r>
              <w:rPr>
                <w:rFonts w:hint="eastAsia" w:cs="Times New Roman"/>
                <w:b w:val="0"/>
                <w:color w:val="auto"/>
                <w:sz w:val="21"/>
                <w:szCs w:val="21"/>
                <w:lang w:val="en-US" w:eastAsia="zh-CN"/>
              </w:rPr>
              <w:t>S</w:t>
            </w:r>
            <w:r>
              <w:rPr>
                <w:rFonts w:hint="default" w:ascii="Times New Roman" w:hAnsi="Times New Roman" w:cs="Times New Roman"/>
                <w:b w:val="0"/>
                <w:color w:val="auto"/>
                <w:sz w:val="21"/>
                <w:szCs w:val="21"/>
              </w:rPr>
              <w:t>erious</w:t>
            </w:r>
            <w:r>
              <w:rPr>
                <w:rFonts w:hint="default" w:ascii="Times New Roman" w:hAnsi="Times New Roman" w:cs="Times New Roman"/>
                <w:b w:val="0"/>
                <w:color w:val="auto"/>
                <w:sz w:val="21"/>
                <w:szCs w:val="21"/>
                <w:vertAlign w:val="superscript"/>
                <w:lang w:val="en-US" w:eastAsia="zh-CN"/>
              </w:rPr>
              <w:t>d</w:t>
            </w:r>
          </w:p>
        </w:tc>
        <w:tc>
          <w:tcPr>
            <w:tcW w:w="2835" w:type="dxa"/>
            <w:tcBorders>
              <w:top w:val="single" w:color="auto" w:sz="6" w:space="0"/>
            </w:tcBorders>
            <w:vAlign w:val="top"/>
          </w:tcPr>
          <w:p w14:paraId="2E6C5007">
            <w:pPr>
              <w:spacing w:before="0" w:after="0" w:line="228" w:lineRule="auto"/>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rPr>
              <w:t>Not serious</w:t>
            </w:r>
          </w:p>
        </w:tc>
        <w:tc>
          <w:tcPr>
            <w:tcW w:w="1899" w:type="dxa"/>
            <w:tcBorders>
              <w:top w:val="single" w:color="auto" w:sz="6" w:space="0"/>
            </w:tcBorders>
            <w:vAlign w:val="top"/>
          </w:tcPr>
          <w:p w14:paraId="214342A9">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color w:val="auto"/>
                <w:sz w:val="21"/>
                <w:szCs w:val="21"/>
                <w:vertAlign w:val="baseline"/>
                <w:lang w:val="en-US" w:eastAsia="zh-CN"/>
              </w:rPr>
            </w:pPr>
            <w:r>
              <w:rPr>
                <w:rFonts w:hint="eastAsia" w:cs="Times New Roman"/>
                <w:color w:val="auto"/>
                <w:sz w:val="21"/>
                <w:szCs w:val="21"/>
                <w:vertAlign w:val="baseline"/>
                <w:lang w:val="en-US" w:eastAsia="zh-CN"/>
              </w:rPr>
              <w:t>535</w:t>
            </w:r>
            <w:r>
              <w:rPr>
                <w:rFonts w:hint="default" w:ascii="Times New Roman" w:hAnsi="Times New Roman" w:cs="Times New Roman"/>
                <w:color w:val="auto"/>
                <w:sz w:val="21"/>
                <w:szCs w:val="21"/>
                <w:vertAlign w:val="baseline"/>
                <w:lang w:val="en-US" w:eastAsia="zh-CN"/>
              </w:rPr>
              <w:t xml:space="preserve"> (</w:t>
            </w:r>
            <w:r>
              <w:rPr>
                <w:rFonts w:hint="eastAsia" w:cs="Times New Roman"/>
                <w:color w:val="auto"/>
                <w:sz w:val="21"/>
                <w:szCs w:val="21"/>
                <w:vertAlign w:val="baseline"/>
                <w:lang w:val="en-US" w:eastAsia="zh-CN"/>
              </w:rPr>
              <w:t>13</w:t>
            </w:r>
            <w:r>
              <w:rPr>
                <w:rFonts w:hint="default" w:ascii="Times New Roman" w:hAnsi="Times New Roman" w:cs="Times New Roman"/>
                <w:color w:val="auto"/>
                <w:sz w:val="21"/>
                <w:szCs w:val="21"/>
                <w:vertAlign w:val="baseline"/>
                <w:lang w:val="en-US" w:eastAsia="zh-CN"/>
              </w:rPr>
              <w:t>)</w:t>
            </w:r>
          </w:p>
        </w:tc>
        <w:tc>
          <w:tcPr>
            <w:tcW w:w="2126" w:type="dxa"/>
            <w:tcBorders>
              <w:top w:val="single" w:color="auto" w:sz="6" w:space="0"/>
            </w:tcBorders>
            <w:vAlign w:val="top"/>
          </w:tcPr>
          <w:p w14:paraId="6B15DD46">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i w:val="0"/>
                <w:iCs w:val="0"/>
                <w:color w:val="auto"/>
                <w:kern w:val="0"/>
                <w:sz w:val="21"/>
                <w:szCs w:val="21"/>
                <w:highlight w:val="none"/>
                <w:u w:val="none"/>
                <w:lang w:val="en-US" w:eastAsia="zh-CN" w:bidi="ar"/>
              </w:rPr>
              <w:t>0.</w:t>
            </w:r>
            <w:r>
              <w:rPr>
                <w:rFonts w:hint="default" w:ascii="Times New Roman" w:hAnsi="Times New Roman" w:cs="Times New Roman"/>
                <w:i w:val="0"/>
                <w:iCs w:val="0"/>
                <w:color w:val="auto"/>
                <w:kern w:val="0"/>
                <w:sz w:val="21"/>
                <w:szCs w:val="21"/>
                <w:highlight w:val="none"/>
                <w:u w:val="none"/>
                <w:lang w:val="en-US" w:eastAsia="zh-CN" w:bidi="ar"/>
              </w:rPr>
              <w:t xml:space="preserve">39 </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i w:val="0"/>
                <w:iCs w:val="0"/>
                <w:color w:val="auto"/>
                <w:kern w:val="0"/>
                <w:sz w:val="21"/>
                <w:szCs w:val="21"/>
                <w:highlight w:val="none"/>
                <w:u w:val="none"/>
                <w:lang w:val="en-US" w:eastAsia="zh-CN" w:bidi="ar"/>
              </w:rPr>
              <w:t>0.</w:t>
            </w:r>
            <w:r>
              <w:rPr>
                <w:rFonts w:hint="default" w:ascii="Times New Roman" w:hAnsi="Times New Roman" w:cs="Times New Roman"/>
                <w:i w:val="0"/>
                <w:iCs w:val="0"/>
                <w:color w:val="auto"/>
                <w:kern w:val="0"/>
                <w:sz w:val="21"/>
                <w:szCs w:val="21"/>
                <w:highlight w:val="none"/>
                <w:u w:val="none"/>
                <w:lang w:val="en-US" w:eastAsia="zh-CN" w:bidi="ar"/>
              </w:rPr>
              <w:t>64</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i w:val="0"/>
                <w:iCs w:val="0"/>
                <w:color w:val="auto"/>
                <w:kern w:val="0"/>
                <w:sz w:val="21"/>
                <w:szCs w:val="21"/>
                <w:highlight w:val="none"/>
                <w:u w:val="none"/>
                <w:lang w:val="en-US" w:eastAsia="zh-CN" w:bidi="ar"/>
              </w:rPr>
              <w:t>0.</w:t>
            </w:r>
            <w:r>
              <w:rPr>
                <w:rFonts w:hint="default" w:ascii="Times New Roman" w:hAnsi="Times New Roman" w:cs="Times New Roman"/>
                <w:i w:val="0"/>
                <w:iCs w:val="0"/>
                <w:color w:val="auto"/>
                <w:kern w:val="0"/>
                <w:sz w:val="21"/>
                <w:szCs w:val="21"/>
                <w:highlight w:val="none"/>
                <w:u w:val="none"/>
                <w:lang w:val="en-US" w:eastAsia="zh-CN" w:bidi="ar"/>
              </w:rPr>
              <w:t>15</w:t>
            </w: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984" w:type="dxa"/>
            <w:tcBorders>
              <w:top w:val="single" w:color="auto" w:sz="6" w:space="0"/>
            </w:tcBorders>
            <w:vAlign w:val="top"/>
          </w:tcPr>
          <w:p w14:paraId="27E156E2">
            <w:pPr>
              <w:spacing w:line="240" w:lineRule="auto"/>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b w:val="0"/>
                <w:color w:val="auto"/>
                <w:sz w:val="21"/>
                <w:szCs w:val="21"/>
                <w:lang w:val="en-US" w:eastAsia="zh-CN"/>
              </w:rPr>
              <w:t>⨁⨁</w:t>
            </w:r>
            <w:r>
              <w:rPr>
                <w:rFonts w:hint="default" w:ascii="Times New Roman" w:hAnsi="Times New Roman" w:cs="Times New Roman"/>
                <w:b w:val="0"/>
                <w:color w:val="auto"/>
                <w:sz w:val="21"/>
                <w:szCs w:val="21"/>
                <w:lang w:val="en-US" w:eastAsia="zh-CN"/>
              </w:rPr>
              <w:sym w:font="Wingdings" w:char="F0A1"/>
            </w:r>
            <w:r>
              <w:rPr>
                <w:rFonts w:hint="default" w:ascii="Times New Roman" w:hAnsi="Times New Roman" w:cs="Times New Roman"/>
                <w:b w:val="0"/>
                <w:color w:val="auto"/>
                <w:sz w:val="21"/>
                <w:szCs w:val="21"/>
                <w:lang w:val="en-US" w:eastAsia="zh-CN"/>
              </w:rPr>
              <w:sym w:font="Wingdings" w:char="F0A1"/>
            </w:r>
            <w:r>
              <w:rPr>
                <w:rFonts w:hint="eastAsia" w:ascii="Times New Roman" w:hAnsi="Times New Roman" w:cs="Times New Roman"/>
                <w:b w:val="0"/>
                <w:color w:val="auto"/>
                <w:sz w:val="21"/>
                <w:szCs w:val="21"/>
                <w:lang w:val="en-US" w:eastAsia="zh-CN"/>
              </w:rPr>
              <w:t xml:space="preserve"> </w:t>
            </w:r>
            <w:r>
              <w:rPr>
                <w:rFonts w:hint="default" w:ascii="Times New Roman" w:hAnsi="Times New Roman" w:cs="Times New Roman"/>
                <w:b w:val="0"/>
                <w:color w:val="auto"/>
                <w:sz w:val="21"/>
                <w:szCs w:val="21"/>
                <w:lang w:val="en-US" w:eastAsia="zh-CN"/>
              </w:rPr>
              <w:t>Low</w:t>
            </w:r>
          </w:p>
        </w:tc>
      </w:tr>
      <w:tr w14:paraId="16A2F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vAlign w:val="top"/>
          </w:tcPr>
          <w:p w14:paraId="20E44764">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Depression</w:t>
            </w:r>
          </w:p>
        </w:tc>
        <w:tc>
          <w:tcPr>
            <w:tcW w:w="1276" w:type="dxa"/>
            <w:vAlign w:val="top"/>
          </w:tcPr>
          <w:p w14:paraId="2874912C">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Seriousᵃ</w:t>
            </w:r>
          </w:p>
        </w:tc>
        <w:tc>
          <w:tcPr>
            <w:tcW w:w="1446" w:type="dxa"/>
            <w:vAlign w:val="top"/>
          </w:tcPr>
          <w:p w14:paraId="046BD6AE">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b w:val="0"/>
                <w:color w:val="auto"/>
                <w:sz w:val="21"/>
                <w:szCs w:val="21"/>
                <w:lang w:val="en-US" w:eastAsia="zh-CN"/>
              </w:rPr>
              <w:t>No</w:t>
            </w:r>
            <w:r>
              <w:rPr>
                <w:rFonts w:hint="eastAsia" w:ascii="Times New Roman" w:hAnsi="Times New Roman" w:eastAsia="宋体" w:cs="Times New Roman"/>
                <w:b w:val="0"/>
                <w:color w:val="auto"/>
                <w:sz w:val="21"/>
                <w:szCs w:val="21"/>
                <w:lang w:val="en-US" w:eastAsia="zh-CN"/>
              </w:rPr>
              <w:t>t</w:t>
            </w:r>
            <w:r>
              <w:rPr>
                <w:rFonts w:hint="default" w:ascii="Times New Roman" w:hAnsi="Times New Roman" w:eastAsia="宋体" w:cs="Times New Roman"/>
                <w:b w:val="0"/>
                <w:color w:val="auto"/>
                <w:sz w:val="21"/>
                <w:szCs w:val="21"/>
                <w:lang w:val="en-US" w:eastAsia="zh-CN"/>
              </w:rPr>
              <w:t xml:space="preserve"> s</w:t>
            </w:r>
            <w:r>
              <w:rPr>
                <w:rFonts w:hint="default" w:ascii="Times New Roman" w:hAnsi="Times New Roman" w:cs="Times New Roman"/>
                <w:b w:val="0"/>
                <w:color w:val="auto"/>
                <w:sz w:val="21"/>
                <w:szCs w:val="21"/>
              </w:rPr>
              <w:t>erious</w:t>
            </w:r>
          </w:p>
        </w:tc>
        <w:tc>
          <w:tcPr>
            <w:tcW w:w="1417" w:type="dxa"/>
            <w:vAlign w:val="top"/>
          </w:tcPr>
          <w:p w14:paraId="475F4D59">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color w:val="auto"/>
                <w:sz w:val="21"/>
                <w:szCs w:val="21"/>
                <w:lang w:val="en-US" w:eastAsia="zh-CN"/>
              </w:rPr>
              <w:t>No</w:t>
            </w:r>
            <w:r>
              <w:rPr>
                <w:rFonts w:hint="eastAsia" w:ascii="Times New Roman" w:hAnsi="Times New Roman" w:eastAsia="宋体" w:cs="Times New Roman"/>
                <w:b w:val="0"/>
                <w:color w:val="auto"/>
                <w:sz w:val="21"/>
                <w:szCs w:val="21"/>
                <w:lang w:val="en-US" w:eastAsia="zh-CN"/>
              </w:rPr>
              <w:t>t</w:t>
            </w:r>
            <w:r>
              <w:rPr>
                <w:rFonts w:hint="default" w:ascii="Times New Roman" w:hAnsi="Times New Roman" w:eastAsia="宋体" w:cs="Times New Roman"/>
                <w:b w:val="0"/>
                <w:color w:val="auto"/>
                <w:sz w:val="21"/>
                <w:szCs w:val="21"/>
                <w:lang w:val="en-US" w:eastAsia="zh-CN"/>
              </w:rPr>
              <w:t xml:space="preserve"> s</w:t>
            </w:r>
            <w:r>
              <w:rPr>
                <w:rFonts w:hint="default" w:ascii="Times New Roman" w:hAnsi="Times New Roman" w:cs="Times New Roman"/>
                <w:b w:val="0"/>
                <w:color w:val="auto"/>
                <w:sz w:val="21"/>
                <w:szCs w:val="21"/>
              </w:rPr>
              <w:t>erious</w:t>
            </w:r>
            <w:r>
              <w:rPr>
                <w:rFonts w:hint="default" w:ascii="Times New Roman" w:hAnsi="Times New Roman" w:cs="Times New Roman"/>
                <w:b w:val="0"/>
                <w:color w:val="auto"/>
                <w:sz w:val="21"/>
                <w:szCs w:val="21"/>
                <w:vertAlign w:val="superscript"/>
                <w:lang w:val="en-US" w:eastAsia="zh-CN"/>
              </w:rPr>
              <w:t>c</w:t>
            </w:r>
          </w:p>
        </w:tc>
        <w:tc>
          <w:tcPr>
            <w:tcW w:w="1417" w:type="dxa"/>
            <w:vAlign w:val="top"/>
          </w:tcPr>
          <w:p w14:paraId="1024EB86">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eastAsiaTheme="minorEastAsia"/>
                <w:color w:val="auto"/>
                <w:sz w:val="21"/>
                <w:szCs w:val="21"/>
                <w:vertAlign w:val="baseline"/>
                <w:lang w:val="en-US" w:eastAsia="zh-CN"/>
              </w:rPr>
            </w:pPr>
            <w:r>
              <w:rPr>
                <w:rFonts w:hint="default" w:ascii="Times New Roman" w:hAnsi="Times New Roman" w:eastAsia="宋体" w:cs="Times New Roman"/>
                <w:b w:val="0"/>
                <w:color w:val="auto"/>
                <w:sz w:val="21"/>
                <w:szCs w:val="21"/>
                <w:lang w:val="en-US" w:eastAsia="zh-CN"/>
              </w:rPr>
              <w:t>S</w:t>
            </w:r>
            <w:r>
              <w:rPr>
                <w:rFonts w:hint="default" w:ascii="Times New Roman" w:hAnsi="Times New Roman" w:cs="Times New Roman"/>
                <w:b w:val="0"/>
                <w:color w:val="auto"/>
                <w:sz w:val="21"/>
                <w:szCs w:val="21"/>
              </w:rPr>
              <w:t>erious</w:t>
            </w:r>
            <w:r>
              <w:rPr>
                <w:rFonts w:hint="default" w:ascii="Times New Roman" w:hAnsi="Times New Roman" w:cs="Times New Roman"/>
                <w:b w:val="0"/>
                <w:color w:val="auto"/>
                <w:sz w:val="21"/>
                <w:szCs w:val="21"/>
                <w:vertAlign w:val="superscript"/>
                <w:lang w:val="en-US" w:eastAsia="zh-CN"/>
              </w:rPr>
              <w:t>e</w:t>
            </w:r>
          </w:p>
        </w:tc>
        <w:tc>
          <w:tcPr>
            <w:tcW w:w="2835" w:type="dxa"/>
            <w:vAlign w:val="top"/>
          </w:tcPr>
          <w:p w14:paraId="230C8044">
            <w:pPr>
              <w:spacing w:before="0" w:after="0" w:line="228" w:lineRule="auto"/>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rPr>
              <w:t>Not serious</w:t>
            </w:r>
          </w:p>
        </w:tc>
        <w:tc>
          <w:tcPr>
            <w:tcW w:w="1899" w:type="dxa"/>
            <w:vAlign w:val="top"/>
          </w:tcPr>
          <w:p w14:paraId="25C79BCD">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color w:val="auto"/>
                <w:sz w:val="21"/>
                <w:szCs w:val="21"/>
                <w:vertAlign w:val="baseline"/>
                <w:lang w:val="en-US" w:eastAsia="zh-CN"/>
              </w:rPr>
            </w:pPr>
            <w:r>
              <w:rPr>
                <w:rFonts w:hint="eastAsia" w:cs="Times New Roman"/>
                <w:color w:val="auto"/>
                <w:sz w:val="21"/>
                <w:szCs w:val="21"/>
                <w:vertAlign w:val="baseline"/>
                <w:lang w:val="en-US" w:eastAsia="zh-CN"/>
              </w:rPr>
              <w:t>329</w:t>
            </w:r>
            <w:r>
              <w:rPr>
                <w:rFonts w:hint="default" w:ascii="Times New Roman" w:hAnsi="Times New Roman" w:cs="Times New Roman"/>
                <w:color w:val="auto"/>
                <w:sz w:val="21"/>
                <w:szCs w:val="21"/>
                <w:vertAlign w:val="baseline"/>
                <w:lang w:val="en-US" w:eastAsia="zh-CN"/>
              </w:rPr>
              <w:t xml:space="preserve"> (</w:t>
            </w:r>
            <w:r>
              <w:rPr>
                <w:rFonts w:hint="eastAsia" w:cs="Times New Roman"/>
                <w:color w:val="auto"/>
                <w:sz w:val="21"/>
                <w:szCs w:val="21"/>
                <w:vertAlign w:val="baseline"/>
                <w:lang w:val="en-US" w:eastAsia="zh-CN"/>
              </w:rPr>
              <w:t>10</w:t>
            </w:r>
            <w:r>
              <w:rPr>
                <w:rFonts w:hint="default" w:ascii="Times New Roman" w:hAnsi="Times New Roman" w:cs="Times New Roman"/>
                <w:color w:val="auto"/>
                <w:sz w:val="21"/>
                <w:szCs w:val="21"/>
                <w:vertAlign w:val="baseline"/>
                <w:lang w:val="en-US" w:eastAsia="zh-CN"/>
              </w:rPr>
              <w:t>)</w:t>
            </w:r>
          </w:p>
        </w:tc>
        <w:tc>
          <w:tcPr>
            <w:tcW w:w="2126" w:type="dxa"/>
            <w:vAlign w:val="top"/>
          </w:tcPr>
          <w:p w14:paraId="0531E2E3">
            <w:pPr>
              <w:spacing w:beforeLines="0" w:afterLines="0" w:line="240" w:lineRule="auto"/>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w:t>
            </w:r>
            <w:r>
              <w:rPr>
                <w:rFonts w:hint="default" w:ascii="Times New Roman" w:hAnsi="Times New Roman" w:cs="Times New Roman"/>
                <w:i w:val="0"/>
                <w:iCs w:val="0"/>
                <w:color w:val="auto"/>
                <w:kern w:val="0"/>
                <w:sz w:val="21"/>
                <w:szCs w:val="21"/>
                <w:highlight w:val="none"/>
                <w:u w:val="none"/>
                <w:lang w:val="en-US" w:eastAsia="zh-CN" w:bidi="ar"/>
              </w:rPr>
              <w:t>33</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(−0.</w:t>
            </w:r>
            <w:r>
              <w:rPr>
                <w:rFonts w:hint="default" w:ascii="Times New Roman" w:hAnsi="Times New Roman" w:cs="Times New Roman"/>
                <w:i w:val="0"/>
                <w:iCs w:val="0"/>
                <w:color w:val="auto"/>
                <w:kern w:val="0"/>
                <w:sz w:val="21"/>
                <w:szCs w:val="21"/>
                <w:highlight w:val="none"/>
                <w:u w:val="none"/>
                <w:lang w:val="en-US" w:eastAsia="zh-CN" w:bidi="ar"/>
              </w:rPr>
              <w:t>66</w:t>
            </w:r>
            <w:r>
              <w:rPr>
                <w:rFonts w:hint="default" w:ascii="Times New Roman" w:hAnsi="Times New Roman" w:eastAsia="宋体" w:cs="Times New Roman"/>
                <w:i w:val="0"/>
                <w:iCs w:val="0"/>
                <w:color w:val="auto"/>
                <w:kern w:val="0"/>
                <w:sz w:val="21"/>
                <w:szCs w:val="21"/>
                <w:highlight w:val="none"/>
                <w:u w:val="none"/>
                <w:lang w:val="en-US" w:eastAsia="zh-CN" w:bidi="ar"/>
              </w:rPr>
              <w:t>, −0.</w:t>
            </w:r>
            <w:r>
              <w:rPr>
                <w:rFonts w:hint="default" w:ascii="Times New Roman" w:hAnsi="Times New Roman" w:cs="Times New Roman"/>
                <w:i w:val="0"/>
                <w:iCs w:val="0"/>
                <w:color w:val="auto"/>
                <w:kern w:val="0"/>
                <w:sz w:val="21"/>
                <w:szCs w:val="21"/>
                <w:highlight w:val="none"/>
                <w:u w:val="none"/>
                <w:lang w:val="en-US" w:eastAsia="zh-CN" w:bidi="ar"/>
              </w:rPr>
              <w:t>002</w:t>
            </w: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984" w:type="dxa"/>
            <w:vAlign w:val="top"/>
          </w:tcPr>
          <w:p w14:paraId="5A6A174E">
            <w:pPr>
              <w:spacing w:line="240" w:lineRule="auto"/>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b w:val="0"/>
                <w:color w:val="auto"/>
                <w:sz w:val="21"/>
                <w:szCs w:val="21"/>
                <w:lang w:val="en-US" w:eastAsia="zh-CN"/>
              </w:rPr>
              <w:t>⨁⨁</w:t>
            </w:r>
            <w:r>
              <w:rPr>
                <w:rFonts w:hint="default" w:ascii="Times New Roman" w:hAnsi="Times New Roman" w:cs="Times New Roman"/>
                <w:b w:val="0"/>
                <w:color w:val="auto"/>
                <w:sz w:val="21"/>
                <w:szCs w:val="21"/>
                <w:lang w:val="en-US" w:eastAsia="zh-CN"/>
              </w:rPr>
              <w:sym w:font="Wingdings" w:char="F0A1"/>
            </w:r>
            <w:r>
              <w:rPr>
                <w:rFonts w:hint="default" w:ascii="Times New Roman" w:hAnsi="Times New Roman" w:cs="Times New Roman"/>
                <w:b w:val="0"/>
                <w:color w:val="auto"/>
                <w:sz w:val="21"/>
                <w:szCs w:val="21"/>
                <w:lang w:val="en-US" w:eastAsia="zh-CN"/>
              </w:rPr>
              <w:sym w:font="Wingdings" w:char="F0A1"/>
            </w:r>
            <w:r>
              <w:rPr>
                <w:rFonts w:hint="eastAsia" w:ascii="Times New Roman" w:hAnsi="Times New Roman" w:cs="Times New Roman"/>
                <w:b w:val="0"/>
                <w:color w:val="auto"/>
                <w:sz w:val="21"/>
                <w:szCs w:val="21"/>
                <w:lang w:val="en-US" w:eastAsia="zh-CN"/>
              </w:rPr>
              <w:t xml:space="preserve"> </w:t>
            </w:r>
            <w:r>
              <w:rPr>
                <w:rFonts w:hint="default" w:ascii="Times New Roman" w:hAnsi="Times New Roman" w:cs="Times New Roman"/>
                <w:b w:val="0"/>
                <w:color w:val="auto"/>
                <w:sz w:val="21"/>
                <w:szCs w:val="21"/>
                <w:lang w:val="en-US" w:eastAsia="zh-CN"/>
              </w:rPr>
              <w:t>Low</w:t>
            </w:r>
          </w:p>
        </w:tc>
      </w:tr>
      <w:tr w14:paraId="6D325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vAlign w:val="top"/>
          </w:tcPr>
          <w:p w14:paraId="2FF39B04">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Stress</w:t>
            </w:r>
          </w:p>
        </w:tc>
        <w:tc>
          <w:tcPr>
            <w:tcW w:w="1276" w:type="dxa"/>
            <w:vAlign w:val="top"/>
          </w:tcPr>
          <w:p w14:paraId="7723DDCF">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Seriousᵃ</w:t>
            </w:r>
          </w:p>
        </w:tc>
        <w:tc>
          <w:tcPr>
            <w:tcW w:w="1446" w:type="dxa"/>
            <w:vAlign w:val="top"/>
          </w:tcPr>
          <w:p w14:paraId="113BA7BE">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color w:val="auto"/>
                <w:sz w:val="21"/>
                <w:szCs w:val="21"/>
                <w:lang w:val="en-US" w:eastAsia="zh-CN"/>
              </w:rPr>
              <w:t>S</w:t>
            </w:r>
            <w:r>
              <w:rPr>
                <w:rFonts w:hint="default" w:ascii="Times New Roman" w:hAnsi="Times New Roman" w:cs="Times New Roman"/>
                <w:b w:val="0"/>
                <w:color w:val="auto"/>
                <w:sz w:val="21"/>
                <w:szCs w:val="21"/>
              </w:rPr>
              <w:t>erious</w:t>
            </w:r>
            <w:r>
              <w:rPr>
                <w:rFonts w:hint="default" w:ascii="Times New Roman" w:hAnsi="Times New Roman" w:cs="Times New Roman"/>
                <w:b w:val="0"/>
                <w:color w:val="auto"/>
                <w:sz w:val="21"/>
                <w:szCs w:val="21"/>
                <w:vertAlign w:val="superscript"/>
                <w:lang w:val="en-US" w:eastAsia="zh-CN"/>
              </w:rPr>
              <w:t>b</w:t>
            </w:r>
          </w:p>
        </w:tc>
        <w:tc>
          <w:tcPr>
            <w:tcW w:w="1417" w:type="dxa"/>
            <w:vAlign w:val="top"/>
          </w:tcPr>
          <w:p w14:paraId="5A34A4AB">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color w:val="auto"/>
                <w:sz w:val="21"/>
                <w:szCs w:val="21"/>
                <w:lang w:val="en-US" w:eastAsia="zh-CN"/>
              </w:rPr>
              <w:t>No</w:t>
            </w:r>
            <w:r>
              <w:rPr>
                <w:rFonts w:hint="eastAsia" w:ascii="Times New Roman" w:hAnsi="Times New Roman" w:eastAsia="宋体" w:cs="Times New Roman"/>
                <w:b w:val="0"/>
                <w:color w:val="auto"/>
                <w:sz w:val="21"/>
                <w:szCs w:val="21"/>
                <w:lang w:val="en-US" w:eastAsia="zh-CN"/>
              </w:rPr>
              <w:t>t</w:t>
            </w:r>
            <w:r>
              <w:rPr>
                <w:rFonts w:hint="default" w:ascii="Times New Roman" w:hAnsi="Times New Roman" w:eastAsia="宋体" w:cs="Times New Roman"/>
                <w:b w:val="0"/>
                <w:color w:val="auto"/>
                <w:sz w:val="21"/>
                <w:szCs w:val="21"/>
                <w:lang w:val="en-US" w:eastAsia="zh-CN"/>
              </w:rPr>
              <w:t xml:space="preserve"> s</w:t>
            </w:r>
            <w:r>
              <w:rPr>
                <w:rFonts w:hint="default" w:ascii="Times New Roman" w:hAnsi="Times New Roman" w:cs="Times New Roman"/>
                <w:b w:val="0"/>
                <w:color w:val="auto"/>
                <w:sz w:val="21"/>
                <w:szCs w:val="21"/>
              </w:rPr>
              <w:t>erious</w:t>
            </w:r>
            <w:r>
              <w:rPr>
                <w:rFonts w:hint="default" w:ascii="Times New Roman" w:hAnsi="Times New Roman" w:cs="Times New Roman"/>
                <w:b w:val="0"/>
                <w:color w:val="auto"/>
                <w:sz w:val="21"/>
                <w:szCs w:val="21"/>
                <w:vertAlign w:val="superscript"/>
                <w:lang w:val="en-US" w:eastAsia="zh-CN"/>
              </w:rPr>
              <w:t>c</w:t>
            </w:r>
          </w:p>
        </w:tc>
        <w:tc>
          <w:tcPr>
            <w:tcW w:w="1417" w:type="dxa"/>
            <w:vAlign w:val="top"/>
          </w:tcPr>
          <w:p w14:paraId="3924B7C0">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color w:val="auto"/>
                <w:sz w:val="21"/>
                <w:szCs w:val="21"/>
                <w:lang w:val="en-US" w:eastAsia="zh-CN"/>
              </w:rPr>
              <w:t>S</w:t>
            </w:r>
            <w:r>
              <w:rPr>
                <w:rFonts w:hint="default" w:ascii="Times New Roman" w:hAnsi="Times New Roman" w:cs="Times New Roman"/>
                <w:b w:val="0"/>
                <w:color w:val="auto"/>
                <w:sz w:val="21"/>
                <w:szCs w:val="21"/>
              </w:rPr>
              <w:t>erious</w:t>
            </w:r>
            <w:r>
              <w:rPr>
                <w:rFonts w:hint="default" w:ascii="Times New Roman" w:hAnsi="Times New Roman" w:cs="Times New Roman"/>
                <w:b w:val="0"/>
                <w:color w:val="auto"/>
                <w:sz w:val="21"/>
                <w:szCs w:val="21"/>
                <w:vertAlign w:val="superscript"/>
                <w:lang w:val="en-US" w:eastAsia="zh-CN"/>
              </w:rPr>
              <w:t>e</w:t>
            </w:r>
          </w:p>
        </w:tc>
        <w:tc>
          <w:tcPr>
            <w:tcW w:w="2835" w:type="dxa"/>
            <w:vAlign w:val="top"/>
          </w:tcPr>
          <w:p w14:paraId="77BCF635">
            <w:pPr>
              <w:spacing w:before="0" w:after="0" w:line="228" w:lineRule="auto"/>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rPr>
              <w:t>Not downgraded; not formally assessed (k&lt;10)</w:t>
            </w:r>
          </w:p>
        </w:tc>
        <w:tc>
          <w:tcPr>
            <w:tcW w:w="1899" w:type="dxa"/>
            <w:vAlign w:val="top"/>
          </w:tcPr>
          <w:p w14:paraId="1C6E0F80">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157 (6)</w:t>
            </w:r>
          </w:p>
        </w:tc>
        <w:tc>
          <w:tcPr>
            <w:tcW w:w="2126" w:type="dxa"/>
            <w:vAlign w:val="top"/>
          </w:tcPr>
          <w:p w14:paraId="7DFE44EC">
            <w:pPr>
              <w:spacing w:beforeLines="0" w:afterLines="0" w:line="240" w:lineRule="auto"/>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−0.47 (−1.</w:t>
            </w:r>
            <w:r>
              <w:rPr>
                <w:rFonts w:hint="default" w:ascii="Times New Roman" w:hAnsi="Times New Roman" w:cs="Times New Roman"/>
                <w:i w:val="0"/>
                <w:iCs w:val="0"/>
                <w:color w:val="auto"/>
                <w:kern w:val="0"/>
                <w:sz w:val="21"/>
                <w:szCs w:val="21"/>
                <w:highlight w:val="none"/>
                <w:u w:val="none"/>
                <w:lang w:val="en-US" w:eastAsia="zh-CN" w:bidi="ar"/>
              </w:rPr>
              <w:t>32</w:t>
            </w:r>
            <w:r>
              <w:rPr>
                <w:rFonts w:hint="default" w:ascii="Times New Roman" w:hAnsi="Times New Roman" w:eastAsia="宋体" w:cs="Times New Roman"/>
                <w:i w:val="0"/>
                <w:iCs w:val="0"/>
                <w:color w:val="auto"/>
                <w:kern w:val="0"/>
                <w:sz w:val="21"/>
                <w:szCs w:val="21"/>
                <w:highlight w:val="none"/>
                <w:u w:val="none"/>
                <w:lang w:val="en-US" w:eastAsia="zh-CN" w:bidi="ar"/>
              </w:rPr>
              <w:t>, 0.</w:t>
            </w:r>
            <w:r>
              <w:rPr>
                <w:rFonts w:hint="default" w:ascii="Times New Roman" w:hAnsi="Times New Roman" w:cs="Times New Roman"/>
                <w:i w:val="0"/>
                <w:iCs w:val="0"/>
                <w:color w:val="auto"/>
                <w:kern w:val="0"/>
                <w:sz w:val="21"/>
                <w:szCs w:val="21"/>
                <w:highlight w:val="none"/>
                <w:u w:val="none"/>
                <w:lang w:val="en-US" w:eastAsia="zh-CN" w:bidi="ar"/>
              </w:rPr>
              <w:t>39</w:t>
            </w: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984" w:type="dxa"/>
            <w:vAlign w:val="top"/>
          </w:tcPr>
          <w:p w14:paraId="72B39C03">
            <w:pPr>
              <w:spacing w:line="240" w:lineRule="auto"/>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b w:val="0"/>
                <w:color w:val="auto"/>
                <w:sz w:val="21"/>
                <w:szCs w:val="21"/>
                <w:lang w:val="en-US" w:eastAsia="zh-CN"/>
              </w:rPr>
              <w:t>⨁</w:t>
            </w:r>
            <w:r>
              <w:rPr>
                <w:rFonts w:hint="default" w:ascii="Times New Roman" w:hAnsi="Times New Roman" w:cs="Times New Roman"/>
                <w:b w:val="0"/>
                <w:color w:val="auto"/>
                <w:sz w:val="21"/>
                <w:szCs w:val="21"/>
                <w:lang w:val="en-US" w:eastAsia="zh-CN"/>
              </w:rPr>
              <w:sym w:font="Wingdings" w:char="F0A1"/>
            </w:r>
            <w:r>
              <w:rPr>
                <w:rFonts w:hint="default" w:ascii="Times New Roman" w:hAnsi="Times New Roman" w:cs="Times New Roman"/>
                <w:b w:val="0"/>
                <w:color w:val="auto"/>
                <w:sz w:val="21"/>
                <w:szCs w:val="21"/>
                <w:lang w:val="en-US" w:eastAsia="zh-CN"/>
              </w:rPr>
              <w:sym w:font="Wingdings" w:char="F0A1"/>
            </w:r>
            <w:r>
              <w:rPr>
                <w:rFonts w:hint="default" w:ascii="Times New Roman" w:hAnsi="Times New Roman" w:cs="Times New Roman"/>
                <w:b w:val="0"/>
                <w:color w:val="auto"/>
                <w:sz w:val="21"/>
                <w:szCs w:val="21"/>
                <w:lang w:val="en-US" w:eastAsia="zh-CN"/>
              </w:rPr>
              <w:sym w:font="Wingdings" w:char="F0A1"/>
            </w:r>
            <w:r>
              <w:rPr>
                <w:rFonts w:hint="eastAsia" w:ascii="Times New Roman" w:hAnsi="Times New Roman" w:cs="Times New Roman"/>
                <w:b w:val="0"/>
                <w:color w:val="auto"/>
                <w:sz w:val="21"/>
                <w:szCs w:val="21"/>
                <w:lang w:val="en-US" w:eastAsia="zh-CN"/>
              </w:rPr>
              <w:t xml:space="preserve"> </w:t>
            </w:r>
            <w:r>
              <w:rPr>
                <w:rFonts w:hint="default" w:ascii="Times New Roman" w:hAnsi="Times New Roman" w:cs="Times New Roman"/>
                <w:b w:val="0"/>
                <w:color w:val="auto"/>
                <w:sz w:val="21"/>
                <w:szCs w:val="21"/>
                <w:lang w:val="en-US" w:eastAsia="zh-CN"/>
              </w:rPr>
              <w:t>Very low</w:t>
            </w:r>
          </w:p>
        </w:tc>
      </w:tr>
      <w:tr w14:paraId="23FC0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vAlign w:val="top"/>
          </w:tcPr>
          <w:p w14:paraId="7504932B">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both"/>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Mindfulness</w:t>
            </w:r>
          </w:p>
        </w:tc>
        <w:tc>
          <w:tcPr>
            <w:tcW w:w="1276" w:type="dxa"/>
            <w:vAlign w:val="top"/>
          </w:tcPr>
          <w:p w14:paraId="64FB5AE0">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Seriousᵃ</w:t>
            </w:r>
          </w:p>
        </w:tc>
        <w:tc>
          <w:tcPr>
            <w:tcW w:w="1446" w:type="dxa"/>
            <w:vAlign w:val="top"/>
          </w:tcPr>
          <w:p w14:paraId="2F429470">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color w:val="auto"/>
                <w:sz w:val="21"/>
                <w:szCs w:val="21"/>
                <w:lang w:val="en-US" w:eastAsia="zh-CN"/>
              </w:rPr>
              <w:t>No</w:t>
            </w:r>
            <w:r>
              <w:rPr>
                <w:rFonts w:hint="eastAsia" w:ascii="Times New Roman" w:hAnsi="Times New Roman" w:eastAsia="宋体" w:cs="Times New Roman"/>
                <w:b w:val="0"/>
                <w:color w:val="auto"/>
                <w:sz w:val="21"/>
                <w:szCs w:val="21"/>
                <w:lang w:val="en-US" w:eastAsia="zh-CN"/>
              </w:rPr>
              <w:t>t</w:t>
            </w:r>
            <w:r>
              <w:rPr>
                <w:rFonts w:hint="default" w:ascii="Times New Roman" w:hAnsi="Times New Roman" w:eastAsia="宋体" w:cs="Times New Roman"/>
                <w:b w:val="0"/>
                <w:color w:val="auto"/>
                <w:sz w:val="21"/>
                <w:szCs w:val="21"/>
                <w:lang w:val="en-US" w:eastAsia="zh-CN"/>
              </w:rPr>
              <w:t xml:space="preserve"> s</w:t>
            </w:r>
            <w:r>
              <w:rPr>
                <w:rFonts w:hint="default" w:ascii="Times New Roman" w:hAnsi="Times New Roman" w:cs="Times New Roman"/>
                <w:b w:val="0"/>
                <w:color w:val="auto"/>
                <w:sz w:val="21"/>
                <w:szCs w:val="21"/>
              </w:rPr>
              <w:t>erious</w:t>
            </w:r>
          </w:p>
        </w:tc>
        <w:tc>
          <w:tcPr>
            <w:tcW w:w="1417" w:type="dxa"/>
            <w:vAlign w:val="top"/>
          </w:tcPr>
          <w:p w14:paraId="098DF106">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color w:val="auto"/>
                <w:sz w:val="21"/>
                <w:szCs w:val="21"/>
                <w:lang w:val="en-US" w:eastAsia="zh-CN"/>
              </w:rPr>
              <w:t>No</w:t>
            </w:r>
            <w:r>
              <w:rPr>
                <w:rFonts w:hint="eastAsia" w:ascii="Times New Roman" w:hAnsi="Times New Roman" w:eastAsia="宋体" w:cs="Times New Roman"/>
                <w:b w:val="0"/>
                <w:color w:val="auto"/>
                <w:sz w:val="21"/>
                <w:szCs w:val="21"/>
                <w:lang w:val="en-US" w:eastAsia="zh-CN"/>
              </w:rPr>
              <w:t>t</w:t>
            </w:r>
            <w:r>
              <w:rPr>
                <w:rFonts w:hint="default" w:ascii="Times New Roman" w:hAnsi="Times New Roman" w:eastAsia="宋体" w:cs="Times New Roman"/>
                <w:b w:val="0"/>
                <w:color w:val="auto"/>
                <w:sz w:val="21"/>
                <w:szCs w:val="21"/>
                <w:lang w:val="en-US" w:eastAsia="zh-CN"/>
              </w:rPr>
              <w:t xml:space="preserve"> s</w:t>
            </w:r>
            <w:r>
              <w:rPr>
                <w:rFonts w:hint="default" w:ascii="Times New Roman" w:hAnsi="Times New Roman" w:cs="Times New Roman"/>
                <w:b w:val="0"/>
                <w:color w:val="auto"/>
                <w:sz w:val="21"/>
                <w:szCs w:val="21"/>
              </w:rPr>
              <w:t>erious</w:t>
            </w:r>
            <w:r>
              <w:rPr>
                <w:rFonts w:hint="default" w:ascii="Times New Roman" w:hAnsi="Times New Roman" w:cs="Times New Roman"/>
                <w:b w:val="0"/>
                <w:color w:val="auto"/>
                <w:sz w:val="21"/>
                <w:szCs w:val="21"/>
                <w:vertAlign w:val="superscript"/>
                <w:lang w:val="en-US" w:eastAsia="zh-CN"/>
              </w:rPr>
              <w:t>c</w:t>
            </w:r>
          </w:p>
        </w:tc>
        <w:tc>
          <w:tcPr>
            <w:tcW w:w="1417" w:type="dxa"/>
            <w:vAlign w:val="top"/>
          </w:tcPr>
          <w:p w14:paraId="09D54DD6">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color w:val="auto"/>
                <w:sz w:val="21"/>
                <w:szCs w:val="21"/>
                <w:lang w:val="en-US" w:eastAsia="zh-CN"/>
              </w:rPr>
              <w:t>S</w:t>
            </w:r>
            <w:r>
              <w:rPr>
                <w:rFonts w:hint="default" w:ascii="Times New Roman" w:hAnsi="Times New Roman" w:cs="Times New Roman"/>
                <w:b w:val="0"/>
                <w:color w:val="auto"/>
                <w:sz w:val="21"/>
                <w:szCs w:val="21"/>
              </w:rPr>
              <w:t>erious</w:t>
            </w:r>
            <w:r>
              <w:rPr>
                <w:rFonts w:hint="default" w:ascii="Times New Roman" w:hAnsi="Times New Roman" w:cs="Times New Roman"/>
                <w:b w:val="0"/>
                <w:color w:val="auto"/>
                <w:sz w:val="21"/>
                <w:szCs w:val="21"/>
                <w:vertAlign w:val="superscript"/>
                <w:lang w:val="en-US" w:eastAsia="zh-CN"/>
              </w:rPr>
              <w:t>e</w:t>
            </w:r>
          </w:p>
        </w:tc>
        <w:tc>
          <w:tcPr>
            <w:tcW w:w="2835" w:type="dxa"/>
            <w:vAlign w:val="top"/>
          </w:tcPr>
          <w:p w14:paraId="374DDEC6">
            <w:pPr>
              <w:spacing w:before="0" w:after="0" w:line="228" w:lineRule="auto"/>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rPr>
              <w:t>Not downgraded; not formally assessed (k&lt;10)</w:t>
            </w:r>
          </w:p>
        </w:tc>
        <w:tc>
          <w:tcPr>
            <w:tcW w:w="1899" w:type="dxa"/>
            <w:vAlign w:val="top"/>
          </w:tcPr>
          <w:p w14:paraId="4FB89458">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104 (5)</w:t>
            </w:r>
          </w:p>
        </w:tc>
        <w:tc>
          <w:tcPr>
            <w:tcW w:w="2126" w:type="dxa"/>
            <w:vAlign w:val="top"/>
          </w:tcPr>
          <w:p w14:paraId="35760BF3">
            <w:pPr>
              <w:spacing w:beforeLines="0" w:afterLines="0" w:line="240" w:lineRule="auto"/>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highlight w:val="none"/>
                <w:vertAlign w:val="baseline"/>
                <w:lang w:val="en-US" w:eastAsia="zh-CN"/>
              </w:rPr>
              <w:t>0.55 (</w:t>
            </w:r>
            <w:r>
              <w:rPr>
                <w:rFonts w:hint="default" w:ascii="Times New Roman" w:hAnsi="Times New Roman" w:eastAsia="宋体" w:cs="Times New Roman"/>
                <w:i w:val="0"/>
                <w:iCs w:val="0"/>
                <w:color w:val="auto"/>
                <w:kern w:val="0"/>
                <w:sz w:val="21"/>
                <w:szCs w:val="21"/>
                <w:highlight w:val="none"/>
                <w:u w:val="none"/>
                <w:lang w:val="en-US" w:eastAsia="zh-CN" w:bidi="ar"/>
              </w:rPr>
              <w:t>−</w:t>
            </w:r>
            <w:r>
              <w:rPr>
                <w:rFonts w:hint="default" w:ascii="Times New Roman" w:hAnsi="Times New Roman" w:cs="Times New Roman"/>
                <w:color w:val="auto"/>
                <w:sz w:val="21"/>
                <w:szCs w:val="21"/>
                <w:highlight w:val="none"/>
                <w:vertAlign w:val="baseline"/>
                <w:lang w:val="en-US" w:eastAsia="zh-CN"/>
              </w:rPr>
              <w:t>0.12, 1.21)</w:t>
            </w:r>
          </w:p>
        </w:tc>
        <w:tc>
          <w:tcPr>
            <w:tcW w:w="1984" w:type="dxa"/>
            <w:vAlign w:val="top"/>
          </w:tcPr>
          <w:p w14:paraId="6847B924">
            <w:pPr>
              <w:spacing w:line="240" w:lineRule="auto"/>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b w:val="0"/>
                <w:color w:val="auto"/>
                <w:sz w:val="21"/>
                <w:szCs w:val="21"/>
                <w:lang w:val="en-US" w:eastAsia="zh-CN"/>
              </w:rPr>
              <w:t>⨁⨁</w:t>
            </w:r>
            <w:r>
              <w:rPr>
                <w:rFonts w:hint="default" w:ascii="Times New Roman" w:hAnsi="Times New Roman" w:cs="Times New Roman"/>
                <w:b w:val="0"/>
                <w:color w:val="auto"/>
                <w:sz w:val="21"/>
                <w:szCs w:val="21"/>
                <w:lang w:val="en-US" w:eastAsia="zh-CN"/>
              </w:rPr>
              <w:sym w:font="Wingdings" w:char="F0A1"/>
            </w:r>
            <w:r>
              <w:rPr>
                <w:rFonts w:hint="default" w:ascii="Times New Roman" w:hAnsi="Times New Roman" w:cs="Times New Roman"/>
                <w:b w:val="0"/>
                <w:color w:val="auto"/>
                <w:sz w:val="21"/>
                <w:szCs w:val="21"/>
                <w:lang w:val="en-US" w:eastAsia="zh-CN"/>
              </w:rPr>
              <w:sym w:font="Wingdings" w:char="F0A1"/>
            </w:r>
            <w:r>
              <w:rPr>
                <w:rFonts w:hint="eastAsia" w:ascii="Times New Roman" w:hAnsi="Times New Roman" w:cs="Times New Roman"/>
                <w:b w:val="0"/>
                <w:color w:val="auto"/>
                <w:sz w:val="21"/>
                <w:szCs w:val="21"/>
                <w:lang w:val="en-US" w:eastAsia="zh-CN"/>
              </w:rPr>
              <w:t xml:space="preserve"> </w:t>
            </w:r>
            <w:r>
              <w:rPr>
                <w:rFonts w:hint="default" w:ascii="Times New Roman" w:hAnsi="Times New Roman" w:cs="Times New Roman"/>
                <w:b w:val="0"/>
                <w:color w:val="auto"/>
                <w:sz w:val="21"/>
                <w:szCs w:val="21"/>
                <w:lang w:val="en-US" w:eastAsia="zh-CN"/>
              </w:rPr>
              <w:t>Low</w:t>
            </w:r>
          </w:p>
        </w:tc>
      </w:tr>
      <w:tr w14:paraId="02270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vAlign w:val="top"/>
          </w:tcPr>
          <w:p w14:paraId="6C68EA7B">
            <w:pPr>
              <w:spacing w:line="240" w:lineRule="auto"/>
              <w:jc w:val="both"/>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Positive affect</w:t>
            </w:r>
          </w:p>
        </w:tc>
        <w:tc>
          <w:tcPr>
            <w:tcW w:w="1276" w:type="dxa"/>
            <w:vAlign w:val="top"/>
          </w:tcPr>
          <w:p w14:paraId="2B6099DA">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Seriousᵃ</w:t>
            </w:r>
          </w:p>
        </w:tc>
        <w:tc>
          <w:tcPr>
            <w:tcW w:w="1446" w:type="dxa"/>
            <w:vAlign w:val="top"/>
          </w:tcPr>
          <w:p w14:paraId="43539561">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color w:val="auto"/>
                <w:sz w:val="21"/>
                <w:szCs w:val="21"/>
                <w:lang w:val="en-US" w:eastAsia="zh-CN"/>
              </w:rPr>
              <w:t>No</w:t>
            </w:r>
            <w:r>
              <w:rPr>
                <w:rFonts w:hint="eastAsia" w:ascii="Times New Roman" w:hAnsi="Times New Roman" w:eastAsia="宋体" w:cs="Times New Roman"/>
                <w:b w:val="0"/>
                <w:color w:val="auto"/>
                <w:sz w:val="21"/>
                <w:szCs w:val="21"/>
                <w:lang w:val="en-US" w:eastAsia="zh-CN"/>
              </w:rPr>
              <w:t>t</w:t>
            </w:r>
            <w:r>
              <w:rPr>
                <w:rFonts w:hint="default" w:ascii="Times New Roman" w:hAnsi="Times New Roman" w:eastAsia="宋体" w:cs="Times New Roman"/>
                <w:b w:val="0"/>
                <w:color w:val="auto"/>
                <w:sz w:val="21"/>
                <w:szCs w:val="21"/>
                <w:lang w:val="en-US" w:eastAsia="zh-CN"/>
              </w:rPr>
              <w:t xml:space="preserve"> s</w:t>
            </w:r>
            <w:r>
              <w:rPr>
                <w:rFonts w:hint="default" w:ascii="Times New Roman" w:hAnsi="Times New Roman" w:cs="Times New Roman"/>
                <w:b w:val="0"/>
                <w:color w:val="auto"/>
                <w:sz w:val="21"/>
                <w:szCs w:val="21"/>
              </w:rPr>
              <w:t>erious</w:t>
            </w:r>
          </w:p>
        </w:tc>
        <w:tc>
          <w:tcPr>
            <w:tcW w:w="1417" w:type="dxa"/>
            <w:vAlign w:val="top"/>
          </w:tcPr>
          <w:p w14:paraId="57BDCEB2">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color w:val="auto"/>
                <w:sz w:val="21"/>
                <w:szCs w:val="21"/>
                <w:lang w:val="en-US" w:eastAsia="zh-CN"/>
              </w:rPr>
              <w:t>No</w:t>
            </w:r>
            <w:r>
              <w:rPr>
                <w:rFonts w:hint="eastAsia" w:ascii="Times New Roman" w:hAnsi="Times New Roman" w:eastAsia="宋体" w:cs="Times New Roman"/>
                <w:b w:val="0"/>
                <w:color w:val="auto"/>
                <w:sz w:val="21"/>
                <w:szCs w:val="21"/>
                <w:lang w:val="en-US" w:eastAsia="zh-CN"/>
              </w:rPr>
              <w:t>t</w:t>
            </w:r>
            <w:r>
              <w:rPr>
                <w:rFonts w:hint="default" w:ascii="Times New Roman" w:hAnsi="Times New Roman" w:eastAsia="宋体" w:cs="Times New Roman"/>
                <w:b w:val="0"/>
                <w:color w:val="auto"/>
                <w:sz w:val="21"/>
                <w:szCs w:val="21"/>
                <w:lang w:val="en-US" w:eastAsia="zh-CN"/>
              </w:rPr>
              <w:t xml:space="preserve"> s</w:t>
            </w:r>
            <w:r>
              <w:rPr>
                <w:rFonts w:hint="default" w:ascii="Times New Roman" w:hAnsi="Times New Roman" w:cs="Times New Roman"/>
                <w:b w:val="0"/>
                <w:color w:val="auto"/>
                <w:sz w:val="21"/>
                <w:szCs w:val="21"/>
              </w:rPr>
              <w:t>erious</w:t>
            </w:r>
            <w:r>
              <w:rPr>
                <w:rFonts w:hint="default" w:ascii="Times New Roman" w:hAnsi="Times New Roman" w:cs="Times New Roman"/>
                <w:b w:val="0"/>
                <w:color w:val="auto"/>
                <w:sz w:val="21"/>
                <w:szCs w:val="21"/>
                <w:vertAlign w:val="superscript"/>
                <w:lang w:val="en-US" w:eastAsia="zh-CN"/>
              </w:rPr>
              <w:t>c</w:t>
            </w:r>
          </w:p>
        </w:tc>
        <w:tc>
          <w:tcPr>
            <w:tcW w:w="1417" w:type="dxa"/>
            <w:vAlign w:val="top"/>
          </w:tcPr>
          <w:p w14:paraId="2B9A3E4C">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color w:val="auto"/>
                <w:sz w:val="21"/>
                <w:szCs w:val="21"/>
                <w:lang w:val="en-US" w:eastAsia="zh-CN"/>
              </w:rPr>
              <w:t>S</w:t>
            </w:r>
            <w:r>
              <w:rPr>
                <w:rFonts w:hint="default" w:ascii="Times New Roman" w:hAnsi="Times New Roman" w:cs="Times New Roman"/>
                <w:b w:val="0"/>
                <w:color w:val="auto"/>
                <w:sz w:val="21"/>
                <w:szCs w:val="21"/>
              </w:rPr>
              <w:t>erious</w:t>
            </w:r>
            <w:r>
              <w:rPr>
                <w:rFonts w:hint="default" w:ascii="Times New Roman" w:hAnsi="Times New Roman" w:cs="Times New Roman"/>
                <w:b w:val="0"/>
                <w:color w:val="auto"/>
                <w:sz w:val="21"/>
                <w:szCs w:val="21"/>
                <w:vertAlign w:val="superscript"/>
                <w:lang w:val="en-US" w:eastAsia="zh-CN"/>
              </w:rPr>
              <w:t>e</w:t>
            </w:r>
          </w:p>
        </w:tc>
        <w:tc>
          <w:tcPr>
            <w:tcW w:w="2835" w:type="dxa"/>
            <w:vAlign w:val="top"/>
          </w:tcPr>
          <w:p w14:paraId="5EFBA2B2">
            <w:pPr>
              <w:spacing w:before="0" w:after="0" w:line="228" w:lineRule="auto"/>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rPr>
              <w:t>Not downgraded; not formally assessed (k&lt;10)</w:t>
            </w:r>
          </w:p>
        </w:tc>
        <w:tc>
          <w:tcPr>
            <w:tcW w:w="1899" w:type="dxa"/>
            <w:vAlign w:val="top"/>
          </w:tcPr>
          <w:p w14:paraId="6F063C08">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115 (4)</w:t>
            </w:r>
          </w:p>
        </w:tc>
        <w:tc>
          <w:tcPr>
            <w:tcW w:w="2126" w:type="dxa"/>
            <w:vAlign w:val="top"/>
          </w:tcPr>
          <w:p w14:paraId="1941ABBF">
            <w:pPr>
              <w:spacing w:beforeLines="0" w:afterLines="0" w:line="240" w:lineRule="auto"/>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0.33 (−0.</w:t>
            </w:r>
            <w:r>
              <w:rPr>
                <w:rFonts w:hint="default" w:ascii="Times New Roman" w:hAnsi="Times New Roman" w:cs="Times New Roman"/>
                <w:i w:val="0"/>
                <w:iCs w:val="0"/>
                <w:color w:val="auto"/>
                <w:kern w:val="0"/>
                <w:sz w:val="21"/>
                <w:szCs w:val="21"/>
                <w:highlight w:val="none"/>
                <w:u w:val="none"/>
                <w:lang w:val="en-US" w:eastAsia="zh-CN" w:bidi="ar"/>
              </w:rPr>
              <w:t>17</w:t>
            </w:r>
            <w:r>
              <w:rPr>
                <w:rFonts w:hint="default" w:ascii="Times New Roman" w:hAnsi="Times New Roman" w:eastAsia="宋体" w:cs="Times New Roman"/>
                <w:i w:val="0"/>
                <w:iCs w:val="0"/>
                <w:color w:val="auto"/>
                <w:kern w:val="0"/>
                <w:sz w:val="21"/>
                <w:szCs w:val="21"/>
                <w:highlight w:val="none"/>
                <w:u w:val="none"/>
                <w:lang w:val="en-US" w:eastAsia="zh-CN" w:bidi="ar"/>
              </w:rPr>
              <w:t>, 0.</w:t>
            </w:r>
            <w:r>
              <w:rPr>
                <w:rFonts w:hint="default" w:ascii="Times New Roman" w:hAnsi="Times New Roman" w:cs="Times New Roman"/>
                <w:i w:val="0"/>
                <w:iCs w:val="0"/>
                <w:color w:val="auto"/>
                <w:kern w:val="0"/>
                <w:sz w:val="21"/>
                <w:szCs w:val="21"/>
                <w:highlight w:val="none"/>
                <w:u w:val="none"/>
                <w:lang w:val="en-US" w:eastAsia="zh-CN" w:bidi="ar"/>
              </w:rPr>
              <w:t>83</w:t>
            </w: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984" w:type="dxa"/>
            <w:vAlign w:val="top"/>
          </w:tcPr>
          <w:p w14:paraId="216D4484">
            <w:pPr>
              <w:spacing w:line="240" w:lineRule="auto"/>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b w:val="0"/>
                <w:color w:val="auto"/>
                <w:sz w:val="21"/>
                <w:szCs w:val="21"/>
                <w:lang w:val="en-US" w:eastAsia="zh-CN"/>
              </w:rPr>
              <w:t>⨁⨁</w:t>
            </w:r>
            <w:r>
              <w:rPr>
                <w:rFonts w:hint="default" w:ascii="Times New Roman" w:hAnsi="Times New Roman" w:cs="Times New Roman"/>
                <w:b w:val="0"/>
                <w:color w:val="auto"/>
                <w:sz w:val="21"/>
                <w:szCs w:val="21"/>
                <w:lang w:val="en-US" w:eastAsia="zh-CN"/>
              </w:rPr>
              <w:sym w:font="Wingdings" w:char="F0A1"/>
            </w:r>
            <w:r>
              <w:rPr>
                <w:rFonts w:hint="default" w:ascii="Times New Roman" w:hAnsi="Times New Roman" w:cs="Times New Roman"/>
                <w:b w:val="0"/>
                <w:color w:val="auto"/>
                <w:sz w:val="21"/>
                <w:szCs w:val="21"/>
                <w:lang w:val="en-US" w:eastAsia="zh-CN"/>
              </w:rPr>
              <w:sym w:font="Wingdings" w:char="F0A1"/>
            </w:r>
            <w:r>
              <w:rPr>
                <w:rFonts w:hint="eastAsia" w:ascii="Times New Roman" w:hAnsi="Times New Roman" w:cs="Times New Roman"/>
                <w:b w:val="0"/>
                <w:color w:val="auto"/>
                <w:sz w:val="21"/>
                <w:szCs w:val="21"/>
                <w:lang w:val="en-US" w:eastAsia="zh-CN"/>
              </w:rPr>
              <w:t xml:space="preserve"> </w:t>
            </w:r>
            <w:r>
              <w:rPr>
                <w:rFonts w:hint="default" w:ascii="Times New Roman" w:hAnsi="Times New Roman" w:cs="Times New Roman"/>
                <w:b w:val="0"/>
                <w:color w:val="auto"/>
                <w:sz w:val="21"/>
                <w:szCs w:val="21"/>
                <w:lang w:val="en-US" w:eastAsia="zh-CN"/>
              </w:rPr>
              <w:t>Low</w:t>
            </w:r>
          </w:p>
        </w:tc>
      </w:tr>
      <w:tr w14:paraId="0BB72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vAlign w:val="top"/>
          </w:tcPr>
          <w:p w14:paraId="7379131C">
            <w:pPr>
              <w:spacing w:line="240" w:lineRule="auto"/>
              <w:jc w:val="both"/>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Negative affect</w:t>
            </w:r>
          </w:p>
        </w:tc>
        <w:tc>
          <w:tcPr>
            <w:tcW w:w="1276" w:type="dxa"/>
            <w:vAlign w:val="top"/>
          </w:tcPr>
          <w:p w14:paraId="220DD93F">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Seriousᵃ</w:t>
            </w:r>
          </w:p>
        </w:tc>
        <w:tc>
          <w:tcPr>
            <w:tcW w:w="1446" w:type="dxa"/>
            <w:vAlign w:val="top"/>
          </w:tcPr>
          <w:p w14:paraId="786E43D2">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color w:val="auto"/>
                <w:sz w:val="21"/>
                <w:szCs w:val="21"/>
                <w:lang w:val="en-US" w:eastAsia="zh-CN"/>
              </w:rPr>
              <w:t>No</w:t>
            </w:r>
            <w:r>
              <w:rPr>
                <w:rFonts w:hint="eastAsia" w:ascii="Times New Roman" w:hAnsi="Times New Roman" w:eastAsia="宋体" w:cs="Times New Roman"/>
                <w:b w:val="0"/>
                <w:color w:val="auto"/>
                <w:sz w:val="21"/>
                <w:szCs w:val="21"/>
                <w:lang w:val="en-US" w:eastAsia="zh-CN"/>
              </w:rPr>
              <w:t>t</w:t>
            </w:r>
            <w:r>
              <w:rPr>
                <w:rFonts w:hint="default" w:ascii="Times New Roman" w:hAnsi="Times New Roman" w:eastAsia="宋体" w:cs="Times New Roman"/>
                <w:b w:val="0"/>
                <w:color w:val="auto"/>
                <w:sz w:val="21"/>
                <w:szCs w:val="21"/>
                <w:lang w:val="en-US" w:eastAsia="zh-CN"/>
              </w:rPr>
              <w:t xml:space="preserve"> s</w:t>
            </w:r>
            <w:r>
              <w:rPr>
                <w:rFonts w:hint="default" w:ascii="Times New Roman" w:hAnsi="Times New Roman" w:cs="Times New Roman"/>
                <w:b w:val="0"/>
                <w:color w:val="auto"/>
                <w:sz w:val="21"/>
                <w:szCs w:val="21"/>
              </w:rPr>
              <w:t>erious</w:t>
            </w:r>
          </w:p>
        </w:tc>
        <w:tc>
          <w:tcPr>
            <w:tcW w:w="1417" w:type="dxa"/>
            <w:vAlign w:val="top"/>
          </w:tcPr>
          <w:p w14:paraId="0475FC11">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color w:val="auto"/>
                <w:sz w:val="21"/>
                <w:szCs w:val="21"/>
                <w:lang w:val="en-US" w:eastAsia="zh-CN"/>
              </w:rPr>
              <w:t>No</w:t>
            </w:r>
            <w:r>
              <w:rPr>
                <w:rFonts w:hint="eastAsia" w:ascii="Times New Roman" w:hAnsi="Times New Roman" w:eastAsia="宋体" w:cs="Times New Roman"/>
                <w:b w:val="0"/>
                <w:color w:val="auto"/>
                <w:sz w:val="21"/>
                <w:szCs w:val="21"/>
                <w:lang w:val="en-US" w:eastAsia="zh-CN"/>
              </w:rPr>
              <w:t>t</w:t>
            </w:r>
            <w:r>
              <w:rPr>
                <w:rFonts w:hint="default" w:ascii="Times New Roman" w:hAnsi="Times New Roman" w:eastAsia="宋体" w:cs="Times New Roman"/>
                <w:b w:val="0"/>
                <w:color w:val="auto"/>
                <w:sz w:val="21"/>
                <w:szCs w:val="21"/>
                <w:lang w:val="en-US" w:eastAsia="zh-CN"/>
              </w:rPr>
              <w:t xml:space="preserve"> s</w:t>
            </w:r>
            <w:r>
              <w:rPr>
                <w:rFonts w:hint="default" w:ascii="Times New Roman" w:hAnsi="Times New Roman" w:cs="Times New Roman"/>
                <w:b w:val="0"/>
                <w:color w:val="auto"/>
                <w:sz w:val="21"/>
                <w:szCs w:val="21"/>
              </w:rPr>
              <w:t>erious</w:t>
            </w:r>
            <w:r>
              <w:rPr>
                <w:rFonts w:hint="default" w:ascii="Times New Roman" w:hAnsi="Times New Roman" w:cs="Times New Roman"/>
                <w:b w:val="0"/>
                <w:color w:val="auto"/>
                <w:sz w:val="21"/>
                <w:szCs w:val="21"/>
                <w:vertAlign w:val="superscript"/>
                <w:lang w:val="en-US" w:eastAsia="zh-CN"/>
              </w:rPr>
              <w:t>c</w:t>
            </w:r>
          </w:p>
        </w:tc>
        <w:tc>
          <w:tcPr>
            <w:tcW w:w="1417" w:type="dxa"/>
            <w:vAlign w:val="top"/>
          </w:tcPr>
          <w:p w14:paraId="6DE32F0A">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color w:val="auto"/>
                <w:sz w:val="21"/>
                <w:szCs w:val="21"/>
                <w:lang w:val="en-US" w:eastAsia="zh-CN"/>
              </w:rPr>
              <w:t>Very seriousᶠ</w:t>
            </w:r>
          </w:p>
        </w:tc>
        <w:tc>
          <w:tcPr>
            <w:tcW w:w="2835" w:type="dxa"/>
            <w:vAlign w:val="top"/>
          </w:tcPr>
          <w:p w14:paraId="0B93640E">
            <w:pPr>
              <w:spacing w:before="0" w:after="0" w:line="228" w:lineRule="auto"/>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rPr>
              <w:t>Not downgraded; not formally assessed (k&lt;10)</w:t>
            </w:r>
          </w:p>
        </w:tc>
        <w:tc>
          <w:tcPr>
            <w:tcW w:w="1899" w:type="dxa"/>
            <w:vAlign w:val="top"/>
          </w:tcPr>
          <w:p w14:paraId="11B27A2A">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84 (3)</w:t>
            </w:r>
          </w:p>
        </w:tc>
        <w:tc>
          <w:tcPr>
            <w:tcW w:w="2126" w:type="dxa"/>
            <w:vAlign w:val="top"/>
          </w:tcPr>
          <w:p w14:paraId="36290397">
            <w:pPr>
              <w:spacing w:beforeLines="0" w:afterLines="0" w:line="240" w:lineRule="auto"/>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−0.29 (−</w:t>
            </w:r>
            <w:r>
              <w:rPr>
                <w:rFonts w:hint="default" w:ascii="Times New Roman" w:hAnsi="Times New Roman" w:cs="Times New Roman"/>
                <w:i w:val="0"/>
                <w:iCs w:val="0"/>
                <w:color w:val="auto"/>
                <w:kern w:val="0"/>
                <w:sz w:val="21"/>
                <w:szCs w:val="21"/>
                <w:highlight w:val="none"/>
                <w:u w:val="none"/>
                <w:lang w:val="en-US" w:eastAsia="zh-CN" w:bidi="ar"/>
              </w:rPr>
              <w:t>1.46</w:t>
            </w:r>
            <w:r>
              <w:rPr>
                <w:rFonts w:hint="default" w:ascii="Times New Roman" w:hAnsi="Times New Roman" w:eastAsia="宋体" w:cs="Times New Roman"/>
                <w:i w:val="0"/>
                <w:iCs w:val="0"/>
                <w:color w:val="auto"/>
                <w:kern w:val="0"/>
                <w:sz w:val="21"/>
                <w:szCs w:val="21"/>
                <w:highlight w:val="none"/>
                <w:u w:val="none"/>
                <w:lang w:val="en-US" w:eastAsia="zh-CN" w:bidi="ar"/>
              </w:rPr>
              <w:t>, 0.</w:t>
            </w:r>
            <w:r>
              <w:rPr>
                <w:rFonts w:hint="default" w:ascii="Times New Roman" w:hAnsi="Times New Roman" w:cs="Times New Roman"/>
                <w:i w:val="0"/>
                <w:iCs w:val="0"/>
                <w:color w:val="auto"/>
                <w:kern w:val="0"/>
                <w:sz w:val="21"/>
                <w:szCs w:val="21"/>
                <w:highlight w:val="none"/>
                <w:u w:val="none"/>
                <w:lang w:val="en-US" w:eastAsia="zh-CN" w:bidi="ar"/>
              </w:rPr>
              <w:t>88</w:t>
            </w: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984" w:type="dxa"/>
            <w:vAlign w:val="top"/>
          </w:tcPr>
          <w:p w14:paraId="27EC0DAD">
            <w:pPr>
              <w:spacing w:line="240" w:lineRule="auto"/>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b w:val="0"/>
                <w:color w:val="auto"/>
                <w:sz w:val="21"/>
                <w:szCs w:val="21"/>
                <w:lang w:val="en-US" w:eastAsia="zh-CN"/>
              </w:rPr>
              <w:t>⨁</w:t>
            </w:r>
            <w:r>
              <w:rPr>
                <w:rFonts w:hint="default" w:ascii="Times New Roman" w:hAnsi="Times New Roman" w:cs="Times New Roman"/>
                <w:b w:val="0"/>
                <w:color w:val="auto"/>
                <w:sz w:val="21"/>
                <w:szCs w:val="21"/>
                <w:lang w:val="en-US" w:eastAsia="zh-CN"/>
              </w:rPr>
              <w:sym w:font="Wingdings" w:char="F0A1"/>
            </w:r>
            <w:r>
              <w:rPr>
                <w:rFonts w:hint="default" w:ascii="Times New Roman" w:hAnsi="Times New Roman" w:cs="Times New Roman"/>
                <w:b w:val="0"/>
                <w:color w:val="auto"/>
                <w:sz w:val="21"/>
                <w:szCs w:val="21"/>
                <w:lang w:val="en-US" w:eastAsia="zh-CN"/>
              </w:rPr>
              <w:sym w:font="Wingdings" w:char="F0A1"/>
            </w:r>
            <w:r>
              <w:rPr>
                <w:rFonts w:hint="default" w:ascii="Times New Roman" w:hAnsi="Times New Roman" w:cs="Times New Roman"/>
                <w:b w:val="0"/>
                <w:color w:val="auto"/>
                <w:sz w:val="21"/>
                <w:szCs w:val="21"/>
                <w:lang w:val="en-US" w:eastAsia="zh-CN"/>
              </w:rPr>
              <w:sym w:font="Wingdings" w:char="F0A1"/>
            </w:r>
            <w:r>
              <w:rPr>
                <w:rFonts w:hint="eastAsia" w:ascii="Times New Roman" w:hAnsi="Times New Roman" w:cs="Times New Roman"/>
                <w:b w:val="0"/>
                <w:color w:val="auto"/>
                <w:sz w:val="21"/>
                <w:szCs w:val="21"/>
                <w:lang w:val="en-US" w:eastAsia="zh-CN"/>
              </w:rPr>
              <w:t xml:space="preserve"> </w:t>
            </w:r>
            <w:r>
              <w:rPr>
                <w:rFonts w:hint="default" w:ascii="Times New Roman" w:hAnsi="Times New Roman" w:cs="Times New Roman"/>
                <w:b w:val="0"/>
                <w:color w:val="auto"/>
                <w:sz w:val="21"/>
                <w:szCs w:val="21"/>
                <w:lang w:val="en-US" w:eastAsia="zh-CN"/>
              </w:rPr>
              <w:t>Very low</w:t>
            </w:r>
          </w:p>
        </w:tc>
      </w:tr>
      <w:tr w14:paraId="6B03D2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vAlign w:val="top"/>
          </w:tcPr>
          <w:p w14:paraId="2B40431E">
            <w:pPr>
              <w:spacing w:line="240" w:lineRule="auto"/>
              <w:jc w:val="both"/>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Well-being</w:t>
            </w:r>
          </w:p>
        </w:tc>
        <w:tc>
          <w:tcPr>
            <w:tcW w:w="1276" w:type="dxa"/>
            <w:vAlign w:val="top"/>
          </w:tcPr>
          <w:p w14:paraId="6BE040B2">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Seriousᵃ</w:t>
            </w:r>
          </w:p>
        </w:tc>
        <w:tc>
          <w:tcPr>
            <w:tcW w:w="1446" w:type="dxa"/>
            <w:vAlign w:val="top"/>
          </w:tcPr>
          <w:p w14:paraId="61D7EDED">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color w:val="auto"/>
                <w:sz w:val="21"/>
                <w:szCs w:val="21"/>
                <w:lang w:val="en-US" w:eastAsia="zh-CN"/>
              </w:rPr>
              <w:t>No</w:t>
            </w:r>
            <w:r>
              <w:rPr>
                <w:rFonts w:hint="eastAsia" w:eastAsia="宋体" w:cs="Times New Roman"/>
                <w:b w:val="0"/>
                <w:color w:val="auto"/>
                <w:sz w:val="21"/>
                <w:szCs w:val="21"/>
                <w:lang w:val="en-US" w:eastAsia="zh-CN"/>
              </w:rPr>
              <w:t>t</w:t>
            </w:r>
            <w:r>
              <w:rPr>
                <w:rFonts w:hint="default" w:ascii="Times New Roman" w:hAnsi="Times New Roman" w:eastAsia="宋体" w:cs="Times New Roman"/>
                <w:b w:val="0"/>
                <w:color w:val="auto"/>
                <w:sz w:val="21"/>
                <w:szCs w:val="21"/>
                <w:lang w:val="en-US" w:eastAsia="zh-CN"/>
              </w:rPr>
              <w:t xml:space="preserve"> s</w:t>
            </w:r>
            <w:r>
              <w:rPr>
                <w:rFonts w:hint="default" w:ascii="Times New Roman" w:hAnsi="Times New Roman" w:cs="Times New Roman"/>
                <w:b w:val="0"/>
                <w:color w:val="auto"/>
                <w:sz w:val="21"/>
                <w:szCs w:val="21"/>
              </w:rPr>
              <w:t>erious</w:t>
            </w:r>
          </w:p>
        </w:tc>
        <w:tc>
          <w:tcPr>
            <w:tcW w:w="1417" w:type="dxa"/>
            <w:vAlign w:val="top"/>
          </w:tcPr>
          <w:p w14:paraId="7305E7AF">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color w:val="auto"/>
                <w:sz w:val="21"/>
                <w:szCs w:val="21"/>
                <w:lang w:val="en-US" w:eastAsia="zh-CN"/>
              </w:rPr>
              <w:t>No</w:t>
            </w:r>
            <w:r>
              <w:rPr>
                <w:rFonts w:hint="eastAsia" w:ascii="Times New Roman" w:hAnsi="Times New Roman" w:eastAsia="宋体" w:cs="Times New Roman"/>
                <w:b w:val="0"/>
                <w:color w:val="auto"/>
                <w:sz w:val="21"/>
                <w:szCs w:val="21"/>
                <w:lang w:val="en-US" w:eastAsia="zh-CN"/>
              </w:rPr>
              <w:t>t</w:t>
            </w:r>
            <w:r>
              <w:rPr>
                <w:rFonts w:hint="default" w:ascii="Times New Roman" w:hAnsi="Times New Roman" w:eastAsia="宋体" w:cs="Times New Roman"/>
                <w:b w:val="0"/>
                <w:color w:val="auto"/>
                <w:sz w:val="21"/>
                <w:szCs w:val="21"/>
                <w:lang w:val="en-US" w:eastAsia="zh-CN"/>
              </w:rPr>
              <w:t xml:space="preserve"> s</w:t>
            </w:r>
            <w:r>
              <w:rPr>
                <w:rFonts w:hint="default" w:ascii="Times New Roman" w:hAnsi="Times New Roman" w:cs="Times New Roman"/>
                <w:b w:val="0"/>
                <w:color w:val="auto"/>
                <w:sz w:val="21"/>
                <w:szCs w:val="21"/>
              </w:rPr>
              <w:t>erious</w:t>
            </w:r>
            <w:r>
              <w:rPr>
                <w:rFonts w:hint="default" w:ascii="Times New Roman" w:hAnsi="Times New Roman" w:cs="Times New Roman"/>
                <w:b w:val="0"/>
                <w:color w:val="auto"/>
                <w:sz w:val="21"/>
                <w:szCs w:val="21"/>
                <w:vertAlign w:val="superscript"/>
                <w:lang w:val="en-US" w:eastAsia="zh-CN"/>
              </w:rPr>
              <w:t>c</w:t>
            </w:r>
          </w:p>
        </w:tc>
        <w:tc>
          <w:tcPr>
            <w:tcW w:w="1417" w:type="dxa"/>
            <w:vAlign w:val="top"/>
          </w:tcPr>
          <w:p w14:paraId="19C718EA">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b w:val="0"/>
                <w:color w:val="auto"/>
                <w:sz w:val="21"/>
                <w:szCs w:val="21"/>
                <w:lang w:val="en-US" w:eastAsia="zh-CN"/>
              </w:rPr>
              <w:t>S</w:t>
            </w:r>
            <w:r>
              <w:rPr>
                <w:rFonts w:hint="default" w:ascii="Times New Roman" w:hAnsi="Times New Roman" w:cs="Times New Roman"/>
                <w:b w:val="0"/>
                <w:color w:val="auto"/>
                <w:sz w:val="21"/>
                <w:szCs w:val="21"/>
              </w:rPr>
              <w:t>erious</w:t>
            </w:r>
            <w:r>
              <w:rPr>
                <w:rFonts w:hint="default" w:ascii="Times New Roman" w:hAnsi="Times New Roman" w:cs="Times New Roman"/>
                <w:b w:val="0"/>
                <w:color w:val="auto"/>
                <w:sz w:val="21"/>
                <w:szCs w:val="21"/>
                <w:vertAlign w:val="superscript"/>
                <w:lang w:val="en-US" w:eastAsia="zh-CN"/>
              </w:rPr>
              <w:t>e</w:t>
            </w:r>
          </w:p>
        </w:tc>
        <w:tc>
          <w:tcPr>
            <w:tcW w:w="2835" w:type="dxa"/>
            <w:vAlign w:val="top"/>
          </w:tcPr>
          <w:p w14:paraId="0B34B725">
            <w:pPr>
              <w:spacing w:before="0" w:after="0" w:line="228" w:lineRule="auto"/>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rPr>
              <w:t>Not downgraded; not formally assessed (k&lt;10)</w:t>
            </w:r>
          </w:p>
        </w:tc>
        <w:tc>
          <w:tcPr>
            <w:tcW w:w="1899" w:type="dxa"/>
            <w:vAlign w:val="top"/>
          </w:tcPr>
          <w:p w14:paraId="06F6CE02">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jc w:val="left"/>
              <w:textAlignment w:val="auto"/>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color w:val="auto"/>
                <w:sz w:val="21"/>
                <w:szCs w:val="21"/>
                <w:vertAlign w:val="baseline"/>
                <w:lang w:val="en-US" w:eastAsia="zh-CN"/>
              </w:rPr>
              <w:t>1</w:t>
            </w:r>
            <w:r>
              <w:rPr>
                <w:rFonts w:hint="eastAsia" w:ascii="Times New Roman" w:hAnsi="Times New Roman" w:cs="Times New Roman"/>
                <w:color w:val="auto"/>
                <w:sz w:val="21"/>
                <w:szCs w:val="21"/>
                <w:vertAlign w:val="baseline"/>
                <w:lang w:val="en-US" w:eastAsia="zh-CN"/>
              </w:rPr>
              <w:t>07</w:t>
            </w:r>
            <w:r>
              <w:rPr>
                <w:rFonts w:hint="default" w:ascii="Times New Roman" w:hAnsi="Times New Roman" w:cs="Times New Roman"/>
                <w:color w:val="auto"/>
                <w:sz w:val="21"/>
                <w:szCs w:val="21"/>
                <w:vertAlign w:val="baseline"/>
                <w:lang w:val="en-US" w:eastAsia="zh-CN"/>
              </w:rPr>
              <w:t xml:space="preserve"> (3)</w:t>
            </w:r>
          </w:p>
        </w:tc>
        <w:tc>
          <w:tcPr>
            <w:tcW w:w="2126" w:type="dxa"/>
            <w:vAlign w:val="top"/>
          </w:tcPr>
          <w:p w14:paraId="43409098">
            <w:pPr>
              <w:spacing w:beforeLines="0" w:afterLines="0" w:line="240" w:lineRule="auto"/>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eastAsia="宋体" w:cs="Times New Roman"/>
                <w:i w:val="0"/>
                <w:iCs w:val="0"/>
                <w:color w:val="auto"/>
                <w:kern w:val="0"/>
                <w:sz w:val="21"/>
                <w:szCs w:val="21"/>
                <w:highlight w:val="none"/>
                <w:u w:val="none"/>
                <w:lang w:val="en-US" w:eastAsia="zh-CN" w:bidi="ar"/>
              </w:rPr>
              <w:t>0.47 (−0.0</w:t>
            </w:r>
            <w:r>
              <w:rPr>
                <w:rFonts w:hint="default" w:ascii="Times New Roman" w:hAnsi="Times New Roman" w:cs="Times New Roman"/>
                <w:i w:val="0"/>
                <w:iCs w:val="0"/>
                <w:color w:val="auto"/>
                <w:kern w:val="0"/>
                <w:sz w:val="21"/>
                <w:szCs w:val="21"/>
                <w:highlight w:val="none"/>
                <w:u w:val="none"/>
                <w:lang w:val="en-US" w:eastAsia="zh-CN" w:bidi="ar"/>
              </w:rPr>
              <w:t>7</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w:t>
            </w:r>
            <w:r>
              <w:rPr>
                <w:rFonts w:hint="default" w:ascii="Times New Roman" w:hAnsi="Times New Roman" w:cs="Times New Roman"/>
                <w:i w:val="0"/>
                <w:iCs w:val="0"/>
                <w:color w:val="auto"/>
                <w:kern w:val="0"/>
                <w:sz w:val="21"/>
                <w:szCs w:val="21"/>
                <w:highlight w:val="none"/>
                <w:u w:val="none"/>
                <w:lang w:val="en-US" w:eastAsia="zh-CN" w:bidi="ar"/>
              </w:rPr>
              <w:t>1.00</w:t>
            </w: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984" w:type="dxa"/>
            <w:vAlign w:val="top"/>
          </w:tcPr>
          <w:p w14:paraId="644EC3EF">
            <w:pPr>
              <w:spacing w:line="240" w:lineRule="auto"/>
              <w:jc w:val="left"/>
              <w:rPr>
                <w:rFonts w:hint="default" w:ascii="Times New Roman" w:hAnsi="Times New Roman" w:cs="Times New Roman"/>
                <w:color w:val="auto"/>
                <w:sz w:val="21"/>
                <w:szCs w:val="21"/>
                <w:vertAlign w:val="baseline"/>
                <w:lang w:val="en-US" w:eastAsia="zh-CN"/>
              </w:rPr>
            </w:pPr>
            <w:r>
              <w:rPr>
                <w:rFonts w:hint="default" w:ascii="Times New Roman" w:hAnsi="Times New Roman" w:cs="Times New Roman"/>
                <w:b w:val="0"/>
                <w:color w:val="auto"/>
                <w:sz w:val="21"/>
                <w:szCs w:val="21"/>
                <w:lang w:val="en-US" w:eastAsia="zh-CN"/>
              </w:rPr>
              <w:t>⨁⨁</w:t>
            </w:r>
            <w:r>
              <w:rPr>
                <w:rFonts w:hint="default" w:ascii="Times New Roman" w:hAnsi="Times New Roman" w:cs="Times New Roman"/>
                <w:b w:val="0"/>
                <w:color w:val="auto"/>
                <w:sz w:val="21"/>
                <w:szCs w:val="21"/>
                <w:lang w:val="en-US" w:eastAsia="zh-CN"/>
              </w:rPr>
              <w:sym w:font="Wingdings" w:char="F0A1"/>
            </w:r>
            <w:r>
              <w:rPr>
                <w:rFonts w:hint="default" w:ascii="Times New Roman" w:hAnsi="Times New Roman" w:cs="Times New Roman"/>
                <w:b w:val="0"/>
                <w:color w:val="auto"/>
                <w:sz w:val="21"/>
                <w:szCs w:val="21"/>
                <w:lang w:val="en-US" w:eastAsia="zh-CN"/>
              </w:rPr>
              <w:sym w:font="Wingdings" w:char="F0A1"/>
            </w:r>
            <w:r>
              <w:rPr>
                <w:rFonts w:hint="eastAsia" w:ascii="Times New Roman" w:hAnsi="Times New Roman" w:cs="Times New Roman"/>
                <w:b w:val="0"/>
                <w:color w:val="auto"/>
                <w:sz w:val="21"/>
                <w:szCs w:val="21"/>
                <w:lang w:val="en-US" w:eastAsia="zh-CN"/>
              </w:rPr>
              <w:t xml:space="preserve"> L</w:t>
            </w:r>
            <w:r>
              <w:rPr>
                <w:rFonts w:hint="default" w:ascii="Times New Roman" w:hAnsi="Times New Roman" w:cs="Times New Roman"/>
                <w:b w:val="0"/>
                <w:color w:val="auto"/>
                <w:sz w:val="21"/>
                <w:szCs w:val="21"/>
                <w:lang w:val="en-US" w:eastAsia="zh-CN"/>
              </w:rPr>
              <w:t>ow</w:t>
            </w:r>
          </w:p>
        </w:tc>
      </w:tr>
      <w:tr w14:paraId="2255E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559" w:type="dxa"/>
            <w:tcBorders>
              <w:bottom w:val="single" w:color="auto" w:sz="12" w:space="0"/>
            </w:tcBorders>
            <w:shd w:val="clear" w:color="auto" w:fill="auto"/>
            <w:vAlign w:val="top"/>
          </w:tcPr>
          <w:p w14:paraId="7F22670D">
            <w:pPr>
              <w:spacing w:line="240" w:lineRule="auto"/>
              <w:jc w:val="both"/>
              <w:rPr>
                <w:rFonts w:hint="default" w:ascii="Times New Roman" w:hAnsi="Times New Roman" w:cs="Times New Roman" w:eastAsiaTheme="minorEastAsia"/>
                <w:color w:val="auto"/>
                <w:kern w:val="2"/>
                <w:sz w:val="21"/>
                <w:szCs w:val="21"/>
                <w:vertAlign w:val="baseline"/>
                <w:lang w:val="en-US" w:eastAsia="zh-CN" w:bidi="ar-SA"/>
              </w:rPr>
            </w:pPr>
            <w:r>
              <w:rPr>
                <w:rFonts w:hint="default" w:ascii="Times New Roman" w:hAnsi="Times New Roman" w:eastAsia="宋体" w:cs="Times New Roman"/>
                <w:color w:val="auto"/>
                <w:sz w:val="21"/>
                <w:szCs w:val="21"/>
                <w:vertAlign w:val="baseline"/>
                <w:lang w:val="en-US" w:eastAsia="zh-CN"/>
              </w:rPr>
              <w:t>Pain</w:t>
            </w:r>
          </w:p>
        </w:tc>
        <w:tc>
          <w:tcPr>
            <w:tcW w:w="1276" w:type="dxa"/>
            <w:tcBorders>
              <w:bottom w:val="single" w:color="auto" w:sz="12" w:space="0"/>
            </w:tcBorders>
            <w:shd w:val="clear" w:color="auto" w:fill="auto"/>
            <w:vAlign w:val="top"/>
          </w:tcPr>
          <w:p w14:paraId="2831B16E">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left="0" w:leftChars="0" w:firstLine="0" w:firstLineChars="0"/>
              <w:jc w:val="left"/>
              <w:textAlignment w:val="auto"/>
              <w:rPr>
                <w:rFonts w:hint="default" w:ascii="Times New Roman" w:hAnsi="Times New Roman" w:cs="Times New Roman" w:eastAsiaTheme="minorEastAsia"/>
                <w:color w:val="auto"/>
                <w:kern w:val="2"/>
                <w:sz w:val="21"/>
                <w:szCs w:val="21"/>
                <w:vertAlign w:val="baseline"/>
                <w:lang w:val="en-US" w:eastAsia="zh-CN" w:bidi="ar-SA"/>
              </w:rPr>
            </w:pPr>
            <w:r>
              <w:rPr>
                <w:rFonts w:hint="default" w:ascii="Times New Roman" w:hAnsi="Times New Roman" w:cs="Times New Roman"/>
                <w:color w:val="auto"/>
                <w:sz w:val="21"/>
                <w:szCs w:val="21"/>
                <w:vertAlign w:val="baseline"/>
                <w:lang w:val="en-US" w:eastAsia="zh-CN"/>
              </w:rPr>
              <w:t>Seriousᵃ</w:t>
            </w:r>
          </w:p>
        </w:tc>
        <w:tc>
          <w:tcPr>
            <w:tcW w:w="1446" w:type="dxa"/>
            <w:tcBorders>
              <w:bottom w:val="single" w:color="auto" w:sz="12" w:space="0"/>
            </w:tcBorders>
            <w:shd w:val="clear" w:color="auto" w:fill="auto"/>
            <w:vAlign w:val="top"/>
          </w:tcPr>
          <w:p w14:paraId="32F89022">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left="0" w:leftChars="0" w:firstLine="0" w:firstLineChars="0"/>
              <w:jc w:val="left"/>
              <w:textAlignment w:val="auto"/>
              <w:rPr>
                <w:rFonts w:hint="default" w:ascii="Times New Roman" w:hAnsi="Times New Roman" w:cs="Times New Roman" w:eastAsiaTheme="minorEastAsia"/>
                <w:color w:val="auto"/>
                <w:kern w:val="2"/>
                <w:sz w:val="21"/>
                <w:szCs w:val="21"/>
                <w:vertAlign w:val="baseline"/>
                <w:lang w:val="en-US" w:eastAsia="zh-CN" w:bidi="ar-SA"/>
              </w:rPr>
            </w:pPr>
            <w:r>
              <w:rPr>
                <w:rFonts w:hint="default" w:ascii="Times New Roman" w:hAnsi="Times New Roman" w:eastAsia="宋体" w:cs="Times New Roman"/>
                <w:b w:val="0"/>
                <w:color w:val="auto"/>
                <w:sz w:val="21"/>
                <w:szCs w:val="21"/>
                <w:lang w:val="en-US" w:eastAsia="zh-CN"/>
              </w:rPr>
              <w:t>Seriousᵇ</w:t>
            </w:r>
          </w:p>
        </w:tc>
        <w:tc>
          <w:tcPr>
            <w:tcW w:w="1417" w:type="dxa"/>
            <w:tcBorders>
              <w:bottom w:val="single" w:color="auto" w:sz="12" w:space="0"/>
            </w:tcBorders>
            <w:shd w:val="clear" w:color="auto" w:fill="auto"/>
            <w:vAlign w:val="top"/>
          </w:tcPr>
          <w:p w14:paraId="03E20142">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left="0" w:leftChars="0" w:firstLine="0" w:firstLineChars="0"/>
              <w:jc w:val="left"/>
              <w:textAlignment w:val="auto"/>
              <w:rPr>
                <w:rFonts w:hint="default" w:ascii="Times New Roman" w:hAnsi="Times New Roman" w:cs="Times New Roman" w:eastAsiaTheme="minorEastAsia"/>
                <w:color w:val="auto"/>
                <w:kern w:val="2"/>
                <w:sz w:val="21"/>
                <w:szCs w:val="21"/>
                <w:vertAlign w:val="baseline"/>
                <w:lang w:val="en-US" w:eastAsia="zh-CN" w:bidi="ar-SA"/>
              </w:rPr>
            </w:pPr>
            <w:r>
              <w:rPr>
                <w:rFonts w:hint="default" w:ascii="Times New Roman" w:hAnsi="Times New Roman" w:eastAsia="宋体" w:cs="Times New Roman"/>
                <w:b w:val="0"/>
                <w:color w:val="auto"/>
                <w:sz w:val="21"/>
                <w:szCs w:val="21"/>
                <w:lang w:val="en-US" w:eastAsia="zh-CN"/>
              </w:rPr>
              <w:t>No</w:t>
            </w:r>
            <w:r>
              <w:rPr>
                <w:rFonts w:hint="eastAsia" w:ascii="Times New Roman" w:hAnsi="Times New Roman" w:eastAsia="宋体" w:cs="Times New Roman"/>
                <w:b w:val="0"/>
                <w:color w:val="auto"/>
                <w:sz w:val="21"/>
                <w:szCs w:val="21"/>
                <w:lang w:val="en-US" w:eastAsia="zh-CN"/>
              </w:rPr>
              <w:t>t</w:t>
            </w:r>
            <w:r>
              <w:rPr>
                <w:rFonts w:hint="default" w:ascii="Times New Roman" w:hAnsi="Times New Roman" w:eastAsia="宋体" w:cs="Times New Roman"/>
                <w:b w:val="0"/>
                <w:color w:val="auto"/>
                <w:sz w:val="21"/>
                <w:szCs w:val="21"/>
                <w:lang w:val="en-US" w:eastAsia="zh-CN"/>
              </w:rPr>
              <w:t xml:space="preserve"> s</w:t>
            </w:r>
            <w:r>
              <w:rPr>
                <w:rFonts w:hint="default" w:ascii="Times New Roman" w:hAnsi="Times New Roman" w:cs="Times New Roman"/>
                <w:b w:val="0"/>
                <w:color w:val="auto"/>
                <w:sz w:val="21"/>
                <w:szCs w:val="21"/>
              </w:rPr>
              <w:t>erious</w:t>
            </w:r>
            <w:r>
              <w:rPr>
                <w:rFonts w:hint="default" w:ascii="Times New Roman" w:hAnsi="Times New Roman" w:cs="Times New Roman"/>
                <w:b w:val="0"/>
                <w:color w:val="auto"/>
                <w:sz w:val="21"/>
                <w:szCs w:val="21"/>
                <w:vertAlign w:val="superscript"/>
                <w:lang w:val="en-US" w:eastAsia="zh-CN"/>
              </w:rPr>
              <w:t>c</w:t>
            </w:r>
          </w:p>
        </w:tc>
        <w:tc>
          <w:tcPr>
            <w:tcW w:w="1417" w:type="dxa"/>
            <w:tcBorders>
              <w:bottom w:val="single" w:color="auto" w:sz="12" w:space="0"/>
            </w:tcBorders>
            <w:shd w:val="clear" w:color="auto" w:fill="auto"/>
            <w:vAlign w:val="top"/>
          </w:tcPr>
          <w:p w14:paraId="5A1C19C2">
            <w:pPr>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left="0" w:leftChars="0" w:firstLine="0" w:firstLineChars="0"/>
              <w:jc w:val="left"/>
              <w:textAlignment w:val="auto"/>
              <w:rPr>
                <w:rFonts w:hint="default" w:ascii="Times New Roman" w:hAnsi="Times New Roman" w:cs="Times New Roman" w:eastAsiaTheme="minorEastAsia"/>
                <w:color w:val="auto"/>
                <w:kern w:val="2"/>
                <w:sz w:val="21"/>
                <w:szCs w:val="21"/>
                <w:vertAlign w:val="baseline"/>
                <w:lang w:val="en-US" w:eastAsia="zh-CN" w:bidi="ar-SA"/>
              </w:rPr>
            </w:pPr>
            <w:r>
              <w:rPr>
                <w:rFonts w:hint="default" w:ascii="Times New Roman" w:hAnsi="Times New Roman" w:eastAsia="宋体" w:cs="Times New Roman"/>
                <w:b w:val="0"/>
                <w:color w:val="auto"/>
                <w:sz w:val="21"/>
                <w:szCs w:val="21"/>
                <w:lang w:val="en-US" w:eastAsia="zh-CN"/>
              </w:rPr>
              <w:t>S</w:t>
            </w:r>
            <w:r>
              <w:rPr>
                <w:rFonts w:hint="default" w:ascii="Times New Roman" w:hAnsi="Times New Roman" w:cs="Times New Roman"/>
                <w:b w:val="0"/>
                <w:color w:val="auto"/>
                <w:sz w:val="21"/>
                <w:szCs w:val="21"/>
              </w:rPr>
              <w:t>erious</w:t>
            </w:r>
            <w:r>
              <w:rPr>
                <w:rFonts w:hint="default" w:ascii="Times New Roman" w:hAnsi="Times New Roman" w:cs="Times New Roman"/>
                <w:b w:val="0"/>
                <w:color w:val="auto"/>
                <w:sz w:val="21"/>
                <w:szCs w:val="21"/>
                <w:vertAlign w:val="superscript"/>
                <w:lang w:val="en-US" w:eastAsia="zh-CN"/>
              </w:rPr>
              <w:t>e</w:t>
            </w:r>
          </w:p>
        </w:tc>
        <w:tc>
          <w:tcPr>
            <w:tcW w:w="2835" w:type="dxa"/>
            <w:tcBorders>
              <w:bottom w:val="single" w:color="auto" w:sz="12" w:space="0"/>
            </w:tcBorders>
            <w:shd w:val="clear" w:color="auto" w:fill="auto"/>
            <w:vAlign w:val="top"/>
          </w:tcPr>
          <w:p w14:paraId="67381971">
            <w:pPr>
              <w:spacing w:before="0" w:after="0" w:line="228" w:lineRule="auto"/>
              <w:jc w:val="left"/>
              <w:rPr>
                <w:rFonts w:hint="default" w:ascii="Times New Roman" w:hAnsi="Times New Roman" w:cs="Times New Roman" w:eastAsiaTheme="minorEastAsia"/>
                <w:color w:val="auto"/>
                <w:kern w:val="2"/>
                <w:sz w:val="21"/>
                <w:szCs w:val="21"/>
                <w:vertAlign w:val="baseline"/>
                <w:lang w:val="en-US" w:eastAsia="zh-CN" w:bidi="ar-SA"/>
              </w:rPr>
            </w:pPr>
            <w:r>
              <w:rPr>
                <w:rFonts w:hint="default" w:ascii="Times New Roman" w:hAnsi="Times New Roman" w:cs="Times New Roman"/>
                <w:color w:val="auto"/>
                <w:sz w:val="21"/>
                <w:szCs w:val="21"/>
              </w:rPr>
              <w:t>Not downgraded; not formally assessed (k&lt;10)</w:t>
            </w:r>
          </w:p>
        </w:tc>
        <w:tc>
          <w:tcPr>
            <w:tcW w:w="1899" w:type="dxa"/>
            <w:tcBorders>
              <w:bottom w:val="single" w:color="auto" w:sz="12" w:space="0"/>
            </w:tcBorders>
            <w:shd w:val="clear" w:color="auto" w:fill="auto"/>
            <w:vAlign w:val="top"/>
          </w:tcPr>
          <w:p w14:paraId="486140D7">
            <w:pPr>
              <w:pStyle w:val="9"/>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left="0" w:leftChars="0" w:firstLine="0" w:firstLineChars="0"/>
              <w:jc w:val="left"/>
              <w:textAlignment w:val="auto"/>
              <w:rPr>
                <w:rFonts w:hint="default" w:ascii="Times New Roman" w:hAnsi="Times New Roman" w:eastAsia="宋体" w:cs="Times New Roman"/>
                <w:color w:val="auto"/>
                <w:sz w:val="21"/>
                <w:szCs w:val="21"/>
                <w:vertAlign w:val="baseline"/>
                <w:lang w:val="en-US" w:eastAsia="zh-CN" w:bidi="ar-SA"/>
              </w:rPr>
            </w:pPr>
            <w:r>
              <w:rPr>
                <w:rFonts w:hint="eastAsia" w:cs="Times New Roman"/>
                <w:color w:val="auto"/>
                <w:sz w:val="21"/>
                <w:szCs w:val="21"/>
                <w:vertAlign w:val="baseline"/>
                <w:lang w:val="en-US" w:eastAsia="zh-CN"/>
              </w:rPr>
              <w:t>259</w:t>
            </w:r>
            <w:r>
              <w:rPr>
                <w:rFonts w:hint="default" w:ascii="Times New Roman" w:hAnsi="Times New Roman" w:cs="Times New Roman"/>
                <w:color w:val="auto"/>
                <w:sz w:val="21"/>
                <w:szCs w:val="21"/>
                <w:vertAlign w:val="baseline"/>
                <w:lang w:val="en-US" w:eastAsia="zh-CN"/>
              </w:rPr>
              <w:t xml:space="preserve"> (</w:t>
            </w:r>
            <w:r>
              <w:rPr>
                <w:rFonts w:hint="eastAsia" w:cs="Times New Roman"/>
                <w:color w:val="auto"/>
                <w:sz w:val="21"/>
                <w:szCs w:val="21"/>
                <w:vertAlign w:val="baseline"/>
                <w:lang w:val="en-US" w:eastAsia="zh-CN"/>
              </w:rPr>
              <w:t>6</w:t>
            </w:r>
            <w:r>
              <w:rPr>
                <w:rFonts w:hint="default" w:ascii="Times New Roman" w:hAnsi="Times New Roman" w:cs="Times New Roman"/>
                <w:color w:val="auto"/>
                <w:sz w:val="21"/>
                <w:szCs w:val="21"/>
                <w:vertAlign w:val="baseline"/>
                <w:lang w:val="en-US" w:eastAsia="zh-CN"/>
              </w:rPr>
              <w:t>)</w:t>
            </w:r>
          </w:p>
        </w:tc>
        <w:tc>
          <w:tcPr>
            <w:tcW w:w="2126" w:type="dxa"/>
            <w:tcBorders>
              <w:bottom w:val="single" w:color="auto" w:sz="12" w:space="0"/>
            </w:tcBorders>
            <w:shd w:val="clear" w:color="auto" w:fill="auto"/>
            <w:vAlign w:val="top"/>
          </w:tcPr>
          <w:p w14:paraId="1768B956">
            <w:pPr>
              <w:spacing w:beforeLines="0" w:afterLines="0" w:line="240" w:lineRule="auto"/>
              <w:jc w:val="left"/>
              <w:rPr>
                <w:rFonts w:hint="default" w:ascii="Times New Roman" w:hAnsi="Times New Roman" w:eastAsia="宋体" w:cs="Times New Roman"/>
                <w:color w:val="auto"/>
                <w:sz w:val="21"/>
                <w:szCs w:val="21"/>
                <w:vertAlign w:val="baseline"/>
                <w:lang w:val="en-US" w:eastAsia="zh-CN" w:bidi="ar-SA"/>
              </w:rPr>
            </w:pPr>
            <w:r>
              <w:rPr>
                <w:rFonts w:hint="default" w:ascii="Times New Roman" w:hAnsi="Times New Roman" w:cs="Times New Roman"/>
                <w:color w:val="auto"/>
                <w:sz w:val="21"/>
                <w:szCs w:val="21"/>
                <w:highlight w:val="none"/>
                <w:vertAlign w:val="baseline"/>
                <w:lang w:val="en-US" w:eastAsia="zh-CN"/>
              </w:rPr>
              <w:t>−0.2</w:t>
            </w:r>
            <w:r>
              <w:rPr>
                <w:rFonts w:hint="eastAsia" w:cs="Times New Roman"/>
                <w:color w:val="auto"/>
                <w:sz w:val="21"/>
                <w:szCs w:val="21"/>
                <w:highlight w:val="none"/>
                <w:vertAlign w:val="baseline"/>
                <w:lang w:val="en-US" w:eastAsia="zh-CN"/>
              </w:rPr>
              <w:t>2</w:t>
            </w:r>
            <w:r>
              <w:rPr>
                <w:rFonts w:hint="default" w:ascii="Times New Roman" w:hAnsi="Times New Roman" w:cs="Times New Roman"/>
                <w:color w:val="auto"/>
                <w:sz w:val="21"/>
                <w:szCs w:val="21"/>
                <w:highlight w:val="none"/>
                <w:vertAlign w:val="baseline"/>
                <w:lang w:val="en-US" w:eastAsia="zh-CN"/>
              </w:rPr>
              <w:t xml:space="preserve"> (−0.</w:t>
            </w:r>
            <w:r>
              <w:rPr>
                <w:rFonts w:hint="eastAsia" w:cs="Times New Roman"/>
                <w:color w:val="auto"/>
                <w:sz w:val="21"/>
                <w:szCs w:val="21"/>
                <w:highlight w:val="none"/>
                <w:vertAlign w:val="baseline"/>
                <w:lang w:val="en-US" w:eastAsia="zh-CN"/>
              </w:rPr>
              <w:t>70</w:t>
            </w:r>
            <w:r>
              <w:rPr>
                <w:rFonts w:hint="default" w:ascii="Times New Roman" w:hAnsi="Times New Roman" w:cs="Times New Roman"/>
                <w:color w:val="auto"/>
                <w:sz w:val="21"/>
                <w:szCs w:val="21"/>
                <w:highlight w:val="none"/>
                <w:vertAlign w:val="baseline"/>
                <w:lang w:val="en-US" w:eastAsia="zh-CN"/>
              </w:rPr>
              <w:t>, 0.27)</w:t>
            </w:r>
          </w:p>
        </w:tc>
        <w:tc>
          <w:tcPr>
            <w:tcW w:w="1984" w:type="dxa"/>
            <w:tcBorders>
              <w:bottom w:val="single" w:color="auto" w:sz="12" w:space="0"/>
            </w:tcBorders>
            <w:vAlign w:val="top"/>
          </w:tcPr>
          <w:p w14:paraId="5C65E325">
            <w:pPr>
              <w:spacing w:line="240" w:lineRule="auto"/>
              <w:jc w:val="left"/>
              <w:rPr>
                <w:rFonts w:hint="default" w:ascii="Times New Roman" w:hAnsi="Times New Roman" w:cs="Times New Roman"/>
                <w:b w:val="0"/>
                <w:color w:val="auto"/>
                <w:sz w:val="21"/>
                <w:szCs w:val="21"/>
                <w:lang w:val="en-US" w:eastAsia="zh-CN"/>
              </w:rPr>
            </w:pPr>
            <w:r>
              <w:rPr>
                <w:rFonts w:hint="default" w:ascii="Times New Roman" w:hAnsi="Times New Roman" w:cs="Times New Roman"/>
                <w:b w:val="0"/>
                <w:color w:val="auto"/>
                <w:sz w:val="21"/>
                <w:szCs w:val="21"/>
                <w:lang w:val="en-US" w:eastAsia="zh-CN"/>
              </w:rPr>
              <w:t>⨁</w:t>
            </w:r>
            <w:r>
              <w:rPr>
                <w:rFonts w:hint="default" w:ascii="Times New Roman" w:hAnsi="Times New Roman" w:cs="Times New Roman"/>
                <w:b w:val="0"/>
                <w:color w:val="auto"/>
                <w:sz w:val="21"/>
                <w:szCs w:val="21"/>
                <w:lang w:val="en-US" w:eastAsia="zh-CN"/>
              </w:rPr>
              <w:sym w:font="Wingdings" w:char="F0A1"/>
            </w:r>
            <w:r>
              <w:rPr>
                <w:rFonts w:hint="default" w:ascii="Times New Roman" w:hAnsi="Times New Roman" w:cs="Times New Roman"/>
                <w:b w:val="0"/>
                <w:color w:val="auto"/>
                <w:sz w:val="21"/>
                <w:szCs w:val="21"/>
                <w:lang w:val="en-US" w:eastAsia="zh-CN"/>
              </w:rPr>
              <w:sym w:font="Wingdings" w:char="F0A1"/>
            </w:r>
            <w:r>
              <w:rPr>
                <w:rFonts w:hint="default" w:ascii="Times New Roman" w:hAnsi="Times New Roman" w:cs="Times New Roman"/>
                <w:b w:val="0"/>
                <w:color w:val="auto"/>
                <w:sz w:val="21"/>
                <w:szCs w:val="21"/>
                <w:lang w:val="en-US" w:eastAsia="zh-CN"/>
              </w:rPr>
              <w:sym w:font="Wingdings" w:char="F0A1"/>
            </w:r>
            <w:r>
              <w:rPr>
                <w:rFonts w:hint="eastAsia" w:ascii="Times New Roman" w:hAnsi="Times New Roman" w:cs="Times New Roman"/>
                <w:b w:val="0"/>
                <w:color w:val="auto"/>
                <w:sz w:val="21"/>
                <w:szCs w:val="21"/>
                <w:lang w:val="en-US" w:eastAsia="zh-CN"/>
              </w:rPr>
              <w:t xml:space="preserve"> Very l</w:t>
            </w:r>
            <w:r>
              <w:rPr>
                <w:rFonts w:hint="default" w:ascii="Times New Roman" w:hAnsi="Times New Roman" w:cs="Times New Roman"/>
                <w:b w:val="0"/>
                <w:color w:val="auto"/>
                <w:sz w:val="21"/>
                <w:szCs w:val="21"/>
                <w:lang w:val="en-US" w:eastAsia="zh-CN"/>
              </w:rPr>
              <w:t>ow</w:t>
            </w:r>
          </w:p>
        </w:tc>
      </w:tr>
    </w:tbl>
    <w:p w14:paraId="2633FF51">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cs="Times New Roman"/>
          <w:color w:val="auto"/>
          <w:sz w:val="24"/>
          <w:szCs w:val="24"/>
          <w:lang w:val="en-US" w:eastAsia="zh-CN"/>
        </w:rPr>
      </w:pPr>
      <w:r>
        <w:rPr>
          <w:rFonts w:hint="default" w:cs="Times New Roman"/>
          <w:color w:val="auto"/>
          <w:sz w:val="24"/>
          <w:szCs w:val="24"/>
          <w:lang w:val="en-US" w:eastAsia="zh-CN"/>
        </w:rPr>
        <w:t>ᵃ All contributing results were judged as having some concerns or high risk of bias; no quantitatively synthesized result was judged to be at low overall risk. Concerns primarily reflected participant-reported outcomes in generally unblinded interventions and, for some results, missing outcome data.</w:t>
      </w:r>
    </w:p>
    <w:p w14:paraId="0985BFEF">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cs="Times New Roman"/>
          <w:color w:val="auto"/>
          <w:sz w:val="24"/>
          <w:szCs w:val="24"/>
          <w:lang w:val="en-US" w:eastAsia="zh-CN"/>
        </w:rPr>
      </w:pPr>
      <w:r>
        <w:rPr>
          <w:rFonts w:hint="default" w:cs="Times New Roman"/>
          <w:color w:val="auto"/>
          <w:sz w:val="24"/>
          <w:szCs w:val="24"/>
          <w:lang w:val="en-US" w:eastAsia="zh-CN"/>
        </w:rPr>
        <w:t>ᵇ Inconsistency judgments considered the magnitude of statistical heterogeneity together with clinically relevant between-study variability. Anxiety was not downgraded because overall heterogeneity was modest (</w:t>
      </w:r>
      <w:r>
        <w:rPr>
          <w:rFonts w:hint="default" w:cs="Times New Roman"/>
          <w:i/>
          <w:iCs/>
          <w:color w:val="auto"/>
          <w:sz w:val="24"/>
          <w:szCs w:val="24"/>
          <w:lang w:val="en-US" w:eastAsia="zh-CN"/>
        </w:rPr>
        <w:t>I</w:t>
      </w:r>
      <w:r>
        <w:rPr>
          <w:rFonts w:hint="default" w:cs="Times New Roman"/>
          <w:color w:val="auto"/>
          <w:sz w:val="24"/>
          <w:szCs w:val="24"/>
          <w:lang w:val="en-US" w:eastAsia="zh-CN"/>
        </w:rPr>
        <w:t xml:space="preserve">²=38.30%; </w:t>
      </w:r>
      <w:r>
        <w:rPr>
          <w:rFonts w:hint="default" w:cs="Times New Roman"/>
          <w:i/>
          <w:iCs/>
          <w:color w:val="auto"/>
          <w:sz w:val="24"/>
          <w:szCs w:val="24"/>
          <w:lang w:val="en-US" w:eastAsia="zh-CN"/>
        </w:rPr>
        <w:t>τ</w:t>
      </w:r>
      <w:r>
        <w:rPr>
          <w:rFonts w:hint="default" w:cs="Times New Roman"/>
          <w:color w:val="auto"/>
          <w:sz w:val="24"/>
          <w:szCs w:val="24"/>
          <w:lang w:val="en-US" w:eastAsia="zh-CN"/>
        </w:rPr>
        <w:t>²=0.062), and the nominal subgroup differences by intervention and comparator type arose from exploratory analyses with small subgroup sizes and no multiplicity correction; these findings were therefore not treated as confirmatory evidence of effect modification. Stress was downgraded because heterogeneity was substantial (</w:t>
      </w:r>
      <w:r>
        <w:rPr>
          <w:rFonts w:hint="default" w:cs="Times New Roman"/>
          <w:i/>
          <w:iCs/>
          <w:color w:val="auto"/>
          <w:sz w:val="24"/>
          <w:szCs w:val="24"/>
          <w:lang w:val="en-US" w:eastAsia="zh-CN"/>
        </w:rPr>
        <w:t>I</w:t>
      </w:r>
      <w:r>
        <w:rPr>
          <w:rFonts w:hint="default" w:cs="Times New Roman"/>
          <w:color w:val="auto"/>
          <w:sz w:val="24"/>
          <w:szCs w:val="24"/>
          <w:lang w:val="en-US" w:eastAsia="zh-CN"/>
        </w:rPr>
        <w:t>²=76.17%). Pain was downgraded because the contributing studies represented clinically heterogeneous acute, procedural, and chronic pain contexts, and its 95% prediction interval (−1.138 to 0.708) encompassed effects in both directions.</w:t>
      </w:r>
    </w:p>
    <w:p w14:paraId="5BF5E14C">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cs="Times New Roman"/>
          <w:color w:val="auto"/>
          <w:sz w:val="24"/>
          <w:szCs w:val="24"/>
          <w:lang w:val="en-US" w:eastAsia="zh-CN"/>
        </w:rPr>
      </w:pPr>
      <w:r>
        <w:rPr>
          <w:rFonts w:hint="default" w:cs="Times New Roman"/>
          <w:color w:val="auto"/>
          <w:sz w:val="24"/>
          <w:szCs w:val="24"/>
          <w:lang w:val="en-US" w:eastAsia="zh-CN"/>
        </w:rPr>
        <w:t>ᶜ The populations, interventions, comparators, and outcomes were consistent with the prespecified review question; therefore, no downgrade for indirectness was applied.</w:t>
      </w:r>
    </w:p>
    <w:p w14:paraId="30E14260">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cs="Times New Roman"/>
          <w:color w:val="auto"/>
          <w:sz w:val="24"/>
          <w:szCs w:val="24"/>
          <w:lang w:val="en-US" w:eastAsia="zh-CN"/>
        </w:rPr>
      </w:pPr>
      <w:r>
        <w:rPr>
          <w:rFonts w:hint="default" w:cs="Times New Roman"/>
          <w:color w:val="auto"/>
          <w:sz w:val="24"/>
          <w:szCs w:val="24"/>
          <w:lang w:val="en-US" w:eastAsia="zh-CN"/>
        </w:rPr>
        <w:t>ᵈ Anxiety was downgraded one level for imprecision because the primary Knapp–Hartung 95% confidence interval (−0.64 to −0.15) crossed the outcome-directional operational threshold corresponding to |SMD|=0.20 (−0.20 for anxiety), and the accumulated information size (535 participants) was below the OIS of approximately 800 participants. The standardized-effect threshold was used only for the GRADE imprecision assessment and was not interpreted as a patient-level minimally important difference.</w:t>
      </w:r>
    </w:p>
    <w:p w14:paraId="63662803">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cs="Times New Roman"/>
          <w:color w:val="auto"/>
          <w:sz w:val="24"/>
          <w:szCs w:val="24"/>
          <w:lang w:val="en-US" w:eastAsia="zh-CN"/>
        </w:rPr>
      </w:pPr>
      <w:r>
        <w:rPr>
          <w:rFonts w:hint="default" w:cs="Times New Roman"/>
          <w:color w:val="auto"/>
          <w:sz w:val="24"/>
          <w:szCs w:val="24"/>
          <w:lang w:val="en-US" w:eastAsia="zh-CN"/>
        </w:rPr>
        <w:t>ᵉ Evidence was downgraded one level for imprecision when the accumulated information size was below the pragmatic OIS benchmark (approximately 800 participants) and/or the 95% CI encompassed values near the null as well as effects exceeding the operational |SMD|=0.20 threshold.</w:t>
      </w:r>
    </w:p>
    <w:p w14:paraId="2F3815D6">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cs="Times New Roman"/>
          <w:color w:val="auto"/>
          <w:sz w:val="24"/>
          <w:szCs w:val="24"/>
          <w:lang w:val="en-US" w:eastAsia="zh-CN"/>
        </w:rPr>
      </w:pPr>
      <w:r>
        <w:rPr>
          <w:rFonts w:hint="default" w:cs="Times New Roman"/>
          <w:color w:val="auto"/>
          <w:sz w:val="24"/>
          <w:szCs w:val="24"/>
          <w:lang w:val="en-US" w:eastAsia="zh-CN"/>
        </w:rPr>
        <w:t>ᶠ Negative affect was downgraded two levels for imprecision because the information size was far below the OIS benchmark (84 participants) and the very wide 95% CI (−1.46 to 0.88) extended beyond the operational |SMD|=0.20 threshold in both directions.</w:t>
      </w:r>
    </w:p>
    <w:p w14:paraId="4C04ED88">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cs="Times New Roman"/>
          <w:color w:val="auto"/>
          <w:sz w:val="24"/>
          <w:szCs w:val="24"/>
          <w:lang w:val="en-US" w:eastAsia="zh-CN"/>
        </w:rPr>
      </w:pPr>
      <w:r>
        <w:rPr>
          <w:rFonts w:hint="default" w:cs="Times New Roman"/>
          <w:i/>
          <w:iCs/>
          <w:color w:val="auto"/>
          <w:sz w:val="24"/>
          <w:szCs w:val="24"/>
          <w:lang w:val="en-US" w:eastAsia="zh-CN"/>
        </w:rPr>
        <w:t>Note:</w:t>
      </w:r>
      <w:r>
        <w:rPr>
          <w:rFonts w:hint="default" w:cs="Times New Roman"/>
          <w:color w:val="auto"/>
          <w:sz w:val="24"/>
          <w:szCs w:val="24"/>
          <w:lang w:val="en-US" w:eastAsia="zh-CN"/>
        </w:rPr>
        <w:t xml:space="preserve"> Effect estimates and confidence intervals are from the primary REML random-effects analyses with Knapp–Hartung inference. For anxiety and depressive symptoms, Egger’s and Begg’s tests did not indicate funnel-plot asymmetry/small-study effects and trim-and-fill imputed no missing studies; no publication-bias downgrade was applied. Formal funnel-plot asymmetry testing was not performed for outcomes with fewer than 10 studies because of low power; absence of formal testing was not treated as evidence of publication bias and did not by itself trigger downgrading. OIS, optimal information size; CI, confidence interval; VR, virtual reality.</w:t>
      </w:r>
    </w:p>
    <w:p w14:paraId="0EA48329">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eastAsia" w:cs="Times New Roman"/>
          <w:b/>
          <w:bCs/>
          <w:color w:val="auto"/>
          <w:sz w:val="24"/>
          <w:szCs w:val="24"/>
          <w:lang w:val="en-US" w:eastAsia="zh-CN"/>
        </w:rPr>
      </w:pPr>
    </w:p>
    <w:p w14:paraId="22249CD7">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eastAsia" w:cs="Times New Roman"/>
          <w:b/>
          <w:bCs/>
          <w:color w:val="auto"/>
          <w:sz w:val="24"/>
          <w:szCs w:val="24"/>
          <w:lang w:val="en-US" w:eastAsia="zh-CN"/>
        </w:rPr>
      </w:pPr>
    </w:p>
    <w:p w14:paraId="78D1D68E">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eastAsia" w:cs="Times New Roman"/>
          <w:b/>
          <w:bCs/>
          <w:color w:val="auto"/>
          <w:sz w:val="24"/>
          <w:szCs w:val="24"/>
          <w:lang w:val="en-US" w:eastAsia="zh-CN"/>
        </w:rPr>
      </w:pPr>
    </w:p>
    <w:p w14:paraId="7956D033">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eastAsia" w:cs="Times New Roman"/>
          <w:b/>
          <w:bCs/>
          <w:color w:val="auto"/>
          <w:sz w:val="24"/>
          <w:szCs w:val="24"/>
          <w:lang w:val="en-US" w:eastAsia="zh-CN"/>
        </w:rPr>
      </w:pPr>
    </w:p>
    <w:p w14:paraId="16E22A08">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eastAsia" w:cs="Times New Roman"/>
          <w:b/>
          <w:bCs/>
          <w:color w:val="auto"/>
          <w:sz w:val="24"/>
          <w:szCs w:val="24"/>
          <w:lang w:val="en-US" w:eastAsia="zh-CN"/>
        </w:rPr>
      </w:pPr>
    </w:p>
    <w:p w14:paraId="2AEFC30D">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eastAsia" w:cs="Times New Roman"/>
          <w:b/>
          <w:bCs/>
          <w:color w:val="auto"/>
          <w:sz w:val="24"/>
          <w:szCs w:val="24"/>
          <w:lang w:val="en-US" w:eastAsia="zh-CN"/>
        </w:rPr>
      </w:pPr>
    </w:p>
    <w:p w14:paraId="4F31ECA5">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eastAsia" w:cs="Times New Roman"/>
          <w:b/>
          <w:bCs/>
          <w:color w:val="auto"/>
          <w:sz w:val="24"/>
          <w:szCs w:val="24"/>
          <w:lang w:val="en-US" w:eastAsia="zh-CN"/>
        </w:rPr>
      </w:pPr>
    </w:p>
    <w:p w14:paraId="739169D9">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eastAsia" w:cs="Times New Roman"/>
          <w:b/>
          <w:bCs/>
          <w:color w:val="auto"/>
          <w:sz w:val="24"/>
          <w:szCs w:val="24"/>
          <w:lang w:val="en-US" w:eastAsia="zh-CN"/>
        </w:rPr>
      </w:pPr>
    </w:p>
    <w:p w14:paraId="74A7ECA8">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eastAsia" w:cs="Times New Roman"/>
          <w:b/>
          <w:bCs/>
          <w:color w:val="auto"/>
          <w:sz w:val="24"/>
          <w:szCs w:val="24"/>
          <w:lang w:val="en-US" w:eastAsia="zh-CN"/>
        </w:rPr>
      </w:pPr>
    </w:p>
    <w:p w14:paraId="0E763F72">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eastAsia" w:cs="Times New Roman"/>
          <w:b/>
          <w:bCs/>
          <w:color w:val="auto"/>
          <w:sz w:val="24"/>
          <w:szCs w:val="24"/>
          <w:lang w:val="en-US" w:eastAsia="zh-CN"/>
        </w:rPr>
      </w:pPr>
    </w:p>
    <w:p w14:paraId="7FC1C6F8">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eastAsia" w:cs="Times New Roman"/>
          <w:b/>
          <w:bCs/>
          <w:color w:val="auto"/>
          <w:sz w:val="24"/>
          <w:szCs w:val="24"/>
          <w:lang w:val="en-US" w:eastAsia="zh-CN"/>
        </w:rPr>
      </w:pPr>
    </w:p>
    <w:p w14:paraId="63D55867">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eastAsia" w:cs="Times New Roman"/>
          <w:b/>
          <w:bCs/>
          <w:color w:val="auto"/>
          <w:sz w:val="24"/>
          <w:szCs w:val="24"/>
          <w:lang w:val="en-US" w:eastAsia="zh-CN"/>
        </w:rPr>
      </w:pPr>
    </w:p>
    <w:p w14:paraId="2C7ABC3F">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eastAsia" w:cs="Times New Roman"/>
          <w:b/>
          <w:bCs/>
          <w:color w:val="auto"/>
          <w:sz w:val="24"/>
          <w:szCs w:val="24"/>
          <w:lang w:val="en-US" w:eastAsia="zh-CN"/>
        </w:rPr>
      </w:pPr>
    </w:p>
    <w:p w14:paraId="21686C5A">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eastAsia" w:cs="Times New Roman"/>
          <w:b/>
          <w:bCs/>
          <w:color w:val="auto"/>
          <w:sz w:val="24"/>
          <w:szCs w:val="24"/>
          <w:lang w:val="en-US" w:eastAsia="zh-CN"/>
        </w:rPr>
      </w:pPr>
    </w:p>
    <w:p w14:paraId="6A546CF8">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eastAsia" w:cs="Times New Roman"/>
          <w:b/>
          <w:bCs/>
          <w:color w:val="auto"/>
          <w:sz w:val="24"/>
          <w:szCs w:val="24"/>
          <w:lang w:val="en-US" w:eastAsia="zh-CN"/>
        </w:rPr>
      </w:pPr>
    </w:p>
    <w:p w14:paraId="25EA7670">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cs="Times New Roman"/>
          <w:color w:val="auto"/>
          <w:sz w:val="24"/>
          <w:szCs w:val="24"/>
          <w:lang w:val="en-US" w:eastAsia="zh-CN"/>
        </w:rPr>
      </w:pPr>
      <w:r>
        <w:rPr>
          <w:rFonts w:hint="eastAsia" w:cs="Times New Roman"/>
          <w:b/>
          <w:bCs/>
          <w:color w:val="auto"/>
          <w:sz w:val="24"/>
          <w:szCs w:val="24"/>
          <w:lang w:val="en-US" w:eastAsia="zh-CN"/>
        </w:rPr>
        <w:t>Table S17.</w:t>
      </w:r>
      <w:r>
        <w:rPr>
          <w:rFonts w:hint="eastAsia" w:cs="Times New Roman"/>
          <w:color w:val="auto"/>
          <w:sz w:val="24"/>
          <w:szCs w:val="24"/>
          <w:lang w:val="en-US" w:eastAsia="zh-CN"/>
        </w:rPr>
        <w:t xml:space="preserve"> Study-level eligibility and analytic coding of included randomized trials</w:t>
      </w:r>
    </w:p>
    <w:p w14:paraId="43A87FB2">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cs="Times New Roman"/>
          <w:color w:val="auto"/>
          <w:sz w:val="24"/>
          <w:szCs w:val="24"/>
          <w:lang w:val="en-US" w:eastAsia="zh-CN"/>
        </w:rPr>
      </w:pPr>
      <w:r>
        <w:rPr>
          <w:rFonts w:hint="default" w:cs="Times New Roman"/>
          <w:b/>
          <w:bCs/>
          <w:color w:val="auto"/>
          <w:sz w:val="24"/>
          <w:szCs w:val="24"/>
          <w:lang w:val="en-US" w:eastAsia="zh-CN"/>
        </w:rPr>
        <w:t>A</w:t>
      </w:r>
      <w:r>
        <w:rPr>
          <w:rFonts w:hint="default" w:cs="Times New Roman"/>
          <w:color w:val="auto"/>
          <w:sz w:val="24"/>
          <w:szCs w:val="24"/>
          <w:lang w:val="en-US" w:eastAsia="zh-CN"/>
        </w:rPr>
        <w:t>. Study-level age, intervention eligibility, comparator, and time-matching coding</w:t>
      </w:r>
    </w:p>
    <w:tbl>
      <w:tblPr>
        <w:tblStyle w:val="6"/>
        <w:tblW w:w="16582" w:type="dxa"/>
        <w:jc w:val="center"/>
        <w:tblBorders>
          <w:top w:val="single" w:color="777777" w:sz="4" w:space="0"/>
          <w:left w:val="single" w:color="777777" w:sz="4" w:space="0"/>
          <w:bottom w:val="single" w:color="777777" w:sz="4" w:space="0"/>
          <w:right w:val="single" w:color="777777" w:sz="4" w:space="0"/>
          <w:insideH w:val="single" w:color="777777" w:sz="4" w:space="0"/>
          <w:insideV w:val="single" w:color="777777" w:sz="4" w:space="0"/>
        </w:tblBorders>
        <w:shd w:val="clear" w:color="auto" w:fill="auto"/>
        <w:tblLayout w:type="fixed"/>
        <w:tblCellMar>
          <w:top w:w="0" w:type="dxa"/>
          <w:left w:w="108" w:type="dxa"/>
          <w:bottom w:w="0" w:type="dxa"/>
          <w:right w:w="108" w:type="dxa"/>
        </w:tblCellMar>
      </w:tblPr>
      <w:tblGrid>
        <w:gridCol w:w="2047"/>
        <w:gridCol w:w="1638"/>
        <w:gridCol w:w="1134"/>
        <w:gridCol w:w="1548"/>
        <w:gridCol w:w="5538"/>
        <w:gridCol w:w="1972"/>
        <w:gridCol w:w="1288"/>
        <w:gridCol w:w="1417"/>
      </w:tblGrid>
      <w:tr w14:paraId="548B1CAD">
        <w:tblPrEx>
          <w:tblBorders>
            <w:top w:val="single" w:color="777777" w:sz="4" w:space="0"/>
            <w:left w:val="single" w:color="777777" w:sz="4" w:space="0"/>
            <w:bottom w:val="single" w:color="777777" w:sz="4" w:space="0"/>
            <w:right w:val="single" w:color="777777" w:sz="4" w:space="0"/>
            <w:insideH w:val="single" w:color="777777" w:sz="4" w:space="0"/>
            <w:insideV w:val="single" w:color="777777" w:sz="4" w:space="0"/>
          </w:tblBorders>
          <w:shd w:val="clear" w:color="auto" w:fill="auto"/>
          <w:tblCellMar>
            <w:top w:w="0" w:type="dxa"/>
            <w:left w:w="108" w:type="dxa"/>
            <w:bottom w:w="0" w:type="dxa"/>
            <w:right w:w="108" w:type="dxa"/>
          </w:tblCellMar>
        </w:tblPrEx>
        <w:trPr>
          <w:cantSplit/>
          <w:tblHeader/>
          <w:jc w:val="center"/>
        </w:trPr>
        <w:tc>
          <w:tcPr>
            <w:tcW w:w="2047" w:type="dxa"/>
            <w:shd w:val="clear" w:color="auto" w:fill="auto"/>
            <w:tcMar>
              <w:top w:w="45" w:type="dxa"/>
              <w:left w:w="55" w:type="dxa"/>
              <w:bottom w:w="45" w:type="dxa"/>
              <w:right w:w="55" w:type="dxa"/>
            </w:tcMar>
            <w:vAlign w:val="center"/>
          </w:tcPr>
          <w:p w14:paraId="47602B09">
            <w:pPr>
              <w:spacing w:before="0" w:after="0" w:line="240" w:lineRule="auto"/>
              <w:jc w:val="center"/>
              <w:rPr>
                <w:rFonts w:hint="default" w:ascii="Times New Roman" w:hAnsi="Times New Roman" w:cs="Times New Roman"/>
                <w:sz w:val="21"/>
                <w:szCs w:val="21"/>
              </w:rPr>
            </w:pPr>
            <w:r>
              <w:rPr>
                <w:rFonts w:hint="default" w:ascii="Times New Roman" w:hAnsi="Times New Roman" w:eastAsia="Times New Roman" w:cs="Times New Roman"/>
                <w:b/>
                <w:sz w:val="21"/>
                <w:szCs w:val="21"/>
              </w:rPr>
              <w:t>Study</w:t>
            </w:r>
          </w:p>
        </w:tc>
        <w:tc>
          <w:tcPr>
            <w:tcW w:w="1638" w:type="dxa"/>
            <w:shd w:val="clear" w:color="auto" w:fill="auto"/>
            <w:tcMar>
              <w:top w:w="45" w:type="dxa"/>
              <w:left w:w="55" w:type="dxa"/>
              <w:bottom w:w="45" w:type="dxa"/>
              <w:right w:w="55" w:type="dxa"/>
            </w:tcMar>
            <w:vAlign w:val="center"/>
          </w:tcPr>
          <w:p w14:paraId="412FE7DC">
            <w:pPr>
              <w:spacing w:before="0" w:after="0" w:line="240" w:lineRule="auto"/>
              <w:jc w:val="center"/>
              <w:rPr>
                <w:rFonts w:hint="default" w:ascii="Times New Roman" w:hAnsi="Times New Roman" w:cs="Times New Roman"/>
                <w:sz w:val="21"/>
                <w:szCs w:val="21"/>
              </w:rPr>
            </w:pPr>
            <w:r>
              <w:rPr>
                <w:rFonts w:hint="default" w:ascii="Times New Roman" w:hAnsi="Times New Roman" w:eastAsia="Times New Roman" w:cs="Times New Roman"/>
                <w:b/>
                <w:sz w:val="21"/>
                <w:szCs w:val="21"/>
              </w:rPr>
              <w:t>Age data used for eligibility</w:t>
            </w:r>
          </w:p>
        </w:tc>
        <w:tc>
          <w:tcPr>
            <w:tcW w:w="1134" w:type="dxa"/>
            <w:shd w:val="clear" w:color="auto" w:fill="auto"/>
            <w:tcMar>
              <w:top w:w="45" w:type="dxa"/>
              <w:left w:w="55" w:type="dxa"/>
              <w:bottom w:w="45" w:type="dxa"/>
              <w:right w:w="55" w:type="dxa"/>
            </w:tcMar>
            <w:vAlign w:val="center"/>
          </w:tcPr>
          <w:p w14:paraId="27C297FB">
            <w:pPr>
              <w:spacing w:before="0" w:after="0" w:line="240" w:lineRule="auto"/>
              <w:jc w:val="center"/>
              <w:rPr>
                <w:rFonts w:hint="default" w:ascii="Times New Roman" w:hAnsi="Times New Roman" w:cs="Times New Roman"/>
                <w:sz w:val="21"/>
                <w:szCs w:val="21"/>
              </w:rPr>
            </w:pPr>
            <w:r>
              <w:rPr>
                <w:rFonts w:hint="default" w:ascii="Times New Roman" w:hAnsi="Times New Roman" w:eastAsia="Times New Roman" w:cs="Times New Roman"/>
                <w:b/>
                <w:sz w:val="21"/>
                <w:szCs w:val="21"/>
              </w:rPr>
              <w:t xml:space="preserve">Age </w:t>
            </w:r>
            <w:r>
              <w:rPr>
                <w:rFonts w:hint="default" w:ascii="Times New Roman" w:hAnsi="Times New Roman" w:eastAsia="宋体" w:cs="Times New Roman"/>
                <w:b/>
                <w:sz w:val="21"/>
                <w:szCs w:val="21"/>
                <w:lang w:val="en-US" w:eastAsia="zh-CN"/>
              </w:rPr>
              <w:t>≥</w:t>
            </w:r>
            <w:r>
              <w:rPr>
                <w:rFonts w:hint="default" w:ascii="Times New Roman" w:hAnsi="Times New Roman" w:eastAsia="Times New Roman" w:cs="Times New Roman"/>
                <w:b/>
                <w:sz w:val="21"/>
                <w:szCs w:val="21"/>
              </w:rPr>
              <w:t>60 sensitivity</w:t>
            </w:r>
          </w:p>
        </w:tc>
        <w:tc>
          <w:tcPr>
            <w:tcW w:w="1548" w:type="dxa"/>
            <w:shd w:val="clear" w:color="auto" w:fill="auto"/>
            <w:tcMar>
              <w:top w:w="45" w:type="dxa"/>
              <w:left w:w="55" w:type="dxa"/>
              <w:bottom w:w="45" w:type="dxa"/>
              <w:right w:w="55" w:type="dxa"/>
            </w:tcMar>
            <w:vAlign w:val="center"/>
          </w:tcPr>
          <w:p w14:paraId="71E62F36">
            <w:pPr>
              <w:spacing w:before="0" w:after="0" w:line="240" w:lineRule="auto"/>
              <w:jc w:val="center"/>
              <w:rPr>
                <w:rFonts w:hint="default" w:ascii="Times New Roman" w:hAnsi="Times New Roman" w:cs="Times New Roman"/>
                <w:sz w:val="21"/>
                <w:szCs w:val="21"/>
              </w:rPr>
            </w:pPr>
            <w:r>
              <w:rPr>
                <w:rFonts w:hint="default" w:ascii="Times New Roman" w:hAnsi="Times New Roman" w:eastAsia="Times New Roman" w:cs="Times New Roman"/>
                <w:b/>
                <w:sz w:val="21"/>
                <w:szCs w:val="21"/>
              </w:rPr>
              <w:t>Intervention category</w:t>
            </w:r>
          </w:p>
        </w:tc>
        <w:tc>
          <w:tcPr>
            <w:tcW w:w="5538" w:type="dxa"/>
            <w:shd w:val="clear" w:color="auto" w:fill="auto"/>
            <w:tcMar>
              <w:top w:w="45" w:type="dxa"/>
              <w:left w:w="55" w:type="dxa"/>
              <w:bottom w:w="45" w:type="dxa"/>
              <w:right w:w="55" w:type="dxa"/>
            </w:tcMar>
            <w:vAlign w:val="center"/>
          </w:tcPr>
          <w:p w14:paraId="36FB454E">
            <w:pPr>
              <w:spacing w:before="0" w:after="0" w:line="240" w:lineRule="auto"/>
              <w:jc w:val="center"/>
              <w:rPr>
                <w:rFonts w:hint="default" w:ascii="Times New Roman" w:hAnsi="Times New Roman" w:cs="Times New Roman"/>
                <w:sz w:val="21"/>
                <w:szCs w:val="21"/>
              </w:rPr>
            </w:pPr>
            <w:r>
              <w:rPr>
                <w:rFonts w:hint="default" w:ascii="Times New Roman" w:hAnsi="Times New Roman" w:eastAsia="Times New Roman" w:cs="Times New Roman"/>
                <w:b/>
                <w:sz w:val="21"/>
                <w:szCs w:val="21"/>
              </w:rPr>
              <w:t>Study-level eligibility rationale</w:t>
            </w:r>
          </w:p>
        </w:tc>
        <w:tc>
          <w:tcPr>
            <w:tcW w:w="1972" w:type="dxa"/>
            <w:shd w:val="clear" w:color="auto" w:fill="auto"/>
            <w:tcMar>
              <w:top w:w="45" w:type="dxa"/>
              <w:left w:w="55" w:type="dxa"/>
              <w:bottom w:w="45" w:type="dxa"/>
              <w:right w:w="55" w:type="dxa"/>
            </w:tcMar>
            <w:vAlign w:val="center"/>
          </w:tcPr>
          <w:p w14:paraId="46AA36FF">
            <w:pPr>
              <w:spacing w:before="0" w:after="0" w:line="240" w:lineRule="auto"/>
              <w:jc w:val="center"/>
              <w:rPr>
                <w:rFonts w:hint="default" w:ascii="Times New Roman" w:hAnsi="Times New Roman" w:cs="Times New Roman"/>
                <w:sz w:val="21"/>
                <w:szCs w:val="21"/>
              </w:rPr>
            </w:pPr>
            <w:r>
              <w:rPr>
                <w:rFonts w:hint="default" w:ascii="Times New Roman" w:hAnsi="Times New Roman" w:eastAsia="Times New Roman" w:cs="Times New Roman"/>
                <w:b/>
                <w:sz w:val="21"/>
                <w:szCs w:val="21"/>
              </w:rPr>
              <w:t>Comparator</w:t>
            </w:r>
          </w:p>
        </w:tc>
        <w:tc>
          <w:tcPr>
            <w:tcW w:w="1288" w:type="dxa"/>
            <w:shd w:val="clear" w:color="auto" w:fill="auto"/>
            <w:tcMar>
              <w:top w:w="45" w:type="dxa"/>
              <w:left w:w="55" w:type="dxa"/>
              <w:bottom w:w="45" w:type="dxa"/>
              <w:right w:w="55" w:type="dxa"/>
            </w:tcMar>
            <w:vAlign w:val="center"/>
          </w:tcPr>
          <w:p w14:paraId="1054D14A">
            <w:pPr>
              <w:spacing w:before="0" w:after="0" w:line="240" w:lineRule="auto"/>
              <w:jc w:val="center"/>
              <w:rPr>
                <w:rFonts w:hint="default" w:ascii="Times New Roman" w:hAnsi="Times New Roman" w:cs="Times New Roman"/>
                <w:sz w:val="21"/>
                <w:szCs w:val="21"/>
              </w:rPr>
            </w:pPr>
            <w:r>
              <w:rPr>
                <w:rFonts w:hint="default" w:ascii="Times New Roman" w:hAnsi="Times New Roman" w:eastAsia="Times New Roman" w:cs="Times New Roman"/>
                <w:b/>
                <w:sz w:val="21"/>
                <w:szCs w:val="21"/>
              </w:rPr>
              <w:t>Comparator type</w:t>
            </w:r>
          </w:p>
        </w:tc>
        <w:tc>
          <w:tcPr>
            <w:tcW w:w="1417" w:type="dxa"/>
            <w:shd w:val="clear" w:color="auto" w:fill="auto"/>
            <w:tcMar>
              <w:top w:w="45" w:type="dxa"/>
              <w:left w:w="55" w:type="dxa"/>
              <w:bottom w:w="45" w:type="dxa"/>
              <w:right w:w="55" w:type="dxa"/>
            </w:tcMar>
            <w:vAlign w:val="center"/>
          </w:tcPr>
          <w:p w14:paraId="12AE4A30">
            <w:pPr>
              <w:spacing w:before="0" w:after="0" w:line="240" w:lineRule="auto"/>
              <w:jc w:val="center"/>
              <w:rPr>
                <w:rFonts w:hint="default" w:ascii="Times New Roman" w:hAnsi="Times New Roman" w:cs="Times New Roman"/>
                <w:sz w:val="21"/>
                <w:szCs w:val="21"/>
              </w:rPr>
            </w:pPr>
            <w:r>
              <w:rPr>
                <w:rFonts w:hint="default" w:ascii="Times New Roman" w:hAnsi="Times New Roman" w:eastAsia="Times New Roman" w:cs="Times New Roman"/>
                <w:b/>
                <w:sz w:val="21"/>
                <w:szCs w:val="21"/>
              </w:rPr>
              <w:t>Time-matched</w:t>
            </w:r>
          </w:p>
        </w:tc>
      </w:tr>
      <w:tr w14:paraId="568495A3">
        <w:tblPrEx>
          <w:tblBorders>
            <w:top w:val="single" w:color="777777" w:sz="4" w:space="0"/>
            <w:left w:val="single" w:color="777777" w:sz="4" w:space="0"/>
            <w:bottom w:val="single" w:color="777777" w:sz="4" w:space="0"/>
            <w:right w:val="single" w:color="777777" w:sz="4" w:space="0"/>
            <w:insideH w:val="single" w:color="777777" w:sz="4" w:space="0"/>
            <w:insideV w:val="single" w:color="777777" w:sz="4" w:space="0"/>
          </w:tblBorders>
          <w:shd w:val="clear" w:color="auto" w:fill="auto"/>
          <w:tblCellMar>
            <w:top w:w="0" w:type="dxa"/>
            <w:left w:w="108" w:type="dxa"/>
            <w:bottom w:w="0" w:type="dxa"/>
            <w:right w:w="108" w:type="dxa"/>
          </w:tblCellMar>
        </w:tblPrEx>
        <w:trPr>
          <w:cantSplit/>
          <w:jc w:val="center"/>
        </w:trPr>
        <w:tc>
          <w:tcPr>
            <w:tcW w:w="2047" w:type="dxa"/>
            <w:shd w:val="clear" w:color="auto" w:fill="auto"/>
            <w:tcMar>
              <w:top w:w="45" w:type="dxa"/>
              <w:left w:w="55" w:type="dxa"/>
              <w:bottom w:w="45" w:type="dxa"/>
              <w:right w:w="55" w:type="dxa"/>
            </w:tcMar>
            <w:vAlign w:val="top"/>
          </w:tcPr>
          <w:p w14:paraId="69398BD0">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Seethaler et al.</w:t>
            </w:r>
          </w:p>
        </w:tc>
        <w:tc>
          <w:tcPr>
            <w:tcW w:w="1638" w:type="dxa"/>
            <w:shd w:val="clear" w:color="auto" w:fill="auto"/>
            <w:tcMar>
              <w:top w:w="45" w:type="dxa"/>
              <w:left w:w="55" w:type="dxa"/>
              <w:bottom w:w="45" w:type="dxa"/>
              <w:right w:w="55" w:type="dxa"/>
            </w:tcMar>
            <w:vAlign w:val="top"/>
          </w:tcPr>
          <w:p w14:paraId="32DBC317">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IG: 71.41 (6.95)</w:t>
            </w:r>
            <w:r>
              <w:rPr>
                <w:rFonts w:hint="default" w:ascii="Times New Roman" w:hAnsi="Times New Roman" w:eastAsia="Times New Roman" w:cs="Times New Roman"/>
                <w:b w:val="0"/>
                <w:sz w:val="21"/>
                <w:szCs w:val="21"/>
              </w:rPr>
              <w:br w:type="textWrapping"/>
            </w:r>
            <w:r>
              <w:rPr>
                <w:rFonts w:hint="default" w:ascii="Times New Roman" w:hAnsi="Times New Roman" w:eastAsia="Times New Roman" w:cs="Times New Roman"/>
                <w:b w:val="0"/>
                <w:sz w:val="21"/>
                <w:szCs w:val="21"/>
              </w:rPr>
              <w:t>CG: 70.55 (8.01)</w:t>
            </w:r>
          </w:p>
        </w:tc>
        <w:tc>
          <w:tcPr>
            <w:tcW w:w="1134" w:type="dxa"/>
            <w:shd w:val="clear" w:color="auto" w:fill="auto"/>
            <w:tcMar>
              <w:top w:w="45" w:type="dxa"/>
              <w:left w:w="55" w:type="dxa"/>
              <w:bottom w:w="45" w:type="dxa"/>
              <w:right w:w="55" w:type="dxa"/>
            </w:tcMar>
            <w:vAlign w:val="top"/>
          </w:tcPr>
          <w:p w14:paraId="7D3F6C1F">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Yes</w:t>
            </w:r>
          </w:p>
        </w:tc>
        <w:tc>
          <w:tcPr>
            <w:tcW w:w="1548" w:type="dxa"/>
            <w:shd w:val="clear" w:color="auto" w:fill="auto"/>
            <w:tcMar>
              <w:top w:w="45" w:type="dxa"/>
              <w:left w:w="55" w:type="dxa"/>
              <w:bottom w:w="45" w:type="dxa"/>
              <w:right w:w="55" w:type="dxa"/>
            </w:tcMar>
            <w:vAlign w:val="top"/>
          </w:tcPr>
          <w:p w14:paraId="63F729E8">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VR relaxation</w:t>
            </w:r>
          </w:p>
        </w:tc>
        <w:tc>
          <w:tcPr>
            <w:tcW w:w="5538" w:type="dxa"/>
            <w:shd w:val="clear" w:color="auto" w:fill="auto"/>
            <w:tcMar>
              <w:top w:w="45" w:type="dxa"/>
              <w:left w:w="55" w:type="dxa"/>
              <w:bottom w:w="45" w:type="dxa"/>
              <w:right w:w="55" w:type="dxa"/>
            </w:tcMar>
            <w:vAlign w:val="top"/>
          </w:tcPr>
          <w:p w14:paraId="49EF98EC">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The intervention was explicitly designed and evaluated as a standardized VR-based therapeutic relaxation condition using an immersive calming virtual nature environment to induce relaxation and reduce emotional distress. Structured VR-based relaxation was prespecified as an eligible intervention in the registered review framework. Eligibility therefore rested on the intervention’s explicit therapeutic relaxation purpose and standardized delivery rather than on the presence of an additional mindfulness or breathing exercise; generic VR scenery or distraction without a structured therapeutic relaxation purpose would not have qualified.</w:t>
            </w:r>
          </w:p>
        </w:tc>
        <w:tc>
          <w:tcPr>
            <w:tcW w:w="1972" w:type="dxa"/>
            <w:shd w:val="clear" w:color="auto" w:fill="auto"/>
            <w:tcMar>
              <w:top w:w="45" w:type="dxa"/>
              <w:left w:w="55" w:type="dxa"/>
              <w:bottom w:w="45" w:type="dxa"/>
              <w:right w:w="55" w:type="dxa"/>
            </w:tcMar>
            <w:vAlign w:val="top"/>
          </w:tcPr>
          <w:p w14:paraId="096252D5">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Audio-guided imagery exercise</w:t>
            </w:r>
          </w:p>
        </w:tc>
        <w:tc>
          <w:tcPr>
            <w:tcW w:w="1288" w:type="dxa"/>
            <w:shd w:val="clear" w:color="auto" w:fill="auto"/>
            <w:tcMar>
              <w:top w:w="45" w:type="dxa"/>
              <w:left w:w="55" w:type="dxa"/>
              <w:bottom w:w="45" w:type="dxa"/>
              <w:right w:w="55" w:type="dxa"/>
            </w:tcMar>
            <w:vAlign w:val="top"/>
          </w:tcPr>
          <w:p w14:paraId="0917A127">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Active</w:t>
            </w:r>
          </w:p>
        </w:tc>
        <w:tc>
          <w:tcPr>
            <w:tcW w:w="1417" w:type="dxa"/>
            <w:shd w:val="clear" w:color="auto" w:fill="auto"/>
            <w:tcMar>
              <w:top w:w="45" w:type="dxa"/>
              <w:left w:w="55" w:type="dxa"/>
              <w:bottom w:w="45" w:type="dxa"/>
              <w:right w:w="55" w:type="dxa"/>
            </w:tcMar>
            <w:vAlign w:val="top"/>
          </w:tcPr>
          <w:p w14:paraId="09115C18">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Yes</w:t>
            </w:r>
          </w:p>
        </w:tc>
      </w:tr>
      <w:tr w14:paraId="07FE9FE7">
        <w:tblPrEx>
          <w:tblBorders>
            <w:top w:val="single" w:color="777777" w:sz="4" w:space="0"/>
            <w:left w:val="single" w:color="777777" w:sz="4" w:space="0"/>
            <w:bottom w:val="single" w:color="777777" w:sz="4" w:space="0"/>
            <w:right w:val="single" w:color="777777" w:sz="4" w:space="0"/>
            <w:insideH w:val="single" w:color="777777" w:sz="4" w:space="0"/>
            <w:insideV w:val="single" w:color="777777" w:sz="4" w:space="0"/>
          </w:tblBorders>
          <w:shd w:val="clear" w:color="auto" w:fill="auto"/>
          <w:tblCellMar>
            <w:top w:w="0" w:type="dxa"/>
            <w:left w:w="108" w:type="dxa"/>
            <w:bottom w:w="0" w:type="dxa"/>
            <w:right w:w="108" w:type="dxa"/>
          </w:tblCellMar>
        </w:tblPrEx>
        <w:trPr>
          <w:cantSplit/>
          <w:jc w:val="center"/>
        </w:trPr>
        <w:tc>
          <w:tcPr>
            <w:tcW w:w="2047" w:type="dxa"/>
            <w:shd w:val="clear" w:color="auto" w:fill="auto"/>
            <w:tcMar>
              <w:top w:w="45" w:type="dxa"/>
              <w:left w:w="55" w:type="dxa"/>
              <w:bottom w:w="45" w:type="dxa"/>
              <w:right w:w="55" w:type="dxa"/>
            </w:tcMar>
            <w:vAlign w:val="top"/>
          </w:tcPr>
          <w:p w14:paraId="49494327">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Sadowski et al.</w:t>
            </w:r>
          </w:p>
        </w:tc>
        <w:tc>
          <w:tcPr>
            <w:tcW w:w="1638" w:type="dxa"/>
            <w:shd w:val="clear" w:color="auto" w:fill="auto"/>
            <w:tcMar>
              <w:top w:w="45" w:type="dxa"/>
              <w:left w:w="55" w:type="dxa"/>
              <w:bottom w:w="45" w:type="dxa"/>
              <w:right w:w="55" w:type="dxa"/>
            </w:tcMar>
            <w:vAlign w:val="top"/>
          </w:tcPr>
          <w:p w14:paraId="389AFC87">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IG: 74.00 (7.43)</w:t>
            </w:r>
            <w:r>
              <w:rPr>
                <w:rFonts w:hint="default" w:ascii="Times New Roman" w:hAnsi="Times New Roman" w:eastAsia="Times New Roman" w:cs="Times New Roman"/>
                <w:b w:val="0"/>
                <w:sz w:val="21"/>
                <w:szCs w:val="21"/>
              </w:rPr>
              <w:br w:type="textWrapping"/>
            </w:r>
            <w:r>
              <w:rPr>
                <w:rFonts w:hint="default" w:ascii="Times New Roman" w:hAnsi="Times New Roman" w:eastAsia="Times New Roman" w:cs="Times New Roman"/>
                <w:b w:val="0"/>
                <w:sz w:val="21"/>
                <w:szCs w:val="21"/>
              </w:rPr>
              <w:t>CG: 76.00 (5.72)</w:t>
            </w:r>
          </w:p>
        </w:tc>
        <w:tc>
          <w:tcPr>
            <w:tcW w:w="1134" w:type="dxa"/>
            <w:shd w:val="clear" w:color="auto" w:fill="auto"/>
            <w:tcMar>
              <w:top w:w="45" w:type="dxa"/>
              <w:left w:w="55" w:type="dxa"/>
              <w:bottom w:w="45" w:type="dxa"/>
              <w:right w:w="55" w:type="dxa"/>
            </w:tcMar>
            <w:vAlign w:val="top"/>
          </w:tcPr>
          <w:p w14:paraId="100AFD10">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Yes</w:t>
            </w:r>
          </w:p>
        </w:tc>
        <w:tc>
          <w:tcPr>
            <w:tcW w:w="1548" w:type="dxa"/>
            <w:shd w:val="clear" w:color="auto" w:fill="auto"/>
            <w:tcMar>
              <w:top w:w="45" w:type="dxa"/>
              <w:left w:w="55" w:type="dxa"/>
              <w:bottom w:w="45" w:type="dxa"/>
              <w:right w:w="55" w:type="dxa"/>
            </w:tcMar>
            <w:vAlign w:val="top"/>
          </w:tcPr>
          <w:p w14:paraId="364FF7B1">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VR mindfulness</w:t>
            </w:r>
          </w:p>
        </w:tc>
        <w:tc>
          <w:tcPr>
            <w:tcW w:w="5538" w:type="dxa"/>
            <w:shd w:val="clear" w:color="auto" w:fill="auto"/>
            <w:tcMar>
              <w:top w:w="45" w:type="dxa"/>
              <w:left w:w="55" w:type="dxa"/>
              <w:bottom w:w="45" w:type="dxa"/>
              <w:right w:w="55" w:type="dxa"/>
            </w:tcMar>
            <w:vAlign w:val="top"/>
          </w:tcPr>
          <w:p w14:paraId="4B0FBEF4">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Each session combined a 10-min recorded guided mindfulness meditation with up to 10 min of open exploration of a virtual nature environment. The guided meditation explicitly trained present-moment attention/awareness and constituted the qualifying self-regulation component.</w:t>
            </w:r>
          </w:p>
        </w:tc>
        <w:tc>
          <w:tcPr>
            <w:tcW w:w="1972" w:type="dxa"/>
            <w:shd w:val="clear" w:color="auto" w:fill="auto"/>
            <w:tcMar>
              <w:top w:w="45" w:type="dxa"/>
              <w:left w:w="55" w:type="dxa"/>
              <w:bottom w:w="45" w:type="dxa"/>
              <w:right w:w="55" w:type="dxa"/>
            </w:tcMar>
            <w:vAlign w:val="top"/>
          </w:tcPr>
          <w:p w14:paraId="619A7573">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Psychoeducational pamphlet</w:t>
            </w:r>
          </w:p>
        </w:tc>
        <w:tc>
          <w:tcPr>
            <w:tcW w:w="1288" w:type="dxa"/>
            <w:shd w:val="clear" w:color="auto" w:fill="auto"/>
            <w:tcMar>
              <w:top w:w="45" w:type="dxa"/>
              <w:left w:w="55" w:type="dxa"/>
              <w:bottom w:w="45" w:type="dxa"/>
              <w:right w:w="55" w:type="dxa"/>
            </w:tcMar>
            <w:vAlign w:val="top"/>
          </w:tcPr>
          <w:p w14:paraId="577F524C">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Active</w:t>
            </w:r>
          </w:p>
        </w:tc>
        <w:tc>
          <w:tcPr>
            <w:tcW w:w="1417" w:type="dxa"/>
            <w:shd w:val="clear" w:color="auto" w:fill="auto"/>
            <w:tcMar>
              <w:top w:w="45" w:type="dxa"/>
              <w:left w:w="55" w:type="dxa"/>
              <w:bottom w:w="45" w:type="dxa"/>
              <w:right w:w="55" w:type="dxa"/>
            </w:tcMar>
            <w:vAlign w:val="top"/>
          </w:tcPr>
          <w:p w14:paraId="2F50AA1D">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No</w:t>
            </w:r>
          </w:p>
        </w:tc>
      </w:tr>
      <w:tr w14:paraId="543A8FF2">
        <w:tblPrEx>
          <w:tblBorders>
            <w:top w:val="single" w:color="777777" w:sz="4" w:space="0"/>
            <w:left w:val="single" w:color="777777" w:sz="4" w:space="0"/>
            <w:bottom w:val="single" w:color="777777" w:sz="4" w:space="0"/>
            <w:right w:val="single" w:color="777777" w:sz="4" w:space="0"/>
            <w:insideH w:val="single" w:color="777777" w:sz="4" w:space="0"/>
            <w:insideV w:val="single" w:color="777777" w:sz="4" w:space="0"/>
          </w:tblBorders>
          <w:shd w:val="clear" w:color="auto" w:fill="auto"/>
          <w:tblCellMar>
            <w:top w:w="0" w:type="dxa"/>
            <w:left w:w="108" w:type="dxa"/>
            <w:bottom w:w="0" w:type="dxa"/>
            <w:right w:w="108" w:type="dxa"/>
          </w:tblCellMar>
        </w:tblPrEx>
        <w:trPr>
          <w:cantSplit/>
          <w:jc w:val="center"/>
        </w:trPr>
        <w:tc>
          <w:tcPr>
            <w:tcW w:w="2047" w:type="dxa"/>
            <w:shd w:val="clear" w:color="auto" w:fill="auto"/>
            <w:tcMar>
              <w:top w:w="45" w:type="dxa"/>
              <w:left w:w="55" w:type="dxa"/>
              <w:bottom w:w="45" w:type="dxa"/>
              <w:right w:w="55" w:type="dxa"/>
            </w:tcMar>
            <w:vAlign w:val="top"/>
          </w:tcPr>
          <w:p w14:paraId="611A3FF8">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Prabhu et al.</w:t>
            </w:r>
          </w:p>
        </w:tc>
        <w:tc>
          <w:tcPr>
            <w:tcW w:w="1638" w:type="dxa"/>
            <w:shd w:val="clear" w:color="auto" w:fill="auto"/>
            <w:tcMar>
              <w:top w:w="45" w:type="dxa"/>
              <w:left w:w="55" w:type="dxa"/>
              <w:bottom w:w="45" w:type="dxa"/>
              <w:right w:w="55" w:type="dxa"/>
            </w:tcMar>
            <w:vAlign w:val="top"/>
          </w:tcPr>
          <w:p w14:paraId="20CB9F70">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Overall mean 66.30 (SD 8.20)</w:t>
            </w:r>
          </w:p>
        </w:tc>
        <w:tc>
          <w:tcPr>
            <w:tcW w:w="1134" w:type="dxa"/>
            <w:shd w:val="clear" w:color="auto" w:fill="auto"/>
            <w:tcMar>
              <w:top w:w="45" w:type="dxa"/>
              <w:left w:w="55" w:type="dxa"/>
              <w:bottom w:w="45" w:type="dxa"/>
              <w:right w:w="55" w:type="dxa"/>
            </w:tcMar>
            <w:vAlign w:val="top"/>
          </w:tcPr>
          <w:p w14:paraId="0F885D64">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Yes</w:t>
            </w:r>
          </w:p>
        </w:tc>
        <w:tc>
          <w:tcPr>
            <w:tcW w:w="1548" w:type="dxa"/>
            <w:shd w:val="clear" w:color="auto" w:fill="auto"/>
            <w:tcMar>
              <w:top w:w="45" w:type="dxa"/>
              <w:left w:w="55" w:type="dxa"/>
              <w:bottom w:w="45" w:type="dxa"/>
              <w:right w:w="55" w:type="dxa"/>
            </w:tcMar>
            <w:vAlign w:val="top"/>
          </w:tcPr>
          <w:p w14:paraId="057D35A7">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VR biofeedback</w:t>
            </w:r>
          </w:p>
        </w:tc>
        <w:tc>
          <w:tcPr>
            <w:tcW w:w="5538" w:type="dxa"/>
            <w:shd w:val="clear" w:color="auto" w:fill="auto"/>
            <w:tcMar>
              <w:top w:w="45" w:type="dxa"/>
              <w:left w:w="55" w:type="dxa"/>
              <w:bottom w:w="45" w:type="dxa"/>
              <w:right w:w="55" w:type="dxa"/>
            </w:tcMar>
            <w:vAlign w:val="top"/>
          </w:tcPr>
          <w:p w14:paraId="7BA67F83">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VR-integrated HRV biofeedback trained slow diaphragmatic resonance breathing (approximately 4-7 breaths/min). Real-time visual physiological feedback helped participants adjust breathing toward the target rate, so biofeedback functioned as intentional respiratory/autonomic self-regulation rather than physiological monitoring alone.</w:t>
            </w:r>
          </w:p>
        </w:tc>
        <w:tc>
          <w:tcPr>
            <w:tcW w:w="1972" w:type="dxa"/>
            <w:shd w:val="clear" w:color="auto" w:fill="auto"/>
            <w:tcMar>
              <w:top w:w="45" w:type="dxa"/>
              <w:left w:w="55" w:type="dxa"/>
              <w:bottom w:w="45" w:type="dxa"/>
              <w:right w:w="55" w:type="dxa"/>
            </w:tcMar>
            <w:vAlign w:val="top"/>
          </w:tcPr>
          <w:p w14:paraId="45DEBC18">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Quiet relaxation/rest without specific instructions, video stimuli, or HRV biofeedback</w:t>
            </w:r>
          </w:p>
        </w:tc>
        <w:tc>
          <w:tcPr>
            <w:tcW w:w="1288" w:type="dxa"/>
            <w:shd w:val="clear" w:color="auto" w:fill="auto"/>
            <w:tcMar>
              <w:top w:w="45" w:type="dxa"/>
              <w:left w:w="55" w:type="dxa"/>
              <w:bottom w:w="45" w:type="dxa"/>
              <w:right w:w="55" w:type="dxa"/>
            </w:tcMar>
            <w:vAlign w:val="top"/>
          </w:tcPr>
          <w:p w14:paraId="237B5907">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Nonactive</w:t>
            </w:r>
          </w:p>
        </w:tc>
        <w:tc>
          <w:tcPr>
            <w:tcW w:w="1417" w:type="dxa"/>
            <w:shd w:val="clear" w:color="auto" w:fill="auto"/>
            <w:tcMar>
              <w:top w:w="45" w:type="dxa"/>
              <w:left w:w="55" w:type="dxa"/>
              <w:bottom w:w="45" w:type="dxa"/>
              <w:right w:w="55" w:type="dxa"/>
            </w:tcMar>
            <w:vAlign w:val="top"/>
          </w:tcPr>
          <w:p w14:paraId="37A7779C">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Yes</w:t>
            </w:r>
          </w:p>
        </w:tc>
      </w:tr>
      <w:tr w14:paraId="7B75815C">
        <w:tblPrEx>
          <w:tblBorders>
            <w:top w:val="single" w:color="777777" w:sz="4" w:space="0"/>
            <w:left w:val="single" w:color="777777" w:sz="4" w:space="0"/>
            <w:bottom w:val="single" w:color="777777" w:sz="4" w:space="0"/>
            <w:right w:val="single" w:color="777777" w:sz="4" w:space="0"/>
            <w:insideH w:val="single" w:color="777777" w:sz="4" w:space="0"/>
            <w:insideV w:val="single" w:color="777777" w:sz="4" w:space="0"/>
          </w:tblBorders>
          <w:shd w:val="clear" w:color="auto" w:fill="auto"/>
          <w:tblCellMar>
            <w:top w:w="0" w:type="dxa"/>
            <w:left w:w="108" w:type="dxa"/>
            <w:bottom w:w="0" w:type="dxa"/>
            <w:right w:w="108" w:type="dxa"/>
          </w:tblCellMar>
        </w:tblPrEx>
        <w:trPr>
          <w:cantSplit/>
          <w:jc w:val="center"/>
        </w:trPr>
        <w:tc>
          <w:tcPr>
            <w:tcW w:w="2047" w:type="dxa"/>
            <w:shd w:val="clear" w:color="auto" w:fill="auto"/>
            <w:tcMar>
              <w:top w:w="45" w:type="dxa"/>
              <w:left w:w="55" w:type="dxa"/>
              <w:bottom w:w="45" w:type="dxa"/>
              <w:right w:w="55" w:type="dxa"/>
            </w:tcMar>
            <w:vAlign w:val="top"/>
          </w:tcPr>
          <w:p w14:paraId="0B4CAB45">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Szczepańska-Gieracha et al.</w:t>
            </w:r>
          </w:p>
        </w:tc>
        <w:tc>
          <w:tcPr>
            <w:tcW w:w="1638" w:type="dxa"/>
            <w:shd w:val="clear" w:color="auto" w:fill="auto"/>
            <w:tcMar>
              <w:top w:w="45" w:type="dxa"/>
              <w:left w:w="55" w:type="dxa"/>
              <w:bottom w:w="45" w:type="dxa"/>
              <w:right w:w="55" w:type="dxa"/>
            </w:tcMar>
            <w:vAlign w:val="top"/>
          </w:tcPr>
          <w:p w14:paraId="3A9A63FC">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IG: 70.18 (4.87)</w:t>
            </w:r>
            <w:r>
              <w:rPr>
                <w:rFonts w:hint="default" w:ascii="Times New Roman" w:hAnsi="Times New Roman" w:eastAsia="Times New Roman" w:cs="Times New Roman"/>
                <w:b w:val="0"/>
                <w:sz w:val="21"/>
                <w:szCs w:val="21"/>
              </w:rPr>
              <w:br w:type="textWrapping"/>
            </w:r>
            <w:r>
              <w:rPr>
                <w:rFonts w:hint="default" w:ascii="Times New Roman" w:hAnsi="Times New Roman" w:eastAsia="Times New Roman" w:cs="Times New Roman"/>
                <w:b w:val="0"/>
                <w:sz w:val="21"/>
                <w:szCs w:val="21"/>
              </w:rPr>
              <w:t>CG: 71.25 (4.41)</w:t>
            </w:r>
          </w:p>
        </w:tc>
        <w:tc>
          <w:tcPr>
            <w:tcW w:w="1134" w:type="dxa"/>
            <w:shd w:val="clear" w:color="auto" w:fill="auto"/>
            <w:tcMar>
              <w:top w:w="45" w:type="dxa"/>
              <w:left w:w="55" w:type="dxa"/>
              <w:bottom w:w="45" w:type="dxa"/>
              <w:right w:w="55" w:type="dxa"/>
            </w:tcMar>
            <w:vAlign w:val="top"/>
          </w:tcPr>
          <w:p w14:paraId="26691E8A">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Yes</w:t>
            </w:r>
          </w:p>
        </w:tc>
        <w:tc>
          <w:tcPr>
            <w:tcW w:w="1548" w:type="dxa"/>
            <w:shd w:val="clear" w:color="auto" w:fill="auto"/>
            <w:tcMar>
              <w:top w:w="45" w:type="dxa"/>
              <w:left w:w="55" w:type="dxa"/>
              <w:bottom w:w="45" w:type="dxa"/>
              <w:right w:w="55" w:type="dxa"/>
            </w:tcMar>
            <w:vAlign w:val="top"/>
          </w:tcPr>
          <w:p w14:paraId="2754832B">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Multicomponent VR intervention</w:t>
            </w:r>
          </w:p>
        </w:tc>
        <w:tc>
          <w:tcPr>
            <w:tcW w:w="5538" w:type="dxa"/>
            <w:shd w:val="clear" w:color="auto" w:fill="auto"/>
            <w:tcMar>
              <w:top w:w="45" w:type="dxa"/>
              <w:left w:w="55" w:type="dxa"/>
              <w:bottom w:w="45" w:type="dxa"/>
              <w:right w:w="55" w:type="dxa"/>
            </w:tcMar>
            <w:vAlign w:val="top"/>
          </w:tcPr>
          <w:p w14:paraId="4E440A45">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The Virtual Therapeutic Garden combined active mandala-colouring/metaphorical tasks with breathing exercises, mindfulness elements, and hypnotic suggestions within an Ericksonian therapeutic narrative. These components deliberately targeted attention, body awareness, relaxation, and psychological self-regulation.</w:t>
            </w:r>
          </w:p>
        </w:tc>
        <w:tc>
          <w:tcPr>
            <w:tcW w:w="1972" w:type="dxa"/>
            <w:shd w:val="clear" w:color="auto" w:fill="auto"/>
            <w:tcMar>
              <w:top w:w="45" w:type="dxa"/>
              <w:left w:w="55" w:type="dxa"/>
              <w:bottom w:w="45" w:type="dxa"/>
              <w:right w:w="55" w:type="dxa"/>
            </w:tcMar>
            <w:vAlign w:val="top"/>
          </w:tcPr>
          <w:p w14:paraId="52E32DA1">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Standard/background treatment</w:t>
            </w:r>
          </w:p>
        </w:tc>
        <w:tc>
          <w:tcPr>
            <w:tcW w:w="1288" w:type="dxa"/>
            <w:shd w:val="clear" w:color="auto" w:fill="auto"/>
            <w:tcMar>
              <w:top w:w="45" w:type="dxa"/>
              <w:left w:w="55" w:type="dxa"/>
              <w:bottom w:w="45" w:type="dxa"/>
              <w:right w:w="55" w:type="dxa"/>
            </w:tcMar>
            <w:vAlign w:val="top"/>
          </w:tcPr>
          <w:p w14:paraId="056A0BF2">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Nonactive</w:t>
            </w:r>
          </w:p>
        </w:tc>
        <w:tc>
          <w:tcPr>
            <w:tcW w:w="1417" w:type="dxa"/>
            <w:shd w:val="clear" w:color="auto" w:fill="auto"/>
            <w:tcMar>
              <w:top w:w="45" w:type="dxa"/>
              <w:left w:w="55" w:type="dxa"/>
              <w:bottom w:w="45" w:type="dxa"/>
              <w:right w:w="55" w:type="dxa"/>
            </w:tcMar>
            <w:vAlign w:val="top"/>
          </w:tcPr>
          <w:p w14:paraId="4B4BE708">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No</w:t>
            </w:r>
          </w:p>
        </w:tc>
      </w:tr>
      <w:tr w14:paraId="0B37CC1F">
        <w:tblPrEx>
          <w:tblBorders>
            <w:top w:val="single" w:color="777777" w:sz="4" w:space="0"/>
            <w:left w:val="single" w:color="777777" w:sz="4" w:space="0"/>
            <w:bottom w:val="single" w:color="777777" w:sz="4" w:space="0"/>
            <w:right w:val="single" w:color="777777" w:sz="4" w:space="0"/>
            <w:insideH w:val="single" w:color="777777" w:sz="4" w:space="0"/>
            <w:insideV w:val="single" w:color="777777" w:sz="4" w:space="0"/>
          </w:tblBorders>
          <w:shd w:val="clear" w:color="auto" w:fill="auto"/>
          <w:tblCellMar>
            <w:top w:w="0" w:type="dxa"/>
            <w:left w:w="108" w:type="dxa"/>
            <w:bottom w:w="0" w:type="dxa"/>
            <w:right w:w="108" w:type="dxa"/>
          </w:tblCellMar>
        </w:tblPrEx>
        <w:trPr>
          <w:cantSplit/>
          <w:jc w:val="center"/>
        </w:trPr>
        <w:tc>
          <w:tcPr>
            <w:tcW w:w="2047" w:type="dxa"/>
            <w:shd w:val="clear" w:color="auto" w:fill="auto"/>
            <w:tcMar>
              <w:top w:w="45" w:type="dxa"/>
              <w:left w:w="55" w:type="dxa"/>
              <w:bottom w:w="45" w:type="dxa"/>
              <w:right w:w="55" w:type="dxa"/>
            </w:tcMar>
            <w:vAlign w:val="top"/>
          </w:tcPr>
          <w:p w14:paraId="2B1AA798">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Cieślik et al.</w:t>
            </w:r>
          </w:p>
        </w:tc>
        <w:tc>
          <w:tcPr>
            <w:tcW w:w="1638" w:type="dxa"/>
            <w:shd w:val="clear" w:color="auto" w:fill="auto"/>
            <w:tcMar>
              <w:top w:w="45" w:type="dxa"/>
              <w:left w:w="55" w:type="dxa"/>
              <w:bottom w:w="45" w:type="dxa"/>
              <w:right w:w="55" w:type="dxa"/>
            </w:tcMar>
            <w:vAlign w:val="top"/>
          </w:tcPr>
          <w:p w14:paraId="5E6B515B">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IG: 68.77 (5.57)</w:t>
            </w:r>
            <w:r>
              <w:rPr>
                <w:rFonts w:hint="default" w:ascii="Times New Roman" w:hAnsi="Times New Roman" w:eastAsia="Times New Roman" w:cs="Times New Roman"/>
                <w:b w:val="0"/>
                <w:sz w:val="21"/>
                <w:szCs w:val="21"/>
              </w:rPr>
              <w:br w:type="textWrapping"/>
            </w:r>
            <w:r>
              <w:rPr>
                <w:rFonts w:hint="default" w:ascii="Times New Roman" w:hAnsi="Times New Roman" w:eastAsia="Times New Roman" w:cs="Times New Roman"/>
                <w:b w:val="0"/>
                <w:sz w:val="21"/>
                <w:szCs w:val="21"/>
              </w:rPr>
              <w:t>CG: 67.53 (5.51)</w:t>
            </w:r>
          </w:p>
        </w:tc>
        <w:tc>
          <w:tcPr>
            <w:tcW w:w="1134" w:type="dxa"/>
            <w:shd w:val="clear" w:color="auto" w:fill="auto"/>
            <w:tcMar>
              <w:top w:w="45" w:type="dxa"/>
              <w:left w:w="55" w:type="dxa"/>
              <w:bottom w:w="45" w:type="dxa"/>
              <w:right w:w="55" w:type="dxa"/>
            </w:tcMar>
            <w:vAlign w:val="top"/>
          </w:tcPr>
          <w:p w14:paraId="7ACA8D10">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Yes</w:t>
            </w:r>
          </w:p>
        </w:tc>
        <w:tc>
          <w:tcPr>
            <w:tcW w:w="1548" w:type="dxa"/>
            <w:shd w:val="clear" w:color="auto" w:fill="auto"/>
            <w:tcMar>
              <w:top w:w="45" w:type="dxa"/>
              <w:left w:w="55" w:type="dxa"/>
              <w:bottom w:w="45" w:type="dxa"/>
              <w:right w:w="55" w:type="dxa"/>
            </w:tcMar>
            <w:vAlign w:val="top"/>
          </w:tcPr>
          <w:p w14:paraId="652E5913">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Multicomponent VR mind-body intervention</w:t>
            </w:r>
          </w:p>
        </w:tc>
        <w:tc>
          <w:tcPr>
            <w:tcW w:w="5538" w:type="dxa"/>
            <w:shd w:val="clear" w:color="auto" w:fill="auto"/>
            <w:tcMar>
              <w:top w:w="45" w:type="dxa"/>
              <w:left w:w="55" w:type="dxa"/>
              <w:bottom w:w="45" w:type="dxa"/>
              <w:right w:w="55" w:type="dxa"/>
            </w:tcMar>
            <w:vAlign w:val="top"/>
          </w:tcPr>
          <w:p w14:paraId="404E297C">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The immersive Virtual Therapeutic Garden combined a Japanese-garden environment with Ericksonian/posthypnotic therapeutic elements, relaxing music, and active mandala-colouring/cognitive engagement. The structured content aimed to induce relaxation, sustain attentional engagement, and help participants recognize psychological resources.</w:t>
            </w:r>
          </w:p>
        </w:tc>
        <w:tc>
          <w:tcPr>
            <w:tcW w:w="1972" w:type="dxa"/>
            <w:shd w:val="clear" w:color="auto" w:fill="auto"/>
            <w:tcMar>
              <w:top w:w="45" w:type="dxa"/>
              <w:left w:w="55" w:type="dxa"/>
              <w:bottom w:w="45" w:type="dxa"/>
              <w:right w:w="55" w:type="dxa"/>
            </w:tcMar>
            <w:vAlign w:val="top"/>
          </w:tcPr>
          <w:p w14:paraId="0874BE51">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General fitness training + group relaxation + psychoeducation</w:t>
            </w:r>
          </w:p>
        </w:tc>
        <w:tc>
          <w:tcPr>
            <w:tcW w:w="1288" w:type="dxa"/>
            <w:shd w:val="clear" w:color="auto" w:fill="auto"/>
            <w:tcMar>
              <w:top w:w="45" w:type="dxa"/>
              <w:left w:w="55" w:type="dxa"/>
              <w:bottom w:w="45" w:type="dxa"/>
              <w:right w:w="55" w:type="dxa"/>
            </w:tcMar>
            <w:vAlign w:val="top"/>
          </w:tcPr>
          <w:p w14:paraId="4A9BDC01">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Active</w:t>
            </w:r>
          </w:p>
        </w:tc>
        <w:tc>
          <w:tcPr>
            <w:tcW w:w="1417" w:type="dxa"/>
            <w:shd w:val="clear" w:color="auto" w:fill="auto"/>
            <w:tcMar>
              <w:top w:w="45" w:type="dxa"/>
              <w:left w:w="55" w:type="dxa"/>
              <w:bottom w:w="45" w:type="dxa"/>
              <w:right w:w="55" w:type="dxa"/>
            </w:tcMar>
            <w:vAlign w:val="top"/>
          </w:tcPr>
          <w:p w14:paraId="219A5BA9">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Yes</w:t>
            </w:r>
          </w:p>
        </w:tc>
      </w:tr>
      <w:tr w14:paraId="578C428A">
        <w:tblPrEx>
          <w:tblBorders>
            <w:top w:val="single" w:color="777777" w:sz="4" w:space="0"/>
            <w:left w:val="single" w:color="777777" w:sz="4" w:space="0"/>
            <w:bottom w:val="single" w:color="777777" w:sz="4" w:space="0"/>
            <w:right w:val="single" w:color="777777" w:sz="4" w:space="0"/>
            <w:insideH w:val="single" w:color="777777" w:sz="4" w:space="0"/>
            <w:insideV w:val="single" w:color="777777" w:sz="4" w:space="0"/>
          </w:tblBorders>
          <w:shd w:val="clear" w:color="auto" w:fill="auto"/>
          <w:tblCellMar>
            <w:top w:w="0" w:type="dxa"/>
            <w:left w:w="108" w:type="dxa"/>
            <w:bottom w:w="0" w:type="dxa"/>
            <w:right w:w="108" w:type="dxa"/>
          </w:tblCellMar>
        </w:tblPrEx>
        <w:trPr>
          <w:cantSplit/>
          <w:jc w:val="center"/>
        </w:trPr>
        <w:tc>
          <w:tcPr>
            <w:tcW w:w="2047" w:type="dxa"/>
            <w:shd w:val="clear" w:color="auto" w:fill="auto"/>
            <w:tcMar>
              <w:top w:w="45" w:type="dxa"/>
              <w:left w:w="55" w:type="dxa"/>
              <w:bottom w:w="45" w:type="dxa"/>
              <w:right w:w="55" w:type="dxa"/>
            </w:tcMar>
            <w:vAlign w:val="top"/>
          </w:tcPr>
          <w:p w14:paraId="68F5FE08">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Kwon et al.</w:t>
            </w:r>
          </w:p>
        </w:tc>
        <w:tc>
          <w:tcPr>
            <w:tcW w:w="1638" w:type="dxa"/>
            <w:shd w:val="clear" w:color="auto" w:fill="auto"/>
            <w:tcMar>
              <w:top w:w="45" w:type="dxa"/>
              <w:left w:w="55" w:type="dxa"/>
              <w:bottom w:w="45" w:type="dxa"/>
              <w:right w:w="55" w:type="dxa"/>
            </w:tcMar>
            <w:vAlign w:val="top"/>
          </w:tcPr>
          <w:p w14:paraId="71DB17D8">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IG: 80.30 (5.30)</w:t>
            </w:r>
            <w:r>
              <w:rPr>
                <w:rFonts w:hint="default" w:ascii="Times New Roman" w:hAnsi="Times New Roman" w:eastAsia="Times New Roman" w:cs="Times New Roman"/>
                <w:b w:val="0"/>
                <w:sz w:val="21"/>
                <w:szCs w:val="21"/>
              </w:rPr>
              <w:br w:type="textWrapping"/>
            </w:r>
            <w:r>
              <w:rPr>
                <w:rFonts w:hint="default" w:ascii="Times New Roman" w:hAnsi="Times New Roman" w:eastAsia="Times New Roman" w:cs="Times New Roman"/>
                <w:b w:val="0"/>
                <w:sz w:val="21"/>
                <w:szCs w:val="21"/>
              </w:rPr>
              <w:t>CG: 76.80 (7.60)</w:t>
            </w:r>
          </w:p>
        </w:tc>
        <w:tc>
          <w:tcPr>
            <w:tcW w:w="1134" w:type="dxa"/>
            <w:shd w:val="clear" w:color="auto" w:fill="auto"/>
            <w:tcMar>
              <w:top w:w="45" w:type="dxa"/>
              <w:left w:w="55" w:type="dxa"/>
              <w:bottom w:w="45" w:type="dxa"/>
              <w:right w:w="55" w:type="dxa"/>
            </w:tcMar>
            <w:vAlign w:val="top"/>
          </w:tcPr>
          <w:p w14:paraId="1A8A924A">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Yes</w:t>
            </w:r>
          </w:p>
        </w:tc>
        <w:tc>
          <w:tcPr>
            <w:tcW w:w="1548" w:type="dxa"/>
            <w:shd w:val="clear" w:color="auto" w:fill="auto"/>
            <w:tcMar>
              <w:top w:w="45" w:type="dxa"/>
              <w:left w:w="55" w:type="dxa"/>
              <w:bottom w:w="45" w:type="dxa"/>
              <w:right w:w="55" w:type="dxa"/>
            </w:tcMar>
            <w:vAlign w:val="top"/>
          </w:tcPr>
          <w:p w14:paraId="70BCA478">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Multicomponent VR intervention</w:t>
            </w:r>
          </w:p>
        </w:tc>
        <w:tc>
          <w:tcPr>
            <w:tcW w:w="5538" w:type="dxa"/>
            <w:shd w:val="clear" w:color="auto" w:fill="auto"/>
            <w:tcMar>
              <w:top w:w="45" w:type="dxa"/>
              <w:left w:w="55" w:type="dxa"/>
              <w:bottom w:w="45" w:type="dxa"/>
              <w:right w:w="55" w:type="dxa"/>
            </w:tcMar>
            <w:vAlign w:val="top"/>
          </w:tcPr>
          <w:p w14:paraId="24237CA9">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The four-module culturally tailored VR program included an explicit mindfulness/meditation module together with positive-psychology exercises (including noticing/amplifying positive events and gratitude). Eligibility was based on the structured mindfulness/meditative practice requiring intentional attention and awareness regulation.</w:t>
            </w:r>
          </w:p>
        </w:tc>
        <w:tc>
          <w:tcPr>
            <w:tcW w:w="1972" w:type="dxa"/>
            <w:shd w:val="clear" w:color="auto" w:fill="auto"/>
            <w:tcMar>
              <w:top w:w="45" w:type="dxa"/>
              <w:left w:w="55" w:type="dxa"/>
              <w:bottom w:w="45" w:type="dxa"/>
              <w:right w:w="55" w:type="dxa"/>
            </w:tcMar>
            <w:vAlign w:val="top"/>
          </w:tcPr>
          <w:p w14:paraId="4DBE01C6">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Waitlist</w:t>
            </w:r>
          </w:p>
        </w:tc>
        <w:tc>
          <w:tcPr>
            <w:tcW w:w="1288" w:type="dxa"/>
            <w:shd w:val="clear" w:color="auto" w:fill="auto"/>
            <w:tcMar>
              <w:top w:w="45" w:type="dxa"/>
              <w:left w:w="55" w:type="dxa"/>
              <w:bottom w:w="45" w:type="dxa"/>
              <w:right w:w="55" w:type="dxa"/>
            </w:tcMar>
            <w:vAlign w:val="top"/>
          </w:tcPr>
          <w:p w14:paraId="7C769B80">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Nonactive</w:t>
            </w:r>
          </w:p>
        </w:tc>
        <w:tc>
          <w:tcPr>
            <w:tcW w:w="1417" w:type="dxa"/>
            <w:shd w:val="clear" w:color="auto" w:fill="auto"/>
            <w:tcMar>
              <w:top w:w="45" w:type="dxa"/>
              <w:left w:w="55" w:type="dxa"/>
              <w:bottom w:w="45" w:type="dxa"/>
              <w:right w:w="55" w:type="dxa"/>
            </w:tcMar>
            <w:vAlign w:val="top"/>
          </w:tcPr>
          <w:p w14:paraId="039B1F53">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No</w:t>
            </w:r>
          </w:p>
        </w:tc>
      </w:tr>
      <w:tr w14:paraId="0D14A6DF">
        <w:tblPrEx>
          <w:tblBorders>
            <w:top w:val="single" w:color="777777" w:sz="4" w:space="0"/>
            <w:left w:val="single" w:color="777777" w:sz="4" w:space="0"/>
            <w:bottom w:val="single" w:color="777777" w:sz="4" w:space="0"/>
            <w:right w:val="single" w:color="777777" w:sz="4" w:space="0"/>
            <w:insideH w:val="single" w:color="777777" w:sz="4" w:space="0"/>
            <w:insideV w:val="single" w:color="777777" w:sz="4" w:space="0"/>
          </w:tblBorders>
          <w:shd w:val="clear" w:color="auto" w:fill="auto"/>
          <w:tblCellMar>
            <w:top w:w="0" w:type="dxa"/>
            <w:left w:w="108" w:type="dxa"/>
            <w:bottom w:w="0" w:type="dxa"/>
            <w:right w:w="108" w:type="dxa"/>
          </w:tblCellMar>
        </w:tblPrEx>
        <w:trPr>
          <w:cantSplit/>
          <w:jc w:val="center"/>
        </w:trPr>
        <w:tc>
          <w:tcPr>
            <w:tcW w:w="2047" w:type="dxa"/>
            <w:shd w:val="clear" w:color="auto" w:fill="auto"/>
            <w:tcMar>
              <w:top w:w="45" w:type="dxa"/>
              <w:left w:w="55" w:type="dxa"/>
              <w:bottom w:w="45" w:type="dxa"/>
              <w:right w:w="55" w:type="dxa"/>
            </w:tcMar>
            <w:vAlign w:val="top"/>
          </w:tcPr>
          <w:p w14:paraId="1C7BDDEC">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Li et al.</w:t>
            </w:r>
          </w:p>
        </w:tc>
        <w:tc>
          <w:tcPr>
            <w:tcW w:w="1638" w:type="dxa"/>
            <w:shd w:val="clear" w:color="auto" w:fill="auto"/>
            <w:tcMar>
              <w:top w:w="45" w:type="dxa"/>
              <w:left w:w="55" w:type="dxa"/>
              <w:bottom w:w="45" w:type="dxa"/>
              <w:right w:w="55" w:type="dxa"/>
            </w:tcMar>
            <w:vAlign w:val="top"/>
          </w:tcPr>
          <w:p w14:paraId="30ACF378">
            <w:pPr>
              <w:spacing w:before="0" w:after="0" w:line="240" w:lineRule="auto"/>
              <w:jc w:val="left"/>
              <w:rPr>
                <w:rFonts w:hint="default" w:ascii="Times New Roman" w:hAnsi="Times New Roman" w:eastAsia="Times New Roman" w:cs="Times New Roman"/>
                <w:b w:val="0"/>
                <w:sz w:val="21"/>
                <w:szCs w:val="21"/>
              </w:rPr>
            </w:pPr>
            <w:r>
              <w:rPr>
                <w:rFonts w:hint="default" w:ascii="Times New Roman" w:hAnsi="Times New Roman" w:eastAsia="Times New Roman" w:cs="Times New Roman"/>
                <w:b w:val="0"/>
                <w:sz w:val="21"/>
                <w:szCs w:val="21"/>
              </w:rPr>
              <w:t xml:space="preserve">IG: </w:t>
            </w:r>
          </w:p>
          <w:p w14:paraId="47E22CAA">
            <w:pPr>
              <w:spacing w:before="0" w:after="0" w:line="240" w:lineRule="auto"/>
              <w:jc w:val="left"/>
              <w:rPr>
                <w:rFonts w:hint="default" w:ascii="Times New Roman" w:hAnsi="Times New Roman" w:eastAsia="Times New Roman" w:cs="Times New Roman"/>
                <w:b w:val="0"/>
                <w:sz w:val="21"/>
                <w:szCs w:val="21"/>
              </w:rPr>
            </w:pPr>
            <w:r>
              <w:rPr>
                <w:rFonts w:hint="default" w:ascii="Times New Roman" w:hAnsi="Times New Roman" w:eastAsia="Times New Roman" w:cs="Times New Roman"/>
                <w:b w:val="0"/>
                <w:sz w:val="21"/>
                <w:szCs w:val="21"/>
              </w:rPr>
              <w:t>61 (IQR 58-69)</w:t>
            </w:r>
            <w:r>
              <w:rPr>
                <w:rFonts w:hint="default" w:ascii="Times New Roman" w:hAnsi="Times New Roman" w:eastAsia="Times New Roman" w:cs="Times New Roman"/>
                <w:b w:val="0"/>
                <w:sz w:val="21"/>
                <w:szCs w:val="21"/>
              </w:rPr>
              <w:br w:type="textWrapping"/>
            </w:r>
            <w:r>
              <w:rPr>
                <w:rFonts w:hint="default" w:ascii="Times New Roman" w:hAnsi="Times New Roman" w:eastAsia="Times New Roman" w:cs="Times New Roman"/>
                <w:b w:val="0"/>
                <w:sz w:val="21"/>
                <w:szCs w:val="21"/>
              </w:rPr>
              <w:t xml:space="preserve">CG: </w:t>
            </w:r>
          </w:p>
          <w:p w14:paraId="0C8DFE8F">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60 (IQR 54-66)</w:t>
            </w:r>
          </w:p>
        </w:tc>
        <w:tc>
          <w:tcPr>
            <w:tcW w:w="1134" w:type="dxa"/>
            <w:shd w:val="clear" w:color="auto" w:fill="auto"/>
            <w:tcMar>
              <w:top w:w="45" w:type="dxa"/>
              <w:left w:w="55" w:type="dxa"/>
              <w:bottom w:w="45" w:type="dxa"/>
              <w:right w:w="55" w:type="dxa"/>
            </w:tcMar>
            <w:vAlign w:val="top"/>
          </w:tcPr>
          <w:p w14:paraId="203A90C5">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Yes</w:t>
            </w:r>
          </w:p>
        </w:tc>
        <w:tc>
          <w:tcPr>
            <w:tcW w:w="1548" w:type="dxa"/>
            <w:shd w:val="clear" w:color="auto" w:fill="auto"/>
            <w:tcMar>
              <w:top w:w="45" w:type="dxa"/>
              <w:left w:w="55" w:type="dxa"/>
              <w:bottom w:w="45" w:type="dxa"/>
              <w:right w:w="55" w:type="dxa"/>
            </w:tcMar>
            <w:vAlign w:val="top"/>
          </w:tcPr>
          <w:p w14:paraId="2961C7D3">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VR guided imagery/relaxation</w:t>
            </w:r>
          </w:p>
        </w:tc>
        <w:tc>
          <w:tcPr>
            <w:tcW w:w="5538" w:type="dxa"/>
            <w:shd w:val="clear" w:color="auto" w:fill="auto"/>
            <w:tcMar>
              <w:top w:w="45" w:type="dxa"/>
              <w:left w:w="55" w:type="dxa"/>
              <w:bottom w:w="45" w:type="dxa"/>
              <w:right w:w="55" w:type="dxa"/>
            </w:tcMar>
            <w:vAlign w:val="top"/>
          </w:tcPr>
          <w:p w14:paraId="36C3FD6E">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Participants repeatedly completed 20-30-min VR-guided imagery sessions and were instructed to actively follow the embedded verbal guidance. Guided imagery/meditation narration was used to facilitate relaxation and attentional regulation; the qualifying component was active guided relaxation rather than VR exposure alone.</w:t>
            </w:r>
          </w:p>
        </w:tc>
        <w:tc>
          <w:tcPr>
            <w:tcW w:w="1972" w:type="dxa"/>
            <w:shd w:val="clear" w:color="auto" w:fill="auto"/>
            <w:tcMar>
              <w:top w:w="45" w:type="dxa"/>
              <w:left w:w="55" w:type="dxa"/>
              <w:bottom w:w="45" w:type="dxa"/>
              <w:right w:w="55" w:type="dxa"/>
            </w:tcMar>
            <w:vAlign w:val="top"/>
          </w:tcPr>
          <w:p w14:paraId="3286E64B">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Standard care/treatment</w:t>
            </w:r>
          </w:p>
        </w:tc>
        <w:tc>
          <w:tcPr>
            <w:tcW w:w="1288" w:type="dxa"/>
            <w:shd w:val="clear" w:color="auto" w:fill="auto"/>
            <w:tcMar>
              <w:top w:w="45" w:type="dxa"/>
              <w:left w:w="55" w:type="dxa"/>
              <w:bottom w:w="45" w:type="dxa"/>
              <w:right w:w="55" w:type="dxa"/>
            </w:tcMar>
            <w:vAlign w:val="top"/>
          </w:tcPr>
          <w:p w14:paraId="364624FC">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Nonactive</w:t>
            </w:r>
          </w:p>
        </w:tc>
        <w:tc>
          <w:tcPr>
            <w:tcW w:w="1417" w:type="dxa"/>
            <w:shd w:val="clear" w:color="auto" w:fill="auto"/>
            <w:tcMar>
              <w:top w:w="45" w:type="dxa"/>
              <w:left w:w="55" w:type="dxa"/>
              <w:bottom w:w="45" w:type="dxa"/>
              <w:right w:w="55" w:type="dxa"/>
            </w:tcMar>
            <w:vAlign w:val="top"/>
          </w:tcPr>
          <w:p w14:paraId="495BF1C1">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No</w:t>
            </w:r>
          </w:p>
        </w:tc>
      </w:tr>
      <w:tr w14:paraId="7FC89559">
        <w:tblPrEx>
          <w:tblBorders>
            <w:top w:val="single" w:color="777777" w:sz="4" w:space="0"/>
            <w:left w:val="single" w:color="777777" w:sz="4" w:space="0"/>
            <w:bottom w:val="single" w:color="777777" w:sz="4" w:space="0"/>
            <w:right w:val="single" w:color="777777" w:sz="4" w:space="0"/>
            <w:insideH w:val="single" w:color="777777" w:sz="4" w:space="0"/>
            <w:insideV w:val="single" w:color="777777" w:sz="4" w:space="0"/>
          </w:tblBorders>
          <w:shd w:val="clear" w:color="auto" w:fill="auto"/>
          <w:tblCellMar>
            <w:top w:w="0" w:type="dxa"/>
            <w:left w:w="108" w:type="dxa"/>
            <w:bottom w:w="0" w:type="dxa"/>
            <w:right w:w="108" w:type="dxa"/>
          </w:tblCellMar>
        </w:tblPrEx>
        <w:trPr>
          <w:cantSplit/>
          <w:jc w:val="center"/>
        </w:trPr>
        <w:tc>
          <w:tcPr>
            <w:tcW w:w="2047" w:type="dxa"/>
            <w:shd w:val="clear" w:color="auto" w:fill="auto"/>
            <w:tcMar>
              <w:top w:w="45" w:type="dxa"/>
              <w:left w:w="55" w:type="dxa"/>
              <w:bottom w:w="45" w:type="dxa"/>
              <w:right w:w="55" w:type="dxa"/>
            </w:tcMar>
            <w:vAlign w:val="top"/>
          </w:tcPr>
          <w:p w14:paraId="0DF523F9">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Burrows et al.</w:t>
            </w:r>
          </w:p>
        </w:tc>
        <w:tc>
          <w:tcPr>
            <w:tcW w:w="1638" w:type="dxa"/>
            <w:shd w:val="clear" w:color="auto" w:fill="auto"/>
            <w:tcMar>
              <w:top w:w="45" w:type="dxa"/>
              <w:left w:w="55" w:type="dxa"/>
              <w:bottom w:w="45" w:type="dxa"/>
              <w:right w:w="55" w:type="dxa"/>
            </w:tcMar>
            <w:vAlign w:val="top"/>
          </w:tcPr>
          <w:p w14:paraId="4C02B711">
            <w:pPr>
              <w:spacing w:before="0" w:after="0" w:line="240" w:lineRule="auto"/>
              <w:jc w:val="left"/>
              <w:rPr>
                <w:rFonts w:hint="default" w:ascii="Times New Roman" w:hAnsi="Times New Roman" w:eastAsia="Times New Roman" w:cs="Times New Roman"/>
                <w:b w:val="0"/>
                <w:sz w:val="21"/>
                <w:szCs w:val="21"/>
              </w:rPr>
            </w:pPr>
            <w:r>
              <w:rPr>
                <w:rFonts w:hint="default" w:ascii="Times New Roman" w:hAnsi="Times New Roman" w:eastAsia="Times New Roman" w:cs="Times New Roman"/>
                <w:b w:val="0"/>
                <w:sz w:val="21"/>
                <w:szCs w:val="21"/>
              </w:rPr>
              <w:t>IG: 59.67 (14.12)</w:t>
            </w:r>
            <w:r>
              <w:rPr>
                <w:rFonts w:hint="default" w:ascii="Times New Roman" w:hAnsi="Times New Roman" w:eastAsia="Times New Roman" w:cs="Times New Roman"/>
                <w:b w:val="0"/>
                <w:sz w:val="21"/>
                <w:szCs w:val="21"/>
              </w:rPr>
              <w:br w:type="textWrapping"/>
            </w:r>
            <w:r>
              <w:rPr>
                <w:rFonts w:hint="default" w:ascii="Times New Roman" w:hAnsi="Times New Roman" w:eastAsia="Times New Roman" w:cs="Times New Roman"/>
                <w:b w:val="0"/>
                <w:sz w:val="21"/>
                <w:szCs w:val="21"/>
              </w:rPr>
              <w:t xml:space="preserve">CG: </w:t>
            </w:r>
          </w:p>
          <w:p w14:paraId="58CE8C7B">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59.50 (15.07)</w:t>
            </w:r>
          </w:p>
        </w:tc>
        <w:tc>
          <w:tcPr>
            <w:tcW w:w="1134" w:type="dxa"/>
            <w:shd w:val="clear" w:color="auto" w:fill="auto"/>
            <w:tcMar>
              <w:top w:w="45" w:type="dxa"/>
              <w:left w:w="55" w:type="dxa"/>
              <w:bottom w:w="45" w:type="dxa"/>
              <w:right w:w="55" w:type="dxa"/>
            </w:tcMar>
            <w:vAlign w:val="top"/>
          </w:tcPr>
          <w:p w14:paraId="04F2941D">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No</w:t>
            </w:r>
          </w:p>
        </w:tc>
        <w:tc>
          <w:tcPr>
            <w:tcW w:w="1548" w:type="dxa"/>
            <w:shd w:val="clear" w:color="auto" w:fill="auto"/>
            <w:tcMar>
              <w:top w:w="45" w:type="dxa"/>
              <w:left w:w="55" w:type="dxa"/>
              <w:bottom w:w="45" w:type="dxa"/>
              <w:right w:w="55" w:type="dxa"/>
            </w:tcMar>
            <w:vAlign w:val="top"/>
          </w:tcPr>
          <w:p w14:paraId="126C310E">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VR mindfulness</w:t>
            </w:r>
          </w:p>
        </w:tc>
        <w:tc>
          <w:tcPr>
            <w:tcW w:w="5538" w:type="dxa"/>
            <w:shd w:val="clear" w:color="auto" w:fill="auto"/>
            <w:tcMar>
              <w:top w:w="45" w:type="dxa"/>
              <w:left w:w="55" w:type="dxa"/>
              <w:bottom w:w="45" w:type="dxa"/>
              <w:right w:w="55" w:type="dxa"/>
            </w:tcMar>
            <w:vAlign w:val="top"/>
          </w:tcPr>
          <w:p w14:paraId="0426DFEC">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The VR mindfulness prehabilitation used guided meditation content that included breathing techniques and practice of being present in the moment. These components explicitly trained mindfulness and attentional/respiratory self-regulation rather than using VR only as distraction or exercise.</w:t>
            </w:r>
          </w:p>
        </w:tc>
        <w:tc>
          <w:tcPr>
            <w:tcW w:w="1972" w:type="dxa"/>
            <w:shd w:val="clear" w:color="auto" w:fill="auto"/>
            <w:tcMar>
              <w:top w:w="45" w:type="dxa"/>
              <w:left w:w="55" w:type="dxa"/>
              <w:bottom w:w="45" w:type="dxa"/>
              <w:right w:w="55" w:type="dxa"/>
            </w:tcMar>
            <w:vAlign w:val="top"/>
          </w:tcPr>
          <w:p w14:paraId="44A9E076">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Usual hemodialysis care</w:t>
            </w:r>
          </w:p>
        </w:tc>
        <w:tc>
          <w:tcPr>
            <w:tcW w:w="1288" w:type="dxa"/>
            <w:shd w:val="clear" w:color="auto" w:fill="auto"/>
            <w:tcMar>
              <w:top w:w="45" w:type="dxa"/>
              <w:left w:w="55" w:type="dxa"/>
              <w:bottom w:w="45" w:type="dxa"/>
              <w:right w:w="55" w:type="dxa"/>
            </w:tcMar>
            <w:vAlign w:val="top"/>
          </w:tcPr>
          <w:p w14:paraId="070F1D7D">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Nonactive</w:t>
            </w:r>
          </w:p>
        </w:tc>
        <w:tc>
          <w:tcPr>
            <w:tcW w:w="1417" w:type="dxa"/>
            <w:shd w:val="clear" w:color="auto" w:fill="auto"/>
            <w:tcMar>
              <w:top w:w="45" w:type="dxa"/>
              <w:left w:w="55" w:type="dxa"/>
              <w:bottom w:w="45" w:type="dxa"/>
              <w:right w:w="55" w:type="dxa"/>
            </w:tcMar>
            <w:vAlign w:val="top"/>
          </w:tcPr>
          <w:p w14:paraId="6B064E85">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No</w:t>
            </w:r>
          </w:p>
        </w:tc>
      </w:tr>
      <w:tr w14:paraId="49A8DA35">
        <w:tblPrEx>
          <w:tblBorders>
            <w:top w:val="single" w:color="777777" w:sz="4" w:space="0"/>
            <w:left w:val="single" w:color="777777" w:sz="4" w:space="0"/>
            <w:bottom w:val="single" w:color="777777" w:sz="4" w:space="0"/>
            <w:right w:val="single" w:color="777777" w:sz="4" w:space="0"/>
            <w:insideH w:val="single" w:color="777777" w:sz="4" w:space="0"/>
            <w:insideV w:val="single" w:color="777777" w:sz="4" w:space="0"/>
          </w:tblBorders>
          <w:shd w:val="clear" w:color="auto" w:fill="auto"/>
          <w:tblCellMar>
            <w:top w:w="0" w:type="dxa"/>
            <w:left w:w="108" w:type="dxa"/>
            <w:bottom w:w="0" w:type="dxa"/>
            <w:right w:w="108" w:type="dxa"/>
          </w:tblCellMar>
        </w:tblPrEx>
        <w:trPr>
          <w:cantSplit/>
          <w:jc w:val="center"/>
        </w:trPr>
        <w:tc>
          <w:tcPr>
            <w:tcW w:w="2047" w:type="dxa"/>
            <w:shd w:val="clear" w:color="auto" w:fill="auto"/>
            <w:tcMar>
              <w:top w:w="45" w:type="dxa"/>
              <w:left w:w="55" w:type="dxa"/>
              <w:bottom w:w="45" w:type="dxa"/>
              <w:right w:w="55" w:type="dxa"/>
            </w:tcMar>
            <w:vAlign w:val="top"/>
          </w:tcPr>
          <w:p w14:paraId="3E9D4D6A">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Modrego-Alarcón et al.</w:t>
            </w:r>
          </w:p>
        </w:tc>
        <w:tc>
          <w:tcPr>
            <w:tcW w:w="1638" w:type="dxa"/>
            <w:shd w:val="clear" w:color="auto" w:fill="auto"/>
            <w:tcMar>
              <w:top w:w="45" w:type="dxa"/>
              <w:left w:w="55" w:type="dxa"/>
              <w:bottom w:w="45" w:type="dxa"/>
              <w:right w:w="55" w:type="dxa"/>
            </w:tcMar>
            <w:vAlign w:val="top"/>
          </w:tcPr>
          <w:p w14:paraId="1B2517BD">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IG: 46.75 (10.08)</w:t>
            </w:r>
            <w:r>
              <w:rPr>
                <w:rFonts w:hint="default" w:ascii="Times New Roman" w:hAnsi="Times New Roman" w:eastAsia="Times New Roman" w:cs="Times New Roman"/>
                <w:b w:val="0"/>
                <w:sz w:val="21"/>
                <w:szCs w:val="21"/>
              </w:rPr>
              <w:br w:type="textWrapping"/>
            </w:r>
            <w:r>
              <w:rPr>
                <w:rFonts w:hint="default" w:ascii="Times New Roman" w:hAnsi="Times New Roman" w:eastAsia="Times New Roman" w:cs="Times New Roman"/>
                <w:b w:val="0"/>
                <w:sz w:val="21"/>
                <w:szCs w:val="21"/>
              </w:rPr>
              <w:t>CG: 51.31 (8.24)</w:t>
            </w:r>
          </w:p>
        </w:tc>
        <w:tc>
          <w:tcPr>
            <w:tcW w:w="1134" w:type="dxa"/>
            <w:shd w:val="clear" w:color="auto" w:fill="auto"/>
            <w:tcMar>
              <w:top w:w="45" w:type="dxa"/>
              <w:left w:w="55" w:type="dxa"/>
              <w:bottom w:w="45" w:type="dxa"/>
              <w:right w:w="55" w:type="dxa"/>
            </w:tcMar>
            <w:vAlign w:val="top"/>
          </w:tcPr>
          <w:p w14:paraId="43E13CCB">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No</w:t>
            </w:r>
          </w:p>
        </w:tc>
        <w:tc>
          <w:tcPr>
            <w:tcW w:w="1548" w:type="dxa"/>
            <w:shd w:val="clear" w:color="auto" w:fill="auto"/>
            <w:tcMar>
              <w:top w:w="45" w:type="dxa"/>
              <w:left w:w="55" w:type="dxa"/>
              <w:bottom w:w="45" w:type="dxa"/>
              <w:right w:w="55" w:type="dxa"/>
            </w:tcMar>
            <w:vAlign w:val="top"/>
          </w:tcPr>
          <w:p w14:paraId="236201CE">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VR mindfulness</w:t>
            </w:r>
          </w:p>
        </w:tc>
        <w:tc>
          <w:tcPr>
            <w:tcW w:w="5538" w:type="dxa"/>
            <w:shd w:val="clear" w:color="auto" w:fill="auto"/>
            <w:tcMar>
              <w:top w:w="45" w:type="dxa"/>
              <w:left w:w="55" w:type="dxa"/>
              <w:bottom w:w="45" w:type="dxa"/>
              <w:right w:w="55" w:type="dxa"/>
            </w:tcMar>
            <w:vAlign w:val="top"/>
          </w:tcPr>
          <w:p w14:paraId="109AC342">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Short VR sessions were adapted from core mindfulness/self-compassion practices within the mindfulness-based program, including breath-focused attention, cognitive defusion/metaphor-of-mind, body scan, mindful movement, and walking meditation. These practices explicitly trained attentional and bodily self-regulation.</w:t>
            </w:r>
          </w:p>
        </w:tc>
        <w:tc>
          <w:tcPr>
            <w:tcW w:w="1972" w:type="dxa"/>
            <w:shd w:val="clear" w:color="auto" w:fill="auto"/>
            <w:tcMar>
              <w:top w:w="45" w:type="dxa"/>
              <w:left w:w="55" w:type="dxa"/>
              <w:bottom w:w="45" w:type="dxa"/>
              <w:right w:w="55" w:type="dxa"/>
            </w:tcMar>
            <w:vAlign w:val="top"/>
          </w:tcPr>
          <w:p w14:paraId="748A0665">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Structured relaxation therapy</w:t>
            </w:r>
          </w:p>
        </w:tc>
        <w:tc>
          <w:tcPr>
            <w:tcW w:w="1288" w:type="dxa"/>
            <w:shd w:val="clear" w:color="auto" w:fill="auto"/>
            <w:tcMar>
              <w:top w:w="45" w:type="dxa"/>
              <w:left w:w="55" w:type="dxa"/>
              <w:bottom w:w="45" w:type="dxa"/>
              <w:right w:w="55" w:type="dxa"/>
            </w:tcMar>
            <w:vAlign w:val="top"/>
          </w:tcPr>
          <w:p w14:paraId="40B1D803">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Active</w:t>
            </w:r>
          </w:p>
        </w:tc>
        <w:tc>
          <w:tcPr>
            <w:tcW w:w="1417" w:type="dxa"/>
            <w:shd w:val="clear" w:color="auto" w:fill="auto"/>
            <w:tcMar>
              <w:top w:w="45" w:type="dxa"/>
              <w:left w:w="55" w:type="dxa"/>
              <w:bottom w:w="45" w:type="dxa"/>
              <w:right w:w="55" w:type="dxa"/>
            </w:tcMar>
            <w:vAlign w:val="top"/>
          </w:tcPr>
          <w:p w14:paraId="06B41B1E">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Yes</w:t>
            </w:r>
          </w:p>
        </w:tc>
      </w:tr>
      <w:tr w14:paraId="473BE157">
        <w:tblPrEx>
          <w:tblBorders>
            <w:top w:val="single" w:color="777777" w:sz="4" w:space="0"/>
            <w:left w:val="single" w:color="777777" w:sz="4" w:space="0"/>
            <w:bottom w:val="single" w:color="777777" w:sz="4" w:space="0"/>
            <w:right w:val="single" w:color="777777" w:sz="4" w:space="0"/>
            <w:insideH w:val="single" w:color="777777" w:sz="4" w:space="0"/>
            <w:insideV w:val="single" w:color="777777" w:sz="4" w:space="0"/>
          </w:tblBorders>
          <w:shd w:val="clear" w:color="auto" w:fill="auto"/>
          <w:tblCellMar>
            <w:top w:w="0" w:type="dxa"/>
            <w:left w:w="108" w:type="dxa"/>
            <w:bottom w:w="0" w:type="dxa"/>
            <w:right w:w="108" w:type="dxa"/>
          </w:tblCellMar>
        </w:tblPrEx>
        <w:trPr>
          <w:cantSplit/>
          <w:jc w:val="center"/>
        </w:trPr>
        <w:tc>
          <w:tcPr>
            <w:tcW w:w="2047" w:type="dxa"/>
            <w:shd w:val="clear" w:color="auto" w:fill="auto"/>
            <w:tcMar>
              <w:top w:w="45" w:type="dxa"/>
              <w:left w:w="55" w:type="dxa"/>
              <w:bottom w:w="45" w:type="dxa"/>
              <w:right w:w="55" w:type="dxa"/>
            </w:tcMar>
            <w:vAlign w:val="top"/>
          </w:tcPr>
          <w:p w14:paraId="7F10D35E">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Rodrigues et al.</w:t>
            </w:r>
          </w:p>
        </w:tc>
        <w:tc>
          <w:tcPr>
            <w:tcW w:w="1638" w:type="dxa"/>
            <w:shd w:val="clear" w:color="auto" w:fill="auto"/>
            <w:tcMar>
              <w:top w:w="45" w:type="dxa"/>
              <w:left w:w="55" w:type="dxa"/>
              <w:bottom w:w="45" w:type="dxa"/>
              <w:right w:w="55" w:type="dxa"/>
            </w:tcMar>
            <w:vAlign w:val="top"/>
          </w:tcPr>
          <w:p w14:paraId="590C22B7">
            <w:pPr>
              <w:spacing w:before="0" w:after="0" w:line="240" w:lineRule="auto"/>
              <w:jc w:val="left"/>
              <w:rPr>
                <w:rFonts w:hint="default" w:ascii="Times New Roman" w:hAnsi="Times New Roman" w:eastAsia="Times New Roman" w:cs="Times New Roman"/>
                <w:b w:val="0"/>
                <w:sz w:val="21"/>
                <w:szCs w:val="21"/>
              </w:rPr>
            </w:pPr>
            <w:r>
              <w:rPr>
                <w:rFonts w:hint="default" w:ascii="Times New Roman" w:hAnsi="Times New Roman" w:eastAsia="Times New Roman" w:cs="Times New Roman"/>
                <w:b w:val="0"/>
                <w:sz w:val="21"/>
                <w:szCs w:val="21"/>
              </w:rPr>
              <w:t>IG: 48.90 (13.90)</w:t>
            </w:r>
            <w:r>
              <w:rPr>
                <w:rFonts w:hint="default" w:ascii="Times New Roman" w:hAnsi="Times New Roman" w:eastAsia="Times New Roman" w:cs="Times New Roman"/>
                <w:b w:val="0"/>
                <w:sz w:val="21"/>
                <w:szCs w:val="21"/>
              </w:rPr>
              <w:br w:type="textWrapping"/>
            </w:r>
            <w:r>
              <w:rPr>
                <w:rFonts w:hint="default" w:ascii="Times New Roman" w:hAnsi="Times New Roman" w:eastAsia="Times New Roman" w:cs="Times New Roman"/>
                <w:b w:val="0"/>
                <w:sz w:val="21"/>
                <w:szCs w:val="21"/>
              </w:rPr>
              <w:t xml:space="preserve">CG: </w:t>
            </w:r>
          </w:p>
          <w:p w14:paraId="25BB855C">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48.50 (16.90)</w:t>
            </w:r>
          </w:p>
        </w:tc>
        <w:tc>
          <w:tcPr>
            <w:tcW w:w="1134" w:type="dxa"/>
            <w:shd w:val="clear" w:color="auto" w:fill="auto"/>
            <w:tcMar>
              <w:top w:w="45" w:type="dxa"/>
              <w:left w:w="55" w:type="dxa"/>
              <w:bottom w:w="45" w:type="dxa"/>
              <w:right w:w="55" w:type="dxa"/>
            </w:tcMar>
            <w:vAlign w:val="top"/>
          </w:tcPr>
          <w:p w14:paraId="44C07592">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No</w:t>
            </w:r>
          </w:p>
        </w:tc>
        <w:tc>
          <w:tcPr>
            <w:tcW w:w="1548" w:type="dxa"/>
            <w:shd w:val="clear" w:color="auto" w:fill="auto"/>
            <w:tcMar>
              <w:top w:w="45" w:type="dxa"/>
              <w:left w:w="55" w:type="dxa"/>
              <w:bottom w:w="45" w:type="dxa"/>
              <w:right w:w="55" w:type="dxa"/>
            </w:tcMar>
            <w:vAlign w:val="top"/>
          </w:tcPr>
          <w:p w14:paraId="5685F89F">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VR relaxation/mindfulness</w:t>
            </w:r>
          </w:p>
        </w:tc>
        <w:tc>
          <w:tcPr>
            <w:tcW w:w="5538" w:type="dxa"/>
            <w:shd w:val="clear" w:color="auto" w:fill="auto"/>
            <w:tcMar>
              <w:top w:w="45" w:type="dxa"/>
              <w:left w:w="55" w:type="dxa"/>
              <w:bottom w:w="45" w:type="dxa"/>
              <w:right w:w="55" w:type="dxa"/>
            </w:tcMar>
            <w:vAlign w:val="top"/>
          </w:tcPr>
          <w:p w14:paraId="68EC0323">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Therapeutic 360-degree VR presented landscape imagery and/or mindfulness techniques with stated aims of relaxation and stress relief. Because distraction was also listed as a treatment aim, eligibility was based on the reported therapeutic relaxation/mindfulness content rather than on distraction or VR scenery alone.</w:t>
            </w:r>
          </w:p>
        </w:tc>
        <w:tc>
          <w:tcPr>
            <w:tcW w:w="1972" w:type="dxa"/>
            <w:shd w:val="clear" w:color="auto" w:fill="auto"/>
            <w:tcMar>
              <w:top w:w="45" w:type="dxa"/>
              <w:left w:w="55" w:type="dxa"/>
              <w:bottom w:w="45" w:type="dxa"/>
              <w:right w:w="55" w:type="dxa"/>
            </w:tcMar>
            <w:vAlign w:val="top"/>
          </w:tcPr>
          <w:p w14:paraId="68B01806">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Usual occupational therapy + VR advertisements unrelated to relaxation/well-being</w:t>
            </w:r>
          </w:p>
        </w:tc>
        <w:tc>
          <w:tcPr>
            <w:tcW w:w="1288" w:type="dxa"/>
            <w:shd w:val="clear" w:color="auto" w:fill="auto"/>
            <w:tcMar>
              <w:top w:w="45" w:type="dxa"/>
              <w:left w:w="55" w:type="dxa"/>
              <w:bottom w:w="45" w:type="dxa"/>
              <w:right w:w="55" w:type="dxa"/>
            </w:tcMar>
            <w:vAlign w:val="top"/>
          </w:tcPr>
          <w:p w14:paraId="1391A266">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Active</w:t>
            </w:r>
          </w:p>
        </w:tc>
        <w:tc>
          <w:tcPr>
            <w:tcW w:w="1417" w:type="dxa"/>
            <w:shd w:val="clear" w:color="auto" w:fill="auto"/>
            <w:tcMar>
              <w:top w:w="45" w:type="dxa"/>
              <w:left w:w="55" w:type="dxa"/>
              <w:bottom w:w="45" w:type="dxa"/>
              <w:right w:w="55" w:type="dxa"/>
            </w:tcMar>
            <w:vAlign w:val="top"/>
          </w:tcPr>
          <w:p w14:paraId="2E102ED0">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Yes</w:t>
            </w:r>
          </w:p>
        </w:tc>
      </w:tr>
      <w:tr w14:paraId="784CAF5F">
        <w:tblPrEx>
          <w:tblBorders>
            <w:top w:val="single" w:color="777777" w:sz="4" w:space="0"/>
            <w:left w:val="single" w:color="777777" w:sz="4" w:space="0"/>
            <w:bottom w:val="single" w:color="777777" w:sz="4" w:space="0"/>
            <w:right w:val="single" w:color="777777" w:sz="4" w:space="0"/>
            <w:insideH w:val="single" w:color="777777" w:sz="4" w:space="0"/>
            <w:insideV w:val="single" w:color="777777" w:sz="4" w:space="0"/>
          </w:tblBorders>
          <w:shd w:val="clear" w:color="auto" w:fill="auto"/>
          <w:tblCellMar>
            <w:top w:w="0" w:type="dxa"/>
            <w:left w:w="108" w:type="dxa"/>
            <w:bottom w:w="0" w:type="dxa"/>
            <w:right w:w="108" w:type="dxa"/>
          </w:tblCellMar>
        </w:tblPrEx>
        <w:trPr>
          <w:cantSplit/>
          <w:jc w:val="center"/>
        </w:trPr>
        <w:tc>
          <w:tcPr>
            <w:tcW w:w="2047" w:type="dxa"/>
            <w:shd w:val="clear" w:color="auto" w:fill="auto"/>
            <w:tcMar>
              <w:top w:w="45" w:type="dxa"/>
              <w:left w:w="55" w:type="dxa"/>
              <w:bottom w:w="45" w:type="dxa"/>
              <w:right w:w="55" w:type="dxa"/>
            </w:tcMar>
            <w:vAlign w:val="top"/>
          </w:tcPr>
          <w:p w14:paraId="324AED23">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Cinalioglu et al.</w:t>
            </w:r>
          </w:p>
        </w:tc>
        <w:tc>
          <w:tcPr>
            <w:tcW w:w="1638" w:type="dxa"/>
            <w:shd w:val="clear" w:color="auto" w:fill="auto"/>
            <w:tcMar>
              <w:top w:w="45" w:type="dxa"/>
              <w:left w:w="55" w:type="dxa"/>
              <w:bottom w:w="45" w:type="dxa"/>
              <w:right w:w="55" w:type="dxa"/>
            </w:tcMar>
            <w:vAlign w:val="top"/>
          </w:tcPr>
          <w:p w14:paraId="504081AF">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Participants explicitly recruited at age</w:t>
            </w:r>
            <w:r>
              <w:rPr>
                <w:rFonts w:hint="eastAsia" w:ascii="Times New Roman" w:hAnsi="Times New Roman" w:eastAsia="宋体" w:cs="Times New Roman"/>
                <w:b w:val="0"/>
                <w:sz w:val="21"/>
                <w:szCs w:val="21"/>
                <w:lang w:val="en-US" w:eastAsia="zh-CN"/>
              </w:rPr>
              <w:t xml:space="preserve"> </w:t>
            </w:r>
            <w:r>
              <w:rPr>
                <w:rFonts w:hint="default" w:ascii="Times New Roman" w:hAnsi="Times New Roman" w:eastAsia="Times New Roman" w:cs="Times New Roman"/>
                <w:b w:val="0"/>
                <w:sz w:val="21"/>
                <w:szCs w:val="21"/>
              </w:rPr>
              <w:t>≥60 years</w:t>
            </w:r>
          </w:p>
        </w:tc>
        <w:tc>
          <w:tcPr>
            <w:tcW w:w="1134" w:type="dxa"/>
            <w:shd w:val="clear" w:color="auto" w:fill="auto"/>
            <w:tcMar>
              <w:top w:w="45" w:type="dxa"/>
              <w:left w:w="55" w:type="dxa"/>
              <w:bottom w:w="45" w:type="dxa"/>
              <w:right w:w="55" w:type="dxa"/>
            </w:tcMar>
            <w:vAlign w:val="top"/>
          </w:tcPr>
          <w:p w14:paraId="03F6BDD0">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Yes</w:t>
            </w:r>
          </w:p>
        </w:tc>
        <w:tc>
          <w:tcPr>
            <w:tcW w:w="1548" w:type="dxa"/>
            <w:shd w:val="clear" w:color="auto" w:fill="auto"/>
            <w:tcMar>
              <w:top w:w="45" w:type="dxa"/>
              <w:left w:w="55" w:type="dxa"/>
              <w:bottom w:w="45" w:type="dxa"/>
              <w:right w:w="55" w:type="dxa"/>
            </w:tcMar>
            <w:vAlign w:val="top"/>
          </w:tcPr>
          <w:p w14:paraId="1CFE7EBC">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VR mindfulness</w:t>
            </w:r>
          </w:p>
        </w:tc>
        <w:tc>
          <w:tcPr>
            <w:tcW w:w="5538" w:type="dxa"/>
            <w:shd w:val="clear" w:color="auto" w:fill="auto"/>
            <w:tcMar>
              <w:top w:w="45" w:type="dxa"/>
              <w:left w:w="55" w:type="dxa"/>
              <w:bottom w:w="45" w:type="dxa"/>
              <w:right w:w="55" w:type="dxa"/>
            </w:tcMar>
            <w:vAlign w:val="top"/>
          </w:tcPr>
          <w:p w14:paraId="3761194B">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Eight 15-min VR-assisted mindfulness sessions combined immersive nature content with mindfulness audio developed by an experienced meditation team. The intervention was explicitly designed as mindfulness meditation and therefore trained present-moment attention/awareness.</w:t>
            </w:r>
          </w:p>
        </w:tc>
        <w:tc>
          <w:tcPr>
            <w:tcW w:w="1972" w:type="dxa"/>
            <w:shd w:val="clear" w:color="auto" w:fill="auto"/>
            <w:tcMar>
              <w:top w:w="45" w:type="dxa"/>
              <w:left w:w="55" w:type="dxa"/>
              <w:bottom w:w="45" w:type="dxa"/>
              <w:right w:w="55" w:type="dxa"/>
            </w:tcMar>
            <w:vAlign w:val="top"/>
          </w:tcPr>
          <w:p w14:paraId="519B4555">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Waitlist</w:t>
            </w:r>
          </w:p>
        </w:tc>
        <w:tc>
          <w:tcPr>
            <w:tcW w:w="1288" w:type="dxa"/>
            <w:shd w:val="clear" w:color="auto" w:fill="auto"/>
            <w:tcMar>
              <w:top w:w="45" w:type="dxa"/>
              <w:left w:w="55" w:type="dxa"/>
              <w:bottom w:w="45" w:type="dxa"/>
              <w:right w:w="55" w:type="dxa"/>
            </w:tcMar>
            <w:vAlign w:val="top"/>
          </w:tcPr>
          <w:p w14:paraId="39D6A954">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Nonactive</w:t>
            </w:r>
          </w:p>
        </w:tc>
        <w:tc>
          <w:tcPr>
            <w:tcW w:w="1417" w:type="dxa"/>
            <w:shd w:val="clear" w:color="auto" w:fill="auto"/>
            <w:tcMar>
              <w:top w:w="45" w:type="dxa"/>
              <w:left w:w="55" w:type="dxa"/>
              <w:bottom w:w="45" w:type="dxa"/>
              <w:right w:w="55" w:type="dxa"/>
            </w:tcMar>
            <w:vAlign w:val="top"/>
          </w:tcPr>
          <w:p w14:paraId="6A5FC86F">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No</w:t>
            </w:r>
          </w:p>
        </w:tc>
      </w:tr>
      <w:tr w14:paraId="5D988605">
        <w:tblPrEx>
          <w:tblBorders>
            <w:top w:val="single" w:color="777777" w:sz="4" w:space="0"/>
            <w:left w:val="single" w:color="777777" w:sz="4" w:space="0"/>
            <w:bottom w:val="single" w:color="777777" w:sz="4" w:space="0"/>
            <w:right w:val="single" w:color="777777" w:sz="4" w:space="0"/>
            <w:insideH w:val="single" w:color="777777" w:sz="4" w:space="0"/>
            <w:insideV w:val="single" w:color="777777" w:sz="4" w:space="0"/>
          </w:tblBorders>
          <w:shd w:val="clear" w:color="auto" w:fill="auto"/>
          <w:tblCellMar>
            <w:top w:w="0" w:type="dxa"/>
            <w:left w:w="108" w:type="dxa"/>
            <w:bottom w:w="0" w:type="dxa"/>
            <w:right w:w="108" w:type="dxa"/>
          </w:tblCellMar>
        </w:tblPrEx>
        <w:trPr>
          <w:cantSplit/>
          <w:jc w:val="center"/>
        </w:trPr>
        <w:tc>
          <w:tcPr>
            <w:tcW w:w="2047" w:type="dxa"/>
            <w:shd w:val="clear" w:color="auto" w:fill="auto"/>
            <w:tcMar>
              <w:top w:w="45" w:type="dxa"/>
              <w:left w:w="55" w:type="dxa"/>
              <w:bottom w:w="45" w:type="dxa"/>
              <w:right w:w="55" w:type="dxa"/>
            </w:tcMar>
            <w:vAlign w:val="top"/>
          </w:tcPr>
          <w:p w14:paraId="40F77649">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Navarro-Haro et al.</w:t>
            </w:r>
          </w:p>
        </w:tc>
        <w:tc>
          <w:tcPr>
            <w:tcW w:w="1638" w:type="dxa"/>
            <w:shd w:val="clear" w:color="auto" w:fill="auto"/>
            <w:tcMar>
              <w:top w:w="45" w:type="dxa"/>
              <w:left w:w="55" w:type="dxa"/>
              <w:bottom w:w="45" w:type="dxa"/>
              <w:right w:w="55" w:type="dxa"/>
            </w:tcMar>
            <w:vAlign w:val="top"/>
          </w:tcPr>
          <w:p w14:paraId="4F7C2B7D">
            <w:pPr>
              <w:spacing w:before="0" w:after="0" w:line="240" w:lineRule="auto"/>
              <w:jc w:val="left"/>
              <w:rPr>
                <w:rFonts w:hint="default" w:ascii="Times New Roman" w:hAnsi="Times New Roman" w:eastAsia="Times New Roman" w:cs="Times New Roman"/>
                <w:b w:val="0"/>
                <w:sz w:val="21"/>
                <w:szCs w:val="21"/>
              </w:rPr>
            </w:pPr>
            <w:r>
              <w:rPr>
                <w:rFonts w:hint="default" w:ascii="Times New Roman" w:hAnsi="Times New Roman" w:eastAsia="Times New Roman" w:cs="Times New Roman"/>
                <w:b w:val="0"/>
                <w:sz w:val="21"/>
                <w:szCs w:val="21"/>
              </w:rPr>
              <w:t>IG: 45.05 (8.17)</w:t>
            </w:r>
            <w:r>
              <w:rPr>
                <w:rFonts w:hint="default" w:ascii="Times New Roman" w:hAnsi="Times New Roman" w:eastAsia="Times New Roman" w:cs="Times New Roman"/>
                <w:b w:val="0"/>
                <w:sz w:val="21"/>
                <w:szCs w:val="21"/>
              </w:rPr>
              <w:br w:type="textWrapping"/>
            </w:r>
            <w:r>
              <w:rPr>
                <w:rFonts w:hint="default" w:ascii="Times New Roman" w:hAnsi="Times New Roman" w:eastAsia="Times New Roman" w:cs="Times New Roman"/>
                <w:b w:val="0"/>
                <w:sz w:val="21"/>
                <w:szCs w:val="21"/>
              </w:rPr>
              <w:t xml:space="preserve">CG: </w:t>
            </w:r>
          </w:p>
          <w:p w14:paraId="0AE3A20D">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45.40</w:t>
            </w:r>
            <w:r>
              <w:rPr>
                <w:rFonts w:hint="eastAsia" w:ascii="Times New Roman" w:hAnsi="Times New Roman" w:eastAsia="宋体" w:cs="Times New Roman"/>
                <w:b w:val="0"/>
                <w:sz w:val="21"/>
                <w:szCs w:val="21"/>
                <w:lang w:val="en-US" w:eastAsia="zh-CN"/>
              </w:rPr>
              <w:t xml:space="preserve"> </w:t>
            </w:r>
            <w:r>
              <w:rPr>
                <w:rFonts w:hint="default" w:ascii="Times New Roman" w:hAnsi="Times New Roman" w:eastAsia="Times New Roman" w:cs="Times New Roman"/>
                <w:b w:val="0"/>
                <w:sz w:val="21"/>
                <w:szCs w:val="21"/>
              </w:rPr>
              <w:t>(13.74)</w:t>
            </w:r>
          </w:p>
        </w:tc>
        <w:tc>
          <w:tcPr>
            <w:tcW w:w="1134" w:type="dxa"/>
            <w:shd w:val="clear" w:color="auto" w:fill="auto"/>
            <w:tcMar>
              <w:top w:w="45" w:type="dxa"/>
              <w:left w:w="55" w:type="dxa"/>
              <w:bottom w:w="45" w:type="dxa"/>
              <w:right w:w="55" w:type="dxa"/>
            </w:tcMar>
            <w:vAlign w:val="top"/>
          </w:tcPr>
          <w:p w14:paraId="2DAEFCB8">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No</w:t>
            </w:r>
          </w:p>
        </w:tc>
        <w:tc>
          <w:tcPr>
            <w:tcW w:w="1548" w:type="dxa"/>
            <w:shd w:val="clear" w:color="auto" w:fill="auto"/>
            <w:tcMar>
              <w:top w:w="45" w:type="dxa"/>
              <w:left w:w="55" w:type="dxa"/>
              <w:bottom w:w="45" w:type="dxa"/>
              <w:right w:w="55" w:type="dxa"/>
            </w:tcMar>
            <w:vAlign w:val="top"/>
          </w:tcPr>
          <w:p w14:paraId="6B5E63FA">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VR mindfulness</w:t>
            </w:r>
          </w:p>
        </w:tc>
        <w:tc>
          <w:tcPr>
            <w:tcW w:w="5538" w:type="dxa"/>
            <w:shd w:val="clear" w:color="auto" w:fill="auto"/>
            <w:tcMar>
              <w:top w:w="45" w:type="dxa"/>
              <w:left w:w="55" w:type="dxa"/>
              <w:bottom w:w="45" w:type="dxa"/>
              <w:right w:w="55" w:type="dxa"/>
            </w:tcMar>
            <w:vAlign w:val="top"/>
          </w:tcPr>
          <w:p w14:paraId="2D039A7C">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VR DBT mindfulness-skills sessions augmented a mindfulness-based intervention and used VR to practice mindfulness/emotion-regulation skills. The qualifying content targeted attention to internal experience, acceptance, interoceptive/body awareness, and emotion/self-regulation rather than VR exposure itself.</w:t>
            </w:r>
          </w:p>
        </w:tc>
        <w:tc>
          <w:tcPr>
            <w:tcW w:w="1972" w:type="dxa"/>
            <w:shd w:val="clear" w:color="auto" w:fill="auto"/>
            <w:tcMar>
              <w:top w:w="45" w:type="dxa"/>
              <w:left w:w="55" w:type="dxa"/>
              <w:bottom w:w="45" w:type="dxa"/>
              <w:right w:w="55" w:type="dxa"/>
            </w:tcMar>
            <w:vAlign w:val="top"/>
          </w:tcPr>
          <w:p w14:paraId="6055C40C">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Mindfulness-based intervention without VR</w:t>
            </w:r>
          </w:p>
        </w:tc>
        <w:tc>
          <w:tcPr>
            <w:tcW w:w="1288" w:type="dxa"/>
            <w:shd w:val="clear" w:color="auto" w:fill="auto"/>
            <w:tcMar>
              <w:top w:w="45" w:type="dxa"/>
              <w:left w:w="55" w:type="dxa"/>
              <w:bottom w:w="45" w:type="dxa"/>
              <w:right w:w="55" w:type="dxa"/>
            </w:tcMar>
            <w:vAlign w:val="top"/>
          </w:tcPr>
          <w:p w14:paraId="19FD0EC3">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Active</w:t>
            </w:r>
          </w:p>
        </w:tc>
        <w:tc>
          <w:tcPr>
            <w:tcW w:w="1417" w:type="dxa"/>
            <w:shd w:val="clear" w:color="auto" w:fill="auto"/>
            <w:tcMar>
              <w:top w:w="45" w:type="dxa"/>
              <w:left w:w="55" w:type="dxa"/>
              <w:bottom w:w="45" w:type="dxa"/>
              <w:right w:w="55" w:type="dxa"/>
            </w:tcMar>
            <w:vAlign w:val="top"/>
          </w:tcPr>
          <w:p w14:paraId="5C1EAB0B">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Yes</w:t>
            </w:r>
          </w:p>
        </w:tc>
      </w:tr>
      <w:tr w14:paraId="55563B8E">
        <w:tblPrEx>
          <w:tblBorders>
            <w:top w:val="single" w:color="777777" w:sz="4" w:space="0"/>
            <w:left w:val="single" w:color="777777" w:sz="4" w:space="0"/>
            <w:bottom w:val="single" w:color="777777" w:sz="4" w:space="0"/>
            <w:right w:val="single" w:color="777777" w:sz="4" w:space="0"/>
            <w:insideH w:val="single" w:color="777777" w:sz="4" w:space="0"/>
            <w:insideV w:val="single" w:color="777777" w:sz="4" w:space="0"/>
          </w:tblBorders>
          <w:shd w:val="clear" w:color="auto" w:fill="auto"/>
          <w:tblCellMar>
            <w:top w:w="0" w:type="dxa"/>
            <w:left w:w="108" w:type="dxa"/>
            <w:bottom w:w="0" w:type="dxa"/>
            <w:right w:w="108" w:type="dxa"/>
          </w:tblCellMar>
        </w:tblPrEx>
        <w:trPr>
          <w:cantSplit/>
          <w:jc w:val="center"/>
        </w:trPr>
        <w:tc>
          <w:tcPr>
            <w:tcW w:w="2047" w:type="dxa"/>
            <w:shd w:val="clear" w:color="auto" w:fill="auto"/>
            <w:tcMar>
              <w:top w:w="45" w:type="dxa"/>
              <w:left w:w="55" w:type="dxa"/>
              <w:bottom w:w="45" w:type="dxa"/>
              <w:right w:w="55" w:type="dxa"/>
            </w:tcMar>
            <w:vAlign w:val="top"/>
          </w:tcPr>
          <w:p w14:paraId="199C86F0">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Doncker et al.</w:t>
            </w:r>
          </w:p>
        </w:tc>
        <w:tc>
          <w:tcPr>
            <w:tcW w:w="1638" w:type="dxa"/>
            <w:shd w:val="clear" w:color="auto" w:fill="auto"/>
            <w:tcMar>
              <w:top w:w="45" w:type="dxa"/>
              <w:left w:w="55" w:type="dxa"/>
              <w:bottom w:w="45" w:type="dxa"/>
              <w:right w:w="55" w:type="dxa"/>
            </w:tcMar>
            <w:vAlign w:val="top"/>
          </w:tcPr>
          <w:p w14:paraId="07078AF9">
            <w:pPr>
              <w:spacing w:before="0" w:after="0" w:line="240" w:lineRule="auto"/>
              <w:jc w:val="left"/>
              <w:rPr>
                <w:rFonts w:hint="default" w:ascii="Times New Roman" w:hAnsi="Times New Roman" w:eastAsia="Times New Roman" w:cs="Times New Roman"/>
                <w:b w:val="0"/>
                <w:sz w:val="21"/>
                <w:szCs w:val="21"/>
              </w:rPr>
            </w:pPr>
            <w:r>
              <w:rPr>
                <w:rFonts w:hint="default" w:ascii="Times New Roman" w:hAnsi="Times New Roman" w:eastAsia="Times New Roman" w:cs="Times New Roman"/>
                <w:b w:val="0"/>
                <w:sz w:val="21"/>
                <w:szCs w:val="21"/>
              </w:rPr>
              <w:t>IG: 66.10 (15.70)</w:t>
            </w:r>
            <w:r>
              <w:rPr>
                <w:rFonts w:hint="default" w:ascii="Times New Roman" w:hAnsi="Times New Roman" w:eastAsia="Times New Roman" w:cs="Times New Roman"/>
                <w:b w:val="0"/>
                <w:sz w:val="21"/>
                <w:szCs w:val="21"/>
              </w:rPr>
              <w:br w:type="textWrapping"/>
            </w:r>
            <w:r>
              <w:rPr>
                <w:rFonts w:hint="default" w:ascii="Times New Roman" w:hAnsi="Times New Roman" w:eastAsia="Times New Roman" w:cs="Times New Roman"/>
                <w:b w:val="0"/>
                <w:sz w:val="21"/>
                <w:szCs w:val="21"/>
              </w:rPr>
              <w:t xml:space="preserve">CG: </w:t>
            </w:r>
          </w:p>
          <w:p w14:paraId="25090943">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62.80 (17.30)</w:t>
            </w:r>
          </w:p>
        </w:tc>
        <w:tc>
          <w:tcPr>
            <w:tcW w:w="1134" w:type="dxa"/>
            <w:shd w:val="clear" w:color="auto" w:fill="auto"/>
            <w:tcMar>
              <w:top w:w="45" w:type="dxa"/>
              <w:left w:w="55" w:type="dxa"/>
              <w:bottom w:w="45" w:type="dxa"/>
              <w:right w:w="55" w:type="dxa"/>
            </w:tcMar>
            <w:vAlign w:val="top"/>
          </w:tcPr>
          <w:p w14:paraId="3C42D92B">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Yes</w:t>
            </w:r>
          </w:p>
        </w:tc>
        <w:tc>
          <w:tcPr>
            <w:tcW w:w="1548" w:type="dxa"/>
            <w:shd w:val="clear" w:color="auto" w:fill="auto"/>
            <w:tcMar>
              <w:top w:w="45" w:type="dxa"/>
              <w:left w:w="55" w:type="dxa"/>
              <w:bottom w:w="45" w:type="dxa"/>
              <w:right w:w="55" w:type="dxa"/>
            </w:tcMar>
            <w:vAlign w:val="top"/>
          </w:tcPr>
          <w:p w14:paraId="6E4668CF">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VR hypnosis</w:t>
            </w:r>
          </w:p>
        </w:tc>
        <w:tc>
          <w:tcPr>
            <w:tcW w:w="5538" w:type="dxa"/>
            <w:shd w:val="clear" w:color="auto" w:fill="auto"/>
            <w:tcMar>
              <w:top w:w="45" w:type="dxa"/>
              <w:left w:w="55" w:type="dxa"/>
              <w:bottom w:w="45" w:type="dxa"/>
              <w:right w:w="55" w:type="dxa"/>
            </w:tcMar>
            <w:vAlign w:val="top"/>
          </w:tcPr>
          <w:p w14:paraId="2A80A8A2">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HypnoVR delivered a standardized hypnotic voice-over including cardiac-coherence relaxation, a dissociation phase with therapeutic suggestions for comfort/pain relief, and a return phase within immersive calming environments. Focused attention, relaxation/respiratory regulation, and therapeutic suggestion constituted the qualifying self-regulation process.</w:t>
            </w:r>
          </w:p>
        </w:tc>
        <w:tc>
          <w:tcPr>
            <w:tcW w:w="1972" w:type="dxa"/>
            <w:shd w:val="clear" w:color="auto" w:fill="auto"/>
            <w:tcMar>
              <w:top w:w="45" w:type="dxa"/>
              <w:left w:w="55" w:type="dxa"/>
              <w:bottom w:w="45" w:type="dxa"/>
              <w:right w:w="55" w:type="dxa"/>
            </w:tcMar>
            <w:vAlign w:val="top"/>
          </w:tcPr>
          <w:p w14:paraId="49911D9B">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20-min television, music, or reading activity</w:t>
            </w:r>
          </w:p>
        </w:tc>
        <w:tc>
          <w:tcPr>
            <w:tcW w:w="1288" w:type="dxa"/>
            <w:shd w:val="clear" w:color="auto" w:fill="auto"/>
            <w:tcMar>
              <w:top w:w="45" w:type="dxa"/>
              <w:left w:w="55" w:type="dxa"/>
              <w:bottom w:w="45" w:type="dxa"/>
              <w:right w:w="55" w:type="dxa"/>
            </w:tcMar>
            <w:vAlign w:val="top"/>
          </w:tcPr>
          <w:p w14:paraId="3895AE24">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Active</w:t>
            </w:r>
          </w:p>
        </w:tc>
        <w:tc>
          <w:tcPr>
            <w:tcW w:w="1417" w:type="dxa"/>
            <w:shd w:val="clear" w:color="auto" w:fill="auto"/>
            <w:tcMar>
              <w:top w:w="45" w:type="dxa"/>
              <w:left w:w="55" w:type="dxa"/>
              <w:bottom w:w="45" w:type="dxa"/>
              <w:right w:w="55" w:type="dxa"/>
            </w:tcMar>
            <w:vAlign w:val="top"/>
          </w:tcPr>
          <w:p w14:paraId="4DB4B69C">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Yes</w:t>
            </w:r>
          </w:p>
        </w:tc>
      </w:tr>
      <w:tr w14:paraId="5D2A6977">
        <w:tblPrEx>
          <w:tblBorders>
            <w:top w:val="single" w:color="777777" w:sz="4" w:space="0"/>
            <w:left w:val="single" w:color="777777" w:sz="4" w:space="0"/>
            <w:bottom w:val="single" w:color="777777" w:sz="4" w:space="0"/>
            <w:right w:val="single" w:color="777777" w:sz="4" w:space="0"/>
            <w:insideH w:val="single" w:color="777777" w:sz="4" w:space="0"/>
            <w:insideV w:val="single" w:color="777777" w:sz="4" w:space="0"/>
          </w:tblBorders>
          <w:shd w:val="clear" w:color="auto" w:fill="auto"/>
          <w:tblCellMar>
            <w:top w:w="0" w:type="dxa"/>
            <w:left w:w="108" w:type="dxa"/>
            <w:bottom w:w="0" w:type="dxa"/>
            <w:right w:w="108" w:type="dxa"/>
          </w:tblCellMar>
        </w:tblPrEx>
        <w:trPr>
          <w:cantSplit/>
          <w:jc w:val="center"/>
        </w:trPr>
        <w:tc>
          <w:tcPr>
            <w:tcW w:w="2047" w:type="dxa"/>
            <w:shd w:val="clear" w:color="auto" w:fill="auto"/>
            <w:tcMar>
              <w:top w:w="45" w:type="dxa"/>
              <w:left w:w="55" w:type="dxa"/>
              <w:bottom w:w="45" w:type="dxa"/>
              <w:right w:w="55" w:type="dxa"/>
            </w:tcMar>
            <w:vAlign w:val="top"/>
          </w:tcPr>
          <w:p w14:paraId="4298E108">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Menekseoglu et al.</w:t>
            </w:r>
          </w:p>
        </w:tc>
        <w:tc>
          <w:tcPr>
            <w:tcW w:w="1638" w:type="dxa"/>
            <w:shd w:val="clear" w:color="auto" w:fill="auto"/>
            <w:tcMar>
              <w:top w:w="45" w:type="dxa"/>
              <w:left w:w="55" w:type="dxa"/>
              <w:bottom w:w="45" w:type="dxa"/>
              <w:right w:w="55" w:type="dxa"/>
            </w:tcMar>
            <w:vAlign w:val="top"/>
          </w:tcPr>
          <w:p w14:paraId="76B13263">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IG: 48.83 (11.77)</w:t>
            </w:r>
            <w:r>
              <w:rPr>
                <w:rFonts w:hint="default" w:ascii="Times New Roman" w:hAnsi="Times New Roman" w:eastAsia="Times New Roman" w:cs="Times New Roman"/>
                <w:b w:val="0"/>
                <w:sz w:val="21"/>
                <w:szCs w:val="21"/>
              </w:rPr>
              <w:br w:type="textWrapping"/>
            </w:r>
            <w:r>
              <w:rPr>
                <w:rFonts w:hint="default" w:ascii="Times New Roman" w:hAnsi="Times New Roman" w:eastAsia="Times New Roman" w:cs="Times New Roman"/>
                <w:b w:val="0"/>
                <w:sz w:val="21"/>
                <w:szCs w:val="21"/>
              </w:rPr>
              <w:t>CG: 46.40 (9.57)</w:t>
            </w:r>
          </w:p>
        </w:tc>
        <w:tc>
          <w:tcPr>
            <w:tcW w:w="1134" w:type="dxa"/>
            <w:shd w:val="clear" w:color="auto" w:fill="auto"/>
            <w:tcMar>
              <w:top w:w="45" w:type="dxa"/>
              <w:left w:w="55" w:type="dxa"/>
              <w:bottom w:w="45" w:type="dxa"/>
              <w:right w:w="55" w:type="dxa"/>
            </w:tcMar>
            <w:vAlign w:val="top"/>
          </w:tcPr>
          <w:p w14:paraId="165411BB">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No</w:t>
            </w:r>
          </w:p>
        </w:tc>
        <w:tc>
          <w:tcPr>
            <w:tcW w:w="1548" w:type="dxa"/>
            <w:shd w:val="clear" w:color="auto" w:fill="auto"/>
            <w:tcMar>
              <w:top w:w="45" w:type="dxa"/>
              <w:left w:w="55" w:type="dxa"/>
              <w:bottom w:w="45" w:type="dxa"/>
              <w:right w:w="55" w:type="dxa"/>
            </w:tcMar>
            <w:vAlign w:val="top"/>
          </w:tcPr>
          <w:p w14:paraId="51F15656">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VR-mediated hypnotherapy</w:t>
            </w:r>
          </w:p>
        </w:tc>
        <w:tc>
          <w:tcPr>
            <w:tcW w:w="5538" w:type="dxa"/>
            <w:shd w:val="clear" w:color="auto" w:fill="auto"/>
            <w:tcMar>
              <w:top w:w="45" w:type="dxa"/>
              <w:left w:w="55" w:type="dxa"/>
              <w:bottom w:w="45" w:type="dxa"/>
              <w:right w:w="55" w:type="dxa"/>
            </w:tcMar>
            <w:vAlign w:val="top"/>
          </w:tcPr>
          <w:p w14:paraId="17845274">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The study explicitly evaluated VR-mediated hypnotherapy using HypnoVR (20 min/day for 15 sessions) in a standardized seaside environment with relaxation music. The authors conceptualized hypnotherapy as guided relaxation, focused attention, and suggestion, but the session-specific hypnotic script was not reported; classification therefore rests on the explicitly delivered hypnotherapy protocol with incomplete component-level reporting.</w:t>
            </w:r>
          </w:p>
        </w:tc>
        <w:tc>
          <w:tcPr>
            <w:tcW w:w="1972" w:type="dxa"/>
            <w:shd w:val="clear" w:color="auto" w:fill="auto"/>
            <w:tcMar>
              <w:top w:w="45" w:type="dxa"/>
              <w:left w:w="55" w:type="dxa"/>
              <w:bottom w:w="45" w:type="dxa"/>
              <w:right w:w="55" w:type="dxa"/>
            </w:tcMar>
            <w:vAlign w:val="top"/>
          </w:tcPr>
          <w:p w14:paraId="2443CD3A">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Standard physiotherapy common to both groups</w:t>
            </w:r>
          </w:p>
        </w:tc>
        <w:tc>
          <w:tcPr>
            <w:tcW w:w="1288" w:type="dxa"/>
            <w:shd w:val="clear" w:color="auto" w:fill="auto"/>
            <w:tcMar>
              <w:top w:w="45" w:type="dxa"/>
              <w:left w:w="55" w:type="dxa"/>
              <w:bottom w:w="45" w:type="dxa"/>
              <w:right w:w="55" w:type="dxa"/>
            </w:tcMar>
            <w:vAlign w:val="top"/>
          </w:tcPr>
          <w:p w14:paraId="471FBF35">
            <w:pPr>
              <w:spacing w:before="0" w:after="0" w:line="240" w:lineRule="auto"/>
              <w:jc w:val="left"/>
              <w:rPr>
                <w:rFonts w:hint="default" w:ascii="Times New Roman" w:hAnsi="Times New Roman" w:cs="Times New Roman"/>
                <w:sz w:val="21"/>
                <w:szCs w:val="21"/>
              </w:rPr>
            </w:pPr>
            <w:r>
              <w:rPr>
                <w:rFonts w:hint="eastAsia" w:ascii="Times New Roman" w:hAnsi="Times New Roman" w:eastAsia="宋体" w:cs="Times New Roman"/>
                <w:b w:val="0"/>
                <w:sz w:val="21"/>
                <w:szCs w:val="21"/>
                <w:lang w:val="en-US" w:eastAsia="zh-CN"/>
              </w:rPr>
              <w:t>A</w:t>
            </w:r>
            <w:r>
              <w:rPr>
                <w:rFonts w:hint="default" w:ascii="Times New Roman" w:hAnsi="Times New Roman" w:eastAsia="Times New Roman" w:cs="Times New Roman"/>
                <w:b w:val="0"/>
                <w:sz w:val="21"/>
                <w:szCs w:val="21"/>
              </w:rPr>
              <w:t>ctive</w:t>
            </w:r>
          </w:p>
        </w:tc>
        <w:tc>
          <w:tcPr>
            <w:tcW w:w="1417" w:type="dxa"/>
            <w:shd w:val="clear" w:color="auto" w:fill="auto"/>
            <w:tcMar>
              <w:top w:w="45" w:type="dxa"/>
              <w:left w:w="55" w:type="dxa"/>
              <w:bottom w:w="45" w:type="dxa"/>
              <w:right w:w="55" w:type="dxa"/>
            </w:tcMar>
            <w:vAlign w:val="top"/>
          </w:tcPr>
          <w:p w14:paraId="1CF35D4D">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No</w:t>
            </w:r>
          </w:p>
        </w:tc>
      </w:tr>
      <w:tr w14:paraId="077E541B">
        <w:tblPrEx>
          <w:tblBorders>
            <w:top w:val="single" w:color="777777" w:sz="4" w:space="0"/>
            <w:left w:val="single" w:color="777777" w:sz="4" w:space="0"/>
            <w:bottom w:val="single" w:color="777777" w:sz="4" w:space="0"/>
            <w:right w:val="single" w:color="777777" w:sz="4" w:space="0"/>
            <w:insideH w:val="single" w:color="777777" w:sz="4" w:space="0"/>
            <w:insideV w:val="single" w:color="777777" w:sz="4" w:space="0"/>
          </w:tblBorders>
          <w:shd w:val="clear" w:color="auto" w:fill="auto"/>
          <w:tblCellMar>
            <w:top w:w="0" w:type="dxa"/>
            <w:left w:w="108" w:type="dxa"/>
            <w:bottom w:w="0" w:type="dxa"/>
            <w:right w:w="108" w:type="dxa"/>
          </w:tblCellMar>
        </w:tblPrEx>
        <w:trPr>
          <w:cantSplit/>
          <w:jc w:val="center"/>
        </w:trPr>
        <w:tc>
          <w:tcPr>
            <w:tcW w:w="2047" w:type="dxa"/>
            <w:shd w:val="clear" w:color="auto" w:fill="auto"/>
            <w:tcMar>
              <w:top w:w="45" w:type="dxa"/>
              <w:left w:w="55" w:type="dxa"/>
              <w:bottom w:w="45" w:type="dxa"/>
              <w:right w:w="55" w:type="dxa"/>
            </w:tcMar>
            <w:vAlign w:val="top"/>
          </w:tcPr>
          <w:p w14:paraId="5F6AA1BA">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Doan et al.</w:t>
            </w:r>
          </w:p>
        </w:tc>
        <w:tc>
          <w:tcPr>
            <w:tcW w:w="1638" w:type="dxa"/>
            <w:shd w:val="clear" w:color="auto" w:fill="auto"/>
            <w:tcMar>
              <w:top w:w="45" w:type="dxa"/>
              <w:left w:w="55" w:type="dxa"/>
              <w:bottom w:w="45" w:type="dxa"/>
              <w:right w:w="55" w:type="dxa"/>
            </w:tcMar>
            <w:vAlign w:val="top"/>
          </w:tcPr>
          <w:p w14:paraId="24C06040">
            <w:pPr>
              <w:spacing w:before="0" w:after="0" w:line="240" w:lineRule="auto"/>
              <w:jc w:val="left"/>
              <w:rPr>
                <w:rFonts w:hint="default" w:ascii="Times New Roman" w:hAnsi="Times New Roman" w:eastAsia="Times New Roman" w:cs="Times New Roman"/>
                <w:b w:val="0"/>
                <w:sz w:val="21"/>
                <w:szCs w:val="21"/>
              </w:rPr>
            </w:pPr>
            <w:r>
              <w:rPr>
                <w:rFonts w:hint="default" w:ascii="Times New Roman" w:hAnsi="Times New Roman" w:eastAsia="Times New Roman" w:cs="Times New Roman"/>
                <w:b w:val="0"/>
                <w:sz w:val="21"/>
                <w:szCs w:val="21"/>
              </w:rPr>
              <w:t>IG: 54.90 (13.10)</w:t>
            </w:r>
            <w:r>
              <w:rPr>
                <w:rFonts w:hint="default" w:ascii="Times New Roman" w:hAnsi="Times New Roman" w:eastAsia="Times New Roman" w:cs="Times New Roman"/>
                <w:b w:val="0"/>
                <w:sz w:val="21"/>
                <w:szCs w:val="21"/>
              </w:rPr>
              <w:br w:type="textWrapping"/>
            </w:r>
            <w:r>
              <w:rPr>
                <w:rFonts w:hint="default" w:ascii="Times New Roman" w:hAnsi="Times New Roman" w:eastAsia="Times New Roman" w:cs="Times New Roman"/>
                <w:b w:val="0"/>
                <w:sz w:val="21"/>
                <w:szCs w:val="21"/>
              </w:rPr>
              <w:t xml:space="preserve">CG: </w:t>
            </w:r>
          </w:p>
          <w:p w14:paraId="47D95963">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56.10 (11.50)</w:t>
            </w:r>
          </w:p>
        </w:tc>
        <w:tc>
          <w:tcPr>
            <w:tcW w:w="1134" w:type="dxa"/>
            <w:shd w:val="clear" w:color="auto" w:fill="auto"/>
            <w:tcMar>
              <w:top w:w="45" w:type="dxa"/>
              <w:left w:w="55" w:type="dxa"/>
              <w:bottom w:w="45" w:type="dxa"/>
              <w:right w:w="55" w:type="dxa"/>
            </w:tcMar>
            <w:vAlign w:val="top"/>
          </w:tcPr>
          <w:p w14:paraId="04770B44">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No</w:t>
            </w:r>
          </w:p>
        </w:tc>
        <w:tc>
          <w:tcPr>
            <w:tcW w:w="1548" w:type="dxa"/>
            <w:shd w:val="clear" w:color="auto" w:fill="auto"/>
            <w:tcMar>
              <w:top w:w="45" w:type="dxa"/>
              <w:left w:w="55" w:type="dxa"/>
              <w:bottom w:w="45" w:type="dxa"/>
              <w:right w:w="55" w:type="dxa"/>
            </w:tcMar>
            <w:vAlign w:val="top"/>
          </w:tcPr>
          <w:p w14:paraId="65769CCE">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VR guided imagery</w:t>
            </w:r>
          </w:p>
        </w:tc>
        <w:tc>
          <w:tcPr>
            <w:tcW w:w="5538" w:type="dxa"/>
            <w:shd w:val="clear" w:color="auto" w:fill="auto"/>
            <w:tcMar>
              <w:top w:w="45" w:type="dxa"/>
              <w:left w:w="55" w:type="dxa"/>
              <w:bottom w:w="45" w:type="dxa"/>
              <w:right w:w="55" w:type="dxa"/>
            </w:tcMar>
            <w:vAlign w:val="top"/>
          </w:tcPr>
          <w:p w14:paraId="2B3AA688">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The skills-based VR-guided imagery program incorporated progressive muscle relaxation, paced breathing, grounding/mindfulness cues, sensory attention, and cognitive reframing. These guided practices required deliberate attentional and respiratory self-regulation; VR served as the delivery medium for the self-regulation skills.</w:t>
            </w:r>
          </w:p>
        </w:tc>
        <w:tc>
          <w:tcPr>
            <w:tcW w:w="1972" w:type="dxa"/>
            <w:shd w:val="clear" w:color="auto" w:fill="auto"/>
            <w:tcMar>
              <w:top w:w="45" w:type="dxa"/>
              <w:left w:w="55" w:type="dxa"/>
              <w:bottom w:w="45" w:type="dxa"/>
              <w:right w:w="55" w:type="dxa"/>
            </w:tcMar>
            <w:vAlign w:val="top"/>
          </w:tcPr>
          <w:p w14:paraId="4124941E">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Audio-only guided imagery with closely matched narration</w:t>
            </w:r>
          </w:p>
        </w:tc>
        <w:tc>
          <w:tcPr>
            <w:tcW w:w="1288" w:type="dxa"/>
            <w:shd w:val="clear" w:color="auto" w:fill="auto"/>
            <w:tcMar>
              <w:top w:w="45" w:type="dxa"/>
              <w:left w:w="55" w:type="dxa"/>
              <w:bottom w:w="45" w:type="dxa"/>
              <w:right w:w="55" w:type="dxa"/>
            </w:tcMar>
            <w:vAlign w:val="top"/>
          </w:tcPr>
          <w:p w14:paraId="60345DE4">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Active</w:t>
            </w:r>
          </w:p>
        </w:tc>
        <w:tc>
          <w:tcPr>
            <w:tcW w:w="1417" w:type="dxa"/>
            <w:shd w:val="clear" w:color="auto" w:fill="auto"/>
            <w:tcMar>
              <w:top w:w="45" w:type="dxa"/>
              <w:left w:w="55" w:type="dxa"/>
              <w:bottom w:w="45" w:type="dxa"/>
              <w:right w:w="55" w:type="dxa"/>
            </w:tcMar>
            <w:vAlign w:val="top"/>
          </w:tcPr>
          <w:p w14:paraId="0FBDC7AA">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Yes</w:t>
            </w:r>
          </w:p>
        </w:tc>
      </w:tr>
      <w:tr w14:paraId="18EC55B2">
        <w:tblPrEx>
          <w:tblBorders>
            <w:top w:val="single" w:color="777777" w:sz="4" w:space="0"/>
            <w:left w:val="single" w:color="777777" w:sz="4" w:space="0"/>
            <w:bottom w:val="single" w:color="777777" w:sz="4" w:space="0"/>
            <w:right w:val="single" w:color="777777" w:sz="4" w:space="0"/>
            <w:insideH w:val="single" w:color="777777" w:sz="4" w:space="0"/>
            <w:insideV w:val="single" w:color="777777" w:sz="4" w:space="0"/>
          </w:tblBorders>
          <w:shd w:val="clear" w:color="auto" w:fill="auto"/>
          <w:tblCellMar>
            <w:top w:w="0" w:type="dxa"/>
            <w:left w:w="108" w:type="dxa"/>
            <w:bottom w:w="0" w:type="dxa"/>
            <w:right w:w="108" w:type="dxa"/>
          </w:tblCellMar>
        </w:tblPrEx>
        <w:trPr>
          <w:cantSplit/>
          <w:jc w:val="center"/>
        </w:trPr>
        <w:tc>
          <w:tcPr>
            <w:tcW w:w="2047" w:type="dxa"/>
            <w:shd w:val="clear" w:color="auto" w:fill="auto"/>
            <w:tcMar>
              <w:top w:w="45" w:type="dxa"/>
              <w:left w:w="55" w:type="dxa"/>
              <w:bottom w:w="45" w:type="dxa"/>
              <w:right w:w="55" w:type="dxa"/>
            </w:tcMar>
            <w:vAlign w:val="top"/>
          </w:tcPr>
          <w:p w14:paraId="65B364CA">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Kim et al.</w:t>
            </w:r>
          </w:p>
        </w:tc>
        <w:tc>
          <w:tcPr>
            <w:tcW w:w="1638" w:type="dxa"/>
            <w:shd w:val="clear" w:color="auto" w:fill="auto"/>
            <w:tcMar>
              <w:top w:w="45" w:type="dxa"/>
              <w:left w:w="55" w:type="dxa"/>
              <w:bottom w:w="45" w:type="dxa"/>
              <w:right w:w="55" w:type="dxa"/>
            </w:tcMar>
            <w:vAlign w:val="top"/>
          </w:tcPr>
          <w:p w14:paraId="0121299C">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IG: 67.50 (7.10)</w:t>
            </w:r>
            <w:r>
              <w:rPr>
                <w:rFonts w:hint="default" w:ascii="Times New Roman" w:hAnsi="Times New Roman" w:eastAsia="Times New Roman" w:cs="Times New Roman"/>
                <w:b w:val="0"/>
                <w:sz w:val="21"/>
                <w:szCs w:val="21"/>
              </w:rPr>
              <w:br w:type="textWrapping"/>
            </w:r>
            <w:r>
              <w:rPr>
                <w:rFonts w:hint="default" w:ascii="Times New Roman" w:hAnsi="Times New Roman" w:eastAsia="Times New Roman" w:cs="Times New Roman"/>
                <w:b w:val="0"/>
                <w:sz w:val="21"/>
                <w:szCs w:val="21"/>
              </w:rPr>
              <w:t>CG: 68.40 (8.10)</w:t>
            </w:r>
          </w:p>
        </w:tc>
        <w:tc>
          <w:tcPr>
            <w:tcW w:w="1134" w:type="dxa"/>
            <w:shd w:val="clear" w:color="auto" w:fill="auto"/>
            <w:tcMar>
              <w:top w:w="45" w:type="dxa"/>
              <w:left w:w="55" w:type="dxa"/>
              <w:bottom w:w="45" w:type="dxa"/>
              <w:right w:w="55" w:type="dxa"/>
            </w:tcMar>
            <w:vAlign w:val="top"/>
          </w:tcPr>
          <w:p w14:paraId="18E66BC2">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Yes</w:t>
            </w:r>
          </w:p>
        </w:tc>
        <w:tc>
          <w:tcPr>
            <w:tcW w:w="1548" w:type="dxa"/>
            <w:shd w:val="clear" w:color="auto" w:fill="auto"/>
            <w:tcMar>
              <w:top w:w="45" w:type="dxa"/>
              <w:left w:w="55" w:type="dxa"/>
              <w:bottom w:w="45" w:type="dxa"/>
              <w:right w:w="55" w:type="dxa"/>
            </w:tcMar>
            <w:vAlign w:val="top"/>
          </w:tcPr>
          <w:p w14:paraId="430E8128">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VR guided breathing</w:t>
            </w:r>
          </w:p>
        </w:tc>
        <w:tc>
          <w:tcPr>
            <w:tcW w:w="5538" w:type="dxa"/>
            <w:shd w:val="clear" w:color="auto" w:fill="auto"/>
            <w:tcMar>
              <w:top w:w="45" w:type="dxa"/>
              <w:left w:w="55" w:type="dxa"/>
              <w:bottom w:w="45" w:type="dxa"/>
              <w:right w:w="55" w:type="dxa"/>
            </w:tcMar>
            <w:vAlign w:val="top"/>
          </w:tcPr>
          <w:p w14:paraId="7183C4A9">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Both groups received the same 7-min calming nature VR exposure; the intervention additionally incorporated approximately 3.5 min of slow guided breathing using a 5-s inhale/5-s exhale rhythm (about 6 breaths/min). Deliberate paced breathing was therefore the qualifying self-regulation component.</w:t>
            </w:r>
          </w:p>
        </w:tc>
        <w:tc>
          <w:tcPr>
            <w:tcW w:w="1972" w:type="dxa"/>
            <w:shd w:val="clear" w:color="auto" w:fill="auto"/>
            <w:tcMar>
              <w:top w:w="45" w:type="dxa"/>
              <w:left w:w="55" w:type="dxa"/>
              <w:bottom w:w="45" w:type="dxa"/>
              <w:right w:w="55" w:type="dxa"/>
            </w:tcMar>
            <w:vAlign w:val="top"/>
          </w:tcPr>
          <w:p w14:paraId="488AC2C8">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Identical VR without guided breathing</w:t>
            </w:r>
          </w:p>
        </w:tc>
        <w:tc>
          <w:tcPr>
            <w:tcW w:w="1288" w:type="dxa"/>
            <w:shd w:val="clear" w:color="auto" w:fill="auto"/>
            <w:tcMar>
              <w:top w:w="45" w:type="dxa"/>
              <w:left w:w="55" w:type="dxa"/>
              <w:bottom w:w="45" w:type="dxa"/>
              <w:right w:w="55" w:type="dxa"/>
            </w:tcMar>
            <w:vAlign w:val="top"/>
          </w:tcPr>
          <w:p w14:paraId="008790EB">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Active</w:t>
            </w:r>
          </w:p>
        </w:tc>
        <w:tc>
          <w:tcPr>
            <w:tcW w:w="1417" w:type="dxa"/>
            <w:shd w:val="clear" w:color="auto" w:fill="auto"/>
            <w:tcMar>
              <w:top w:w="45" w:type="dxa"/>
              <w:left w:w="55" w:type="dxa"/>
              <w:bottom w:w="45" w:type="dxa"/>
              <w:right w:w="55" w:type="dxa"/>
            </w:tcMar>
            <w:vAlign w:val="top"/>
          </w:tcPr>
          <w:p w14:paraId="461DFF25">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Yes</w:t>
            </w:r>
          </w:p>
        </w:tc>
      </w:tr>
      <w:tr w14:paraId="6770A017">
        <w:tblPrEx>
          <w:tblBorders>
            <w:top w:val="single" w:color="777777" w:sz="4" w:space="0"/>
            <w:left w:val="single" w:color="777777" w:sz="4" w:space="0"/>
            <w:bottom w:val="single" w:color="777777" w:sz="4" w:space="0"/>
            <w:right w:val="single" w:color="777777" w:sz="4" w:space="0"/>
            <w:insideH w:val="single" w:color="777777" w:sz="4" w:space="0"/>
            <w:insideV w:val="single" w:color="777777" w:sz="4" w:space="0"/>
          </w:tblBorders>
          <w:shd w:val="clear" w:color="auto" w:fill="auto"/>
          <w:tblCellMar>
            <w:top w:w="0" w:type="dxa"/>
            <w:left w:w="108" w:type="dxa"/>
            <w:bottom w:w="0" w:type="dxa"/>
            <w:right w:w="108" w:type="dxa"/>
          </w:tblCellMar>
        </w:tblPrEx>
        <w:trPr>
          <w:cantSplit/>
          <w:jc w:val="center"/>
        </w:trPr>
        <w:tc>
          <w:tcPr>
            <w:tcW w:w="2047" w:type="dxa"/>
            <w:shd w:val="clear" w:color="auto" w:fill="auto"/>
            <w:tcMar>
              <w:top w:w="45" w:type="dxa"/>
              <w:left w:w="55" w:type="dxa"/>
              <w:bottom w:w="45" w:type="dxa"/>
              <w:right w:w="55" w:type="dxa"/>
            </w:tcMar>
            <w:vAlign w:val="top"/>
          </w:tcPr>
          <w:p w14:paraId="0E03321A">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Torres García et al.</w:t>
            </w:r>
          </w:p>
        </w:tc>
        <w:tc>
          <w:tcPr>
            <w:tcW w:w="1638" w:type="dxa"/>
            <w:shd w:val="clear" w:color="auto" w:fill="auto"/>
            <w:tcMar>
              <w:top w:w="45" w:type="dxa"/>
              <w:left w:w="55" w:type="dxa"/>
              <w:bottom w:w="45" w:type="dxa"/>
              <w:right w:w="55" w:type="dxa"/>
            </w:tcMar>
            <w:vAlign w:val="top"/>
          </w:tcPr>
          <w:p w14:paraId="2486DD89">
            <w:pPr>
              <w:spacing w:before="0" w:after="0" w:line="240" w:lineRule="auto"/>
              <w:jc w:val="left"/>
              <w:rPr>
                <w:rFonts w:hint="default" w:ascii="Times New Roman" w:hAnsi="Times New Roman" w:eastAsia="Times New Roman" w:cs="Times New Roman"/>
                <w:b w:val="0"/>
                <w:sz w:val="21"/>
                <w:szCs w:val="21"/>
              </w:rPr>
            </w:pPr>
            <w:r>
              <w:rPr>
                <w:rFonts w:hint="default" w:ascii="Times New Roman" w:hAnsi="Times New Roman" w:eastAsia="Times New Roman" w:cs="Times New Roman"/>
                <w:b w:val="0"/>
                <w:sz w:val="21"/>
                <w:szCs w:val="21"/>
              </w:rPr>
              <w:t>IG: 49.00 (11.70)</w:t>
            </w:r>
            <w:r>
              <w:rPr>
                <w:rFonts w:hint="default" w:ascii="Times New Roman" w:hAnsi="Times New Roman" w:eastAsia="Times New Roman" w:cs="Times New Roman"/>
                <w:b w:val="0"/>
                <w:sz w:val="21"/>
                <w:szCs w:val="21"/>
              </w:rPr>
              <w:br w:type="textWrapping"/>
            </w:r>
            <w:r>
              <w:rPr>
                <w:rFonts w:hint="default" w:ascii="Times New Roman" w:hAnsi="Times New Roman" w:eastAsia="Times New Roman" w:cs="Times New Roman"/>
                <w:b w:val="0"/>
                <w:sz w:val="21"/>
                <w:szCs w:val="21"/>
              </w:rPr>
              <w:t xml:space="preserve">CG: </w:t>
            </w:r>
          </w:p>
          <w:p w14:paraId="3E28130A">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50.00 (11.60)</w:t>
            </w:r>
          </w:p>
        </w:tc>
        <w:tc>
          <w:tcPr>
            <w:tcW w:w="1134" w:type="dxa"/>
            <w:shd w:val="clear" w:color="auto" w:fill="auto"/>
            <w:tcMar>
              <w:top w:w="45" w:type="dxa"/>
              <w:left w:w="55" w:type="dxa"/>
              <w:bottom w:w="45" w:type="dxa"/>
              <w:right w:w="55" w:type="dxa"/>
            </w:tcMar>
            <w:vAlign w:val="top"/>
          </w:tcPr>
          <w:p w14:paraId="622286F1">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No</w:t>
            </w:r>
          </w:p>
        </w:tc>
        <w:tc>
          <w:tcPr>
            <w:tcW w:w="1548" w:type="dxa"/>
            <w:shd w:val="clear" w:color="auto" w:fill="auto"/>
            <w:tcMar>
              <w:top w:w="45" w:type="dxa"/>
              <w:left w:w="55" w:type="dxa"/>
              <w:bottom w:w="45" w:type="dxa"/>
              <w:right w:w="55" w:type="dxa"/>
            </w:tcMar>
            <w:vAlign w:val="top"/>
          </w:tcPr>
          <w:p w14:paraId="3BEB3344">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VR mindfulness</w:t>
            </w:r>
          </w:p>
        </w:tc>
        <w:tc>
          <w:tcPr>
            <w:tcW w:w="5538" w:type="dxa"/>
            <w:shd w:val="clear" w:color="auto" w:fill="auto"/>
            <w:tcMar>
              <w:top w:w="45" w:type="dxa"/>
              <w:left w:w="55" w:type="dxa"/>
              <w:bottom w:w="45" w:type="dxa"/>
              <w:right w:w="55" w:type="dxa"/>
            </w:tcMar>
            <w:vAlign w:val="top"/>
          </w:tcPr>
          <w:p w14:paraId="03E8CD9B">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VR modules trained relaxation and attentional focus through observing thoughts, body scan, deep breathing, guided imagery, progressive muscle relaxation, and mindful/conscious walking. These were guided therapeutic exercises intended to regulate anxiety/fear, rather than VR distraction alone.</w:t>
            </w:r>
          </w:p>
        </w:tc>
        <w:tc>
          <w:tcPr>
            <w:tcW w:w="1972" w:type="dxa"/>
            <w:shd w:val="clear" w:color="auto" w:fill="auto"/>
            <w:tcMar>
              <w:top w:w="45" w:type="dxa"/>
              <w:left w:w="55" w:type="dxa"/>
              <w:bottom w:w="45" w:type="dxa"/>
              <w:right w:w="55" w:type="dxa"/>
            </w:tcMar>
            <w:vAlign w:val="top"/>
          </w:tcPr>
          <w:p w14:paraId="42490DA3">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Non-VR psychoeducational mindfulness/CBT intervention</w:t>
            </w:r>
          </w:p>
        </w:tc>
        <w:tc>
          <w:tcPr>
            <w:tcW w:w="1288" w:type="dxa"/>
            <w:shd w:val="clear" w:color="auto" w:fill="auto"/>
            <w:tcMar>
              <w:top w:w="45" w:type="dxa"/>
              <w:left w:w="55" w:type="dxa"/>
              <w:bottom w:w="45" w:type="dxa"/>
              <w:right w:w="55" w:type="dxa"/>
            </w:tcMar>
            <w:vAlign w:val="top"/>
          </w:tcPr>
          <w:p w14:paraId="6AF7406E">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Active</w:t>
            </w:r>
          </w:p>
        </w:tc>
        <w:tc>
          <w:tcPr>
            <w:tcW w:w="1417" w:type="dxa"/>
            <w:shd w:val="clear" w:color="auto" w:fill="auto"/>
            <w:tcMar>
              <w:top w:w="45" w:type="dxa"/>
              <w:left w:w="55" w:type="dxa"/>
              <w:bottom w:w="45" w:type="dxa"/>
              <w:right w:w="55" w:type="dxa"/>
            </w:tcMar>
            <w:vAlign w:val="top"/>
          </w:tcPr>
          <w:p w14:paraId="3E126145">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Yes</w:t>
            </w:r>
          </w:p>
        </w:tc>
      </w:tr>
      <w:tr w14:paraId="64DE858F">
        <w:tblPrEx>
          <w:tblBorders>
            <w:top w:val="single" w:color="777777" w:sz="4" w:space="0"/>
            <w:left w:val="single" w:color="777777" w:sz="4" w:space="0"/>
            <w:bottom w:val="single" w:color="777777" w:sz="4" w:space="0"/>
            <w:right w:val="single" w:color="777777" w:sz="4" w:space="0"/>
            <w:insideH w:val="single" w:color="777777" w:sz="4" w:space="0"/>
            <w:insideV w:val="single" w:color="777777" w:sz="4" w:space="0"/>
          </w:tblBorders>
          <w:shd w:val="clear" w:color="auto" w:fill="auto"/>
          <w:tblCellMar>
            <w:top w:w="0" w:type="dxa"/>
            <w:left w:w="108" w:type="dxa"/>
            <w:bottom w:w="0" w:type="dxa"/>
            <w:right w:w="108" w:type="dxa"/>
          </w:tblCellMar>
        </w:tblPrEx>
        <w:trPr>
          <w:cantSplit/>
          <w:jc w:val="center"/>
        </w:trPr>
        <w:tc>
          <w:tcPr>
            <w:tcW w:w="2047" w:type="dxa"/>
            <w:shd w:val="clear" w:color="auto" w:fill="auto"/>
            <w:tcMar>
              <w:top w:w="45" w:type="dxa"/>
              <w:left w:w="55" w:type="dxa"/>
              <w:bottom w:w="45" w:type="dxa"/>
              <w:right w:w="55" w:type="dxa"/>
            </w:tcMar>
            <w:vAlign w:val="top"/>
          </w:tcPr>
          <w:p w14:paraId="6F0B2710">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Gromala et al.</w:t>
            </w:r>
          </w:p>
        </w:tc>
        <w:tc>
          <w:tcPr>
            <w:tcW w:w="1638" w:type="dxa"/>
            <w:shd w:val="clear" w:color="auto" w:fill="auto"/>
            <w:tcMar>
              <w:top w:w="45" w:type="dxa"/>
              <w:left w:w="55" w:type="dxa"/>
              <w:bottom w:w="45" w:type="dxa"/>
              <w:right w:w="55" w:type="dxa"/>
            </w:tcMar>
            <w:vAlign w:val="top"/>
          </w:tcPr>
          <w:p w14:paraId="5556EACE">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Overall mean 49 (SD 8.2); range 35-55</w:t>
            </w:r>
          </w:p>
        </w:tc>
        <w:tc>
          <w:tcPr>
            <w:tcW w:w="1134" w:type="dxa"/>
            <w:shd w:val="clear" w:color="auto" w:fill="auto"/>
            <w:tcMar>
              <w:top w:w="45" w:type="dxa"/>
              <w:left w:w="55" w:type="dxa"/>
              <w:bottom w:w="45" w:type="dxa"/>
              <w:right w:w="55" w:type="dxa"/>
            </w:tcMar>
            <w:vAlign w:val="top"/>
          </w:tcPr>
          <w:p w14:paraId="77C50B0E">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No</w:t>
            </w:r>
          </w:p>
        </w:tc>
        <w:tc>
          <w:tcPr>
            <w:tcW w:w="1548" w:type="dxa"/>
            <w:shd w:val="clear" w:color="auto" w:fill="auto"/>
            <w:tcMar>
              <w:top w:w="45" w:type="dxa"/>
              <w:left w:w="55" w:type="dxa"/>
              <w:bottom w:w="45" w:type="dxa"/>
              <w:right w:w="55" w:type="dxa"/>
            </w:tcMar>
            <w:vAlign w:val="top"/>
          </w:tcPr>
          <w:p w14:paraId="58BC466F">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Virtual Meditative Walk</w:t>
            </w:r>
          </w:p>
        </w:tc>
        <w:tc>
          <w:tcPr>
            <w:tcW w:w="5538" w:type="dxa"/>
            <w:shd w:val="clear" w:color="auto" w:fill="auto"/>
            <w:tcMar>
              <w:top w:w="45" w:type="dxa"/>
              <w:left w:w="55" w:type="dxa"/>
              <w:bottom w:w="45" w:type="dxa"/>
              <w:right w:w="55" w:type="dxa"/>
            </w:tcMar>
            <w:vAlign w:val="top"/>
          </w:tcPr>
          <w:p w14:paraId="3BF1E716">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The Virtual Meditative Walk paired the same MBSR audio used by controls with real-time GSR biofeedback; changes in arousal altered visual/sonic feedback, helping users learn to regulate physiological arousal toward a meditative state. Biofeedback therefore directly supported intentional psychophysiological self-regulation.</w:t>
            </w:r>
          </w:p>
        </w:tc>
        <w:tc>
          <w:tcPr>
            <w:tcW w:w="1972" w:type="dxa"/>
            <w:shd w:val="clear" w:color="auto" w:fill="auto"/>
            <w:tcMar>
              <w:top w:w="45" w:type="dxa"/>
              <w:left w:w="55" w:type="dxa"/>
              <w:bottom w:w="45" w:type="dxa"/>
              <w:right w:w="55" w:type="dxa"/>
            </w:tcMar>
            <w:vAlign w:val="top"/>
          </w:tcPr>
          <w:p w14:paraId="6804B220">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Same 12-min MBSR audio without immersive VR/biofeedback</w:t>
            </w:r>
          </w:p>
        </w:tc>
        <w:tc>
          <w:tcPr>
            <w:tcW w:w="1288" w:type="dxa"/>
            <w:shd w:val="clear" w:color="auto" w:fill="auto"/>
            <w:tcMar>
              <w:top w:w="45" w:type="dxa"/>
              <w:left w:w="55" w:type="dxa"/>
              <w:bottom w:w="45" w:type="dxa"/>
              <w:right w:w="55" w:type="dxa"/>
            </w:tcMar>
            <w:vAlign w:val="top"/>
          </w:tcPr>
          <w:p w14:paraId="5DBB7658">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Active</w:t>
            </w:r>
          </w:p>
        </w:tc>
        <w:tc>
          <w:tcPr>
            <w:tcW w:w="1417" w:type="dxa"/>
            <w:shd w:val="clear" w:color="auto" w:fill="auto"/>
            <w:tcMar>
              <w:top w:w="45" w:type="dxa"/>
              <w:left w:w="55" w:type="dxa"/>
              <w:bottom w:w="45" w:type="dxa"/>
              <w:right w:w="55" w:type="dxa"/>
            </w:tcMar>
            <w:vAlign w:val="top"/>
          </w:tcPr>
          <w:p w14:paraId="7EFCEFCD">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Yes</w:t>
            </w:r>
          </w:p>
        </w:tc>
      </w:tr>
      <w:tr w14:paraId="3280C475">
        <w:tblPrEx>
          <w:tblBorders>
            <w:top w:val="single" w:color="777777" w:sz="4" w:space="0"/>
            <w:left w:val="single" w:color="777777" w:sz="4" w:space="0"/>
            <w:bottom w:val="single" w:color="777777" w:sz="4" w:space="0"/>
            <w:right w:val="single" w:color="777777" w:sz="4" w:space="0"/>
            <w:insideH w:val="single" w:color="777777" w:sz="4" w:space="0"/>
            <w:insideV w:val="single" w:color="777777" w:sz="4" w:space="0"/>
          </w:tblBorders>
          <w:shd w:val="clear" w:color="auto" w:fill="auto"/>
          <w:tblCellMar>
            <w:top w:w="0" w:type="dxa"/>
            <w:left w:w="108" w:type="dxa"/>
            <w:bottom w:w="0" w:type="dxa"/>
            <w:right w:w="108" w:type="dxa"/>
          </w:tblCellMar>
        </w:tblPrEx>
        <w:trPr>
          <w:cantSplit/>
          <w:jc w:val="center"/>
        </w:trPr>
        <w:tc>
          <w:tcPr>
            <w:tcW w:w="2047" w:type="dxa"/>
            <w:shd w:val="clear" w:color="auto" w:fill="auto"/>
            <w:tcMar>
              <w:top w:w="45" w:type="dxa"/>
              <w:left w:w="55" w:type="dxa"/>
              <w:bottom w:w="45" w:type="dxa"/>
              <w:right w:w="55" w:type="dxa"/>
            </w:tcMar>
            <w:vAlign w:val="top"/>
          </w:tcPr>
          <w:p w14:paraId="5C935CD4">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Krishnamoorthy et al.</w:t>
            </w:r>
          </w:p>
        </w:tc>
        <w:tc>
          <w:tcPr>
            <w:tcW w:w="1638" w:type="dxa"/>
            <w:shd w:val="clear" w:color="auto" w:fill="auto"/>
            <w:tcMar>
              <w:top w:w="45" w:type="dxa"/>
              <w:left w:w="55" w:type="dxa"/>
              <w:bottom w:w="45" w:type="dxa"/>
              <w:right w:w="55" w:type="dxa"/>
            </w:tcMar>
            <w:vAlign w:val="top"/>
          </w:tcPr>
          <w:p w14:paraId="4C9FB8DC">
            <w:pPr>
              <w:spacing w:before="0" w:after="0" w:line="240" w:lineRule="auto"/>
              <w:jc w:val="left"/>
              <w:rPr>
                <w:rFonts w:hint="default" w:ascii="Times New Roman" w:hAnsi="Times New Roman" w:eastAsia="Times New Roman" w:cs="Times New Roman"/>
                <w:b w:val="0"/>
                <w:sz w:val="21"/>
                <w:szCs w:val="21"/>
              </w:rPr>
            </w:pPr>
            <w:r>
              <w:rPr>
                <w:rFonts w:hint="default" w:ascii="Times New Roman" w:hAnsi="Times New Roman" w:eastAsia="Times New Roman" w:cs="Times New Roman"/>
                <w:b w:val="0"/>
                <w:sz w:val="21"/>
                <w:szCs w:val="21"/>
              </w:rPr>
              <w:t xml:space="preserve">IG: </w:t>
            </w:r>
          </w:p>
          <w:p w14:paraId="63A97870">
            <w:pPr>
              <w:spacing w:before="0" w:after="0" w:line="240" w:lineRule="auto"/>
              <w:jc w:val="left"/>
              <w:rPr>
                <w:rFonts w:hint="default" w:ascii="Times New Roman" w:hAnsi="Times New Roman" w:eastAsia="Times New Roman" w:cs="Times New Roman"/>
                <w:b w:val="0"/>
                <w:sz w:val="21"/>
                <w:szCs w:val="21"/>
              </w:rPr>
            </w:pPr>
            <w:r>
              <w:rPr>
                <w:rFonts w:hint="default" w:ascii="Times New Roman" w:hAnsi="Times New Roman" w:eastAsia="Times New Roman" w:cs="Times New Roman"/>
                <w:b w:val="0"/>
                <w:sz w:val="21"/>
                <w:szCs w:val="21"/>
              </w:rPr>
              <w:t>66 (IQR 58-74)</w:t>
            </w:r>
            <w:r>
              <w:rPr>
                <w:rFonts w:hint="default" w:ascii="Times New Roman" w:hAnsi="Times New Roman" w:eastAsia="Times New Roman" w:cs="Times New Roman"/>
                <w:b w:val="0"/>
                <w:sz w:val="21"/>
                <w:szCs w:val="21"/>
              </w:rPr>
              <w:br w:type="textWrapping"/>
            </w:r>
            <w:r>
              <w:rPr>
                <w:rFonts w:hint="default" w:ascii="Times New Roman" w:hAnsi="Times New Roman" w:eastAsia="Times New Roman" w:cs="Times New Roman"/>
                <w:b w:val="0"/>
                <w:sz w:val="21"/>
                <w:szCs w:val="21"/>
              </w:rPr>
              <w:t xml:space="preserve">CG: </w:t>
            </w:r>
          </w:p>
          <w:p w14:paraId="29F4B5FF">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65 (IQR 60-73)</w:t>
            </w:r>
          </w:p>
        </w:tc>
        <w:tc>
          <w:tcPr>
            <w:tcW w:w="1134" w:type="dxa"/>
            <w:shd w:val="clear" w:color="auto" w:fill="auto"/>
            <w:tcMar>
              <w:top w:w="45" w:type="dxa"/>
              <w:left w:w="55" w:type="dxa"/>
              <w:bottom w:w="45" w:type="dxa"/>
              <w:right w:w="55" w:type="dxa"/>
            </w:tcMar>
            <w:vAlign w:val="top"/>
          </w:tcPr>
          <w:p w14:paraId="74743A46">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Yes</w:t>
            </w:r>
          </w:p>
        </w:tc>
        <w:tc>
          <w:tcPr>
            <w:tcW w:w="1548" w:type="dxa"/>
            <w:shd w:val="clear" w:color="auto" w:fill="auto"/>
            <w:tcMar>
              <w:top w:w="45" w:type="dxa"/>
              <w:left w:w="55" w:type="dxa"/>
              <w:bottom w:w="45" w:type="dxa"/>
              <w:right w:w="55" w:type="dxa"/>
            </w:tcMar>
            <w:vAlign w:val="top"/>
          </w:tcPr>
          <w:p w14:paraId="5CDE7E14">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VR-guided mindfulness (authors</w:t>
            </w:r>
            <w:r>
              <w:rPr>
                <w:rFonts w:hint="default" w:ascii="Times New Roman" w:hAnsi="Times New Roman" w:eastAsia="宋体" w:cs="Times New Roman"/>
                <w:b w:val="0"/>
                <w:sz w:val="21"/>
                <w:szCs w:val="21"/>
                <w:lang w:eastAsia="zh-CN"/>
              </w:rPr>
              <w:t>’</w:t>
            </w:r>
            <w:r>
              <w:rPr>
                <w:rFonts w:hint="default" w:ascii="Times New Roman" w:hAnsi="Times New Roman" w:eastAsia="Times New Roman" w:cs="Times New Roman"/>
                <w:b w:val="0"/>
                <w:sz w:val="21"/>
                <w:szCs w:val="21"/>
              </w:rPr>
              <w:t xml:space="preserve"> label; component not detailed)</w:t>
            </w:r>
          </w:p>
        </w:tc>
        <w:tc>
          <w:tcPr>
            <w:tcW w:w="5538" w:type="dxa"/>
            <w:shd w:val="clear" w:color="auto" w:fill="auto"/>
            <w:tcMar>
              <w:top w:w="45" w:type="dxa"/>
              <w:left w:w="55" w:type="dxa"/>
              <w:bottom w:w="45" w:type="dxa"/>
              <w:right w:w="55" w:type="dxa"/>
            </w:tcMar>
            <w:vAlign w:val="top"/>
          </w:tcPr>
          <w:p w14:paraId="4C7E3759">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The intervention was explicitly described by the investigators as immersive VR-guided mindfulness and was delivered in two standardized 15-min sessions using immersive calming environments. The published report did not provide the session-level mindfulness script or component details; therefore, eligibility was based on the investigators’ explicit intervention classification, while the limited component-level reporting was retained as a reporting limitation.</w:t>
            </w:r>
          </w:p>
        </w:tc>
        <w:tc>
          <w:tcPr>
            <w:tcW w:w="1972" w:type="dxa"/>
            <w:shd w:val="clear" w:color="auto" w:fill="auto"/>
            <w:tcMar>
              <w:top w:w="45" w:type="dxa"/>
              <w:left w:w="55" w:type="dxa"/>
              <w:bottom w:w="45" w:type="dxa"/>
              <w:right w:w="55" w:type="dxa"/>
            </w:tcMar>
            <w:vAlign w:val="top"/>
          </w:tcPr>
          <w:p w14:paraId="6D8698AA">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15-min music therapy</w:t>
            </w:r>
          </w:p>
        </w:tc>
        <w:tc>
          <w:tcPr>
            <w:tcW w:w="1288" w:type="dxa"/>
            <w:shd w:val="clear" w:color="auto" w:fill="auto"/>
            <w:tcMar>
              <w:top w:w="45" w:type="dxa"/>
              <w:left w:w="55" w:type="dxa"/>
              <w:bottom w:w="45" w:type="dxa"/>
              <w:right w:w="55" w:type="dxa"/>
            </w:tcMar>
            <w:vAlign w:val="top"/>
          </w:tcPr>
          <w:p w14:paraId="52341FD0">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Active</w:t>
            </w:r>
          </w:p>
        </w:tc>
        <w:tc>
          <w:tcPr>
            <w:tcW w:w="1417" w:type="dxa"/>
            <w:shd w:val="clear" w:color="auto" w:fill="auto"/>
            <w:tcMar>
              <w:top w:w="45" w:type="dxa"/>
              <w:left w:w="55" w:type="dxa"/>
              <w:bottom w:w="45" w:type="dxa"/>
              <w:right w:w="55" w:type="dxa"/>
            </w:tcMar>
            <w:vAlign w:val="top"/>
          </w:tcPr>
          <w:p w14:paraId="58923E0B">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Yes</w:t>
            </w:r>
          </w:p>
        </w:tc>
      </w:tr>
      <w:tr w14:paraId="1AC8D98B">
        <w:tblPrEx>
          <w:tblBorders>
            <w:top w:val="single" w:color="777777" w:sz="4" w:space="0"/>
            <w:left w:val="single" w:color="777777" w:sz="4" w:space="0"/>
            <w:bottom w:val="single" w:color="777777" w:sz="4" w:space="0"/>
            <w:right w:val="single" w:color="777777" w:sz="4" w:space="0"/>
            <w:insideH w:val="single" w:color="777777" w:sz="4" w:space="0"/>
            <w:insideV w:val="single" w:color="777777" w:sz="4" w:space="0"/>
          </w:tblBorders>
          <w:shd w:val="clear" w:color="auto" w:fill="auto"/>
          <w:tblCellMar>
            <w:top w:w="0" w:type="dxa"/>
            <w:left w:w="108" w:type="dxa"/>
            <w:bottom w:w="0" w:type="dxa"/>
            <w:right w:w="108" w:type="dxa"/>
          </w:tblCellMar>
        </w:tblPrEx>
        <w:trPr>
          <w:cantSplit/>
          <w:jc w:val="center"/>
        </w:trPr>
        <w:tc>
          <w:tcPr>
            <w:tcW w:w="2047" w:type="dxa"/>
            <w:shd w:val="clear" w:color="auto" w:fill="auto"/>
            <w:tcMar>
              <w:top w:w="45" w:type="dxa"/>
              <w:left w:w="55" w:type="dxa"/>
              <w:bottom w:w="45" w:type="dxa"/>
              <w:right w:w="55" w:type="dxa"/>
            </w:tcMar>
            <w:vAlign w:val="top"/>
          </w:tcPr>
          <w:p w14:paraId="104230A2">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Rousseaux et al.</w:t>
            </w:r>
          </w:p>
        </w:tc>
        <w:tc>
          <w:tcPr>
            <w:tcW w:w="1638" w:type="dxa"/>
            <w:shd w:val="clear" w:color="auto" w:fill="auto"/>
            <w:tcMar>
              <w:top w:w="45" w:type="dxa"/>
              <w:left w:w="55" w:type="dxa"/>
              <w:bottom w:w="45" w:type="dxa"/>
              <w:right w:w="55" w:type="dxa"/>
            </w:tcMar>
            <w:vAlign w:val="top"/>
          </w:tcPr>
          <w:p w14:paraId="6BC71450">
            <w:pPr>
              <w:spacing w:before="0" w:after="0" w:line="240" w:lineRule="auto"/>
              <w:jc w:val="left"/>
              <w:rPr>
                <w:rFonts w:hint="default" w:ascii="Times New Roman" w:hAnsi="Times New Roman" w:eastAsia="Times New Roman" w:cs="Times New Roman"/>
                <w:b w:val="0"/>
                <w:sz w:val="21"/>
                <w:szCs w:val="21"/>
              </w:rPr>
            </w:pPr>
            <w:r>
              <w:rPr>
                <w:rFonts w:hint="default" w:ascii="Times New Roman" w:hAnsi="Times New Roman" w:eastAsia="Times New Roman" w:cs="Times New Roman"/>
                <w:b w:val="0"/>
                <w:sz w:val="21"/>
                <w:szCs w:val="21"/>
              </w:rPr>
              <w:t xml:space="preserve">VR: </w:t>
            </w:r>
          </w:p>
          <w:p w14:paraId="7C8A454D">
            <w:pPr>
              <w:spacing w:before="0" w:after="0" w:line="240" w:lineRule="auto"/>
              <w:jc w:val="left"/>
              <w:rPr>
                <w:rFonts w:hint="default" w:ascii="Times New Roman" w:hAnsi="Times New Roman" w:eastAsia="Times New Roman" w:cs="Times New Roman"/>
                <w:b w:val="0"/>
                <w:sz w:val="21"/>
                <w:szCs w:val="21"/>
              </w:rPr>
            </w:pPr>
            <w:r>
              <w:rPr>
                <w:rFonts w:hint="default" w:ascii="Times New Roman" w:hAnsi="Times New Roman" w:eastAsia="Times New Roman" w:cs="Times New Roman"/>
                <w:b w:val="0"/>
                <w:sz w:val="21"/>
                <w:szCs w:val="21"/>
              </w:rPr>
              <w:t>64.70 (13.40)</w:t>
            </w:r>
            <w:r>
              <w:rPr>
                <w:rFonts w:hint="default" w:ascii="Times New Roman" w:hAnsi="Times New Roman" w:eastAsia="Times New Roman" w:cs="Times New Roman"/>
                <w:b w:val="0"/>
                <w:sz w:val="21"/>
                <w:szCs w:val="21"/>
              </w:rPr>
              <w:br w:type="textWrapping"/>
            </w:r>
            <w:r>
              <w:rPr>
                <w:rFonts w:hint="default" w:ascii="Times New Roman" w:hAnsi="Times New Roman" w:eastAsia="Times New Roman" w:cs="Times New Roman"/>
                <w:b w:val="0"/>
                <w:sz w:val="21"/>
                <w:szCs w:val="21"/>
              </w:rPr>
              <w:t xml:space="preserve">Control: </w:t>
            </w:r>
          </w:p>
          <w:p w14:paraId="348032FA">
            <w:pPr>
              <w:spacing w:before="0" w:after="0" w:line="240" w:lineRule="auto"/>
              <w:jc w:val="left"/>
              <w:rPr>
                <w:rFonts w:hint="default" w:ascii="Times New Roman" w:hAnsi="Times New Roman" w:eastAsia="Times New Roman" w:cs="Times New Roman"/>
                <w:b w:val="0"/>
                <w:sz w:val="21"/>
                <w:szCs w:val="21"/>
              </w:rPr>
            </w:pPr>
            <w:r>
              <w:rPr>
                <w:rFonts w:hint="default" w:ascii="Times New Roman" w:hAnsi="Times New Roman" w:eastAsia="Times New Roman" w:cs="Times New Roman"/>
                <w:b w:val="0"/>
                <w:sz w:val="21"/>
                <w:szCs w:val="21"/>
              </w:rPr>
              <w:t>63.30 (11.50)</w:t>
            </w:r>
            <w:r>
              <w:rPr>
                <w:rFonts w:hint="default" w:ascii="Times New Roman" w:hAnsi="Times New Roman" w:eastAsia="Times New Roman" w:cs="Times New Roman"/>
                <w:b w:val="0"/>
                <w:sz w:val="21"/>
                <w:szCs w:val="21"/>
              </w:rPr>
              <w:br w:type="textWrapping"/>
            </w:r>
            <w:r>
              <w:rPr>
                <w:rFonts w:hint="default" w:ascii="Times New Roman" w:hAnsi="Times New Roman" w:eastAsia="Times New Roman" w:cs="Times New Roman"/>
                <w:b w:val="0"/>
                <w:sz w:val="21"/>
                <w:szCs w:val="21"/>
              </w:rPr>
              <w:t xml:space="preserve">Hypnosis: </w:t>
            </w:r>
          </w:p>
          <w:p w14:paraId="00FD6392">
            <w:pPr>
              <w:spacing w:before="0" w:after="0" w:line="240" w:lineRule="auto"/>
              <w:jc w:val="left"/>
              <w:rPr>
                <w:rFonts w:hint="default" w:ascii="Times New Roman" w:hAnsi="Times New Roman" w:eastAsia="Times New Roman" w:cs="Times New Roman"/>
                <w:b w:val="0"/>
                <w:sz w:val="21"/>
                <w:szCs w:val="21"/>
              </w:rPr>
            </w:pPr>
            <w:r>
              <w:rPr>
                <w:rFonts w:hint="default" w:ascii="Times New Roman" w:hAnsi="Times New Roman" w:eastAsia="Times New Roman" w:cs="Times New Roman"/>
                <w:b w:val="0"/>
                <w:sz w:val="21"/>
                <w:szCs w:val="21"/>
              </w:rPr>
              <w:t>67.60 (12.50)</w:t>
            </w:r>
            <w:r>
              <w:rPr>
                <w:rFonts w:hint="default" w:ascii="Times New Roman" w:hAnsi="Times New Roman" w:eastAsia="Times New Roman" w:cs="Times New Roman"/>
                <w:b w:val="0"/>
                <w:sz w:val="21"/>
                <w:szCs w:val="21"/>
              </w:rPr>
              <w:br w:type="textWrapping"/>
            </w:r>
            <w:r>
              <w:rPr>
                <w:rFonts w:hint="default" w:ascii="Times New Roman" w:hAnsi="Times New Roman" w:eastAsia="Times New Roman" w:cs="Times New Roman"/>
                <w:b w:val="0"/>
                <w:sz w:val="21"/>
                <w:szCs w:val="21"/>
              </w:rPr>
              <w:t>VRH:</w:t>
            </w:r>
          </w:p>
          <w:p w14:paraId="3653BDD2">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68.40 (7.80)</w:t>
            </w:r>
          </w:p>
        </w:tc>
        <w:tc>
          <w:tcPr>
            <w:tcW w:w="1134" w:type="dxa"/>
            <w:shd w:val="clear" w:color="auto" w:fill="auto"/>
            <w:tcMar>
              <w:top w:w="45" w:type="dxa"/>
              <w:left w:w="55" w:type="dxa"/>
              <w:bottom w:w="45" w:type="dxa"/>
              <w:right w:w="55" w:type="dxa"/>
            </w:tcMar>
            <w:vAlign w:val="top"/>
          </w:tcPr>
          <w:p w14:paraId="716343D7">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Yes</w:t>
            </w:r>
          </w:p>
        </w:tc>
        <w:tc>
          <w:tcPr>
            <w:tcW w:w="1548" w:type="dxa"/>
            <w:shd w:val="clear" w:color="auto" w:fill="auto"/>
            <w:tcMar>
              <w:top w:w="45" w:type="dxa"/>
              <w:left w:w="55" w:type="dxa"/>
              <w:bottom w:w="45" w:type="dxa"/>
              <w:right w:w="55" w:type="dxa"/>
            </w:tcMar>
            <w:vAlign w:val="top"/>
          </w:tcPr>
          <w:p w14:paraId="30BCEC85">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VR hypnosis (qualifying VRH arm)</w:t>
            </w:r>
          </w:p>
        </w:tc>
        <w:tc>
          <w:tcPr>
            <w:tcW w:w="5538" w:type="dxa"/>
            <w:shd w:val="clear" w:color="auto" w:fill="auto"/>
            <w:tcMar>
              <w:top w:w="45" w:type="dxa"/>
              <w:left w:w="55" w:type="dxa"/>
              <w:bottom w:w="45" w:type="dxa"/>
              <w:right w:w="55" w:type="dxa"/>
            </w:tcMar>
            <w:vAlign w:val="top"/>
          </w:tcPr>
          <w:p w14:paraId="543BA455">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Eligibility was based on the VRH arm, not the passive VR-only arm. VRH combined a prerecorded hypnosis session with immersive VR; the hypnosis recording used focused attention and therapeutic suggestions for positive bodily sensations/relaxation. The standalone VR arm used scenery/nature sounds without voice and was not the qualifying intervention.</w:t>
            </w:r>
          </w:p>
        </w:tc>
        <w:tc>
          <w:tcPr>
            <w:tcW w:w="1972" w:type="dxa"/>
            <w:shd w:val="clear" w:color="auto" w:fill="auto"/>
            <w:tcMar>
              <w:top w:w="45" w:type="dxa"/>
              <w:left w:w="55" w:type="dxa"/>
              <w:bottom w:w="45" w:type="dxa"/>
              <w:right w:w="55" w:type="dxa"/>
            </w:tcMar>
            <w:vAlign w:val="top"/>
          </w:tcPr>
          <w:p w14:paraId="55EC6BAF">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Standard care (VRH vs control comparison)</w:t>
            </w:r>
          </w:p>
        </w:tc>
        <w:tc>
          <w:tcPr>
            <w:tcW w:w="1288" w:type="dxa"/>
            <w:shd w:val="clear" w:color="auto" w:fill="auto"/>
            <w:tcMar>
              <w:top w:w="45" w:type="dxa"/>
              <w:left w:w="55" w:type="dxa"/>
              <w:bottom w:w="45" w:type="dxa"/>
              <w:right w:w="55" w:type="dxa"/>
            </w:tcMar>
            <w:vAlign w:val="top"/>
          </w:tcPr>
          <w:p w14:paraId="2DC081E3">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Nonactive</w:t>
            </w:r>
          </w:p>
        </w:tc>
        <w:tc>
          <w:tcPr>
            <w:tcW w:w="1417" w:type="dxa"/>
            <w:shd w:val="clear" w:color="auto" w:fill="auto"/>
            <w:tcMar>
              <w:top w:w="45" w:type="dxa"/>
              <w:left w:w="55" w:type="dxa"/>
              <w:bottom w:w="45" w:type="dxa"/>
              <w:right w:w="55" w:type="dxa"/>
            </w:tcMar>
            <w:vAlign w:val="top"/>
          </w:tcPr>
          <w:p w14:paraId="509AA506">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No</w:t>
            </w:r>
          </w:p>
        </w:tc>
      </w:tr>
      <w:tr w14:paraId="658EDBC1">
        <w:tblPrEx>
          <w:tblBorders>
            <w:top w:val="single" w:color="777777" w:sz="4" w:space="0"/>
            <w:left w:val="single" w:color="777777" w:sz="4" w:space="0"/>
            <w:bottom w:val="single" w:color="777777" w:sz="4" w:space="0"/>
            <w:right w:val="single" w:color="777777" w:sz="4" w:space="0"/>
            <w:insideH w:val="single" w:color="777777" w:sz="4" w:space="0"/>
            <w:insideV w:val="single" w:color="777777" w:sz="4" w:space="0"/>
          </w:tblBorders>
          <w:tblCellMar>
            <w:top w:w="0" w:type="dxa"/>
            <w:left w:w="108" w:type="dxa"/>
            <w:bottom w:w="0" w:type="dxa"/>
            <w:right w:w="108" w:type="dxa"/>
          </w:tblCellMar>
        </w:tblPrEx>
        <w:trPr>
          <w:cantSplit/>
          <w:jc w:val="center"/>
        </w:trPr>
        <w:tc>
          <w:tcPr>
            <w:tcW w:w="2047" w:type="dxa"/>
            <w:shd w:val="clear" w:color="auto" w:fill="auto"/>
            <w:tcMar>
              <w:top w:w="45" w:type="dxa"/>
              <w:left w:w="55" w:type="dxa"/>
              <w:bottom w:w="45" w:type="dxa"/>
              <w:right w:w="55" w:type="dxa"/>
            </w:tcMar>
            <w:vAlign w:val="top"/>
          </w:tcPr>
          <w:p w14:paraId="66FAA12C">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Bai et al.</w:t>
            </w:r>
          </w:p>
        </w:tc>
        <w:tc>
          <w:tcPr>
            <w:tcW w:w="1638" w:type="dxa"/>
            <w:shd w:val="clear" w:color="auto" w:fill="auto"/>
            <w:tcMar>
              <w:top w:w="45" w:type="dxa"/>
              <w:left w:w="55" w:type="dxa"/>
              <w:bottom w:w="45" w:type="dxa"/>
              <w:right w:w="55" w:type="dxa"/>
            </w:tcMar>
            <w:vAlign w:val="top"/>
          </w:tcPr>
          <w:p w14:paraId="771CE455">
            <w:pPr>
              <w:spacing w:before="0" w:after="0" w:line="240" w:lineRule="auto"/>
              <w:jc w:val="left"/>
              <w:rPr>
                <w:rFonts w:hint="default" w:ascii="Times New Roman" w:hAnsi="Times New Roman" w:eastAsia="Times New Roman" w:cs="Times New Roman"/>
                <w:b w:val="0"/>
                <w:sz w:val="21"/>
                <w:szCs w:val="21"/>
              </w:rPr>
            </w:pPr>
            <w:r>
              <w:rPr>
                <w:rFonts w:hint="default" w:ascii="Times New Roman" w:hAnsi="Times New Roman" w:eastAsia="Times New Roman" w:cs="Times New Roman"/>
                <w:b w:val="0"/>
                <w:sz w:val="21"/>
                <w:szCs w:val="21"/>
              </w:rPr>
              <w:t xml:space="preserve">IG: </w:t>
            </w:r>
          </w:p>
          <w:p w14:paraId="055E257D">
            <w:pPr>
              <w:spacing w:before="0" w:after="0" w:line="240" w:lineRule="auto"/>
              <w:jc w:val="left"/>
              <w:rPr>
                <w:rFonts w:hint="default" w:ascii="Times New Roman" w:hAnsi="Times New Roman" w:eastAsia="Times New Roman" w:cs="Times New Roman"/>
                <w:b w:val="0"/>
                <w:sz w:val="21"/>
                <w:szCs w:val="21"/>
              </w:rPr>
            </w:pPr>
            <w:r>
              <w:rPr>
                <w:rFonts w:hint="default" w:ascii="Times New Roman" w:hAnsi="Times New Roman" w:eastAsia="Times New Roman" w:cs="Times New Roman"/>
                <w:b w:val="0"/>
                <w:sz w:val="21"/>
                <w:szCs w:val="21"/>
              </w:rPr>
              <w:t>56 (IQR 22.50)</w:t>
            </w:r>
            <w:r>
              <w:rPr>
                <w:rFonts w:hint="default" w:ascii="Times New Roman" w:hAnsi="Times New Roman" w:eastAsia="Times New Roman" w:cs="Times New Roman"/>
                <w:b w:val="0"/>
                <w:sz w:val="21"/>
                <w:szCs w:val="21"/>
              </w:rPr>
              <w:br w:type="textWrapping"/>
            </w:r>
            <w:r>
              <w:rPr>
                <w:rFonts w:hint="default" w:ascii="Times New Roman" w:hAnsi="Times New Roman" w:eastAsia="Times New Roman" w:cs="Times New Roman"/>
                <w:b w:val="0"/>
                <w:sz w:val="21"/>
                <w:szCs w:val="21"/>
              </w:rPr>
              <w:t xml:space="preserve">CG: </w:t>
            </w:r>
          </w:p>
          <w:p w14:paraId="40B1B7B0">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56 (IQR 13.00)</w:t>
            </w:r>
          </w:p>
        </w:tc>
        <w:tc>
          <w:tcPr>
            <w:tcW w:w="1134" w:type="dxa"/>
            <w:shd w:val="clear" w:color="auto" w:fill="auto"/>
            <w:tcMar>
              <w:top w:w="45" w:type="dxa"/>
              <w:left w:w="55" w:type="dxa"/>
              <w:bottom w:w="45" w:type="dxa"/>
              <w:right w:w="55" w:type="dxa"/>
            </w:tcMar>
            <w:vAlign w:val="top"/>
          </w:tcPr>
          <w:p w14:paraId="05B98322">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No</w:t>
            </w:r>
          </w:p>
        </w:tc>
        <w:tc>
          <w:tcPr>
            <w:tcW w:w="1548" w:type="dxa"/>
            <w:shd w:val="clear" w:color="auto" w:fill="auto"/>
            <w:tcMar>
              <w:top w:w="45" w:type="dxa"/>
              <w:left w:w="55" w:type="dxa"/>
              <w:bottom w:w="45" w:type="dxa"/>
              <w:right w:w="55" w:type="dxa"/>
            </w:tcMar>
            <w:vAlign w:val="top"/>
          </w:tcPr>
          <w:p w14:paraId="1ECC586F">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VR mindfulness</w:t>
            </w:r>
          </w:p>
        </w:tc>
        <w:tc>
          <w:tcPr>
            <w:tcW w:w="5538" w:type="dxa"/>
            <w:shd w:val="clear" w:color="auto" w:fill="auto"/>
            <w:tcMar>
              <w:top w:w="45" w:type="dxa"/>
              <w:left w:w="55" w:type="dxa"/>
              <w:bottom w:w="45" w:type="dxa"/>
              <w:right w:w="55" w:type="dxa"/>
            </w:tcMar>
            <w:vAlign w:val="top"/>
          </w:tcPr>
          <w:p w14:paraId="4950261D">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The 6-week VR mindfulness curriculum explicitly included mindful breathing, body scan, mindful yoga/walking, meditation, and open/non-selective awareness. These practices directly trained attentional, interoceptive, and bodily self-regulation; VR served as the delivery format.</w:t>
            </w:r>
          </w:p>
        </w:tc>
        <w:tc>
          <w:tcPr>
            <w:tcW w:w="1972" w:type="dxa"/>
            <w:shd w:val="clear" w:color="auto" w:fill="auto"/>
            <w:tcMar>
              <w:top w:w="45" w:type="dxa"/>
              <w:left w:w="55" w:type="dxa"/>
              <w:bottom w:w="45" w:type="dxa"/>
              <w:right w:w="55" w:type="dxa"/>
            </w:tcMar>
            <w:vAlign w:val="top"/>
          </w:tcPr>
          <w:p w14:paraId="2BFF3394">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Audio-guided mindfulness with the same weekly themes/practice schedule</w:t>
            </w:r>
          </w:p>
        </w:tc>
        <w:tc>
          <w:tcPr>
            <w:tcW w:w="1288" w:type="dxa"/>
            <w:shd w:val="clear" w:color="auto" w:fill="auto"/>
            <w:tcMar>
              <w:top w:w="45" w:type="dxa"/>
              <w:left w:w="55" w:type="dxa"/>
              <w:bottom w:w="45" w:type="dxa"/>
              <w:right w:w="55" w:type="dxa"/>
            </w:tcMar>
            <w:vAlign w:val="top"/>
          </w:tcPr>
          <w:p w14:paraId="602B24DA">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Active</w:t>
            </w:r>
          </w:p>
        </w:tc>
        <w:tc>
          <w:tcPr>
            <w:tcW w:w="1417" w:type="dxa"/>
            <w:shd w:val="clear" w:color="auto" w:fill="auto"/>
            <w:tcMar>
              <w:top w:w="45" w:type="dxa"/>
              <w:left w:w="55" w:type="dxa"/>
              <w:bottom w:w="45" w:type="dxa"/>
              <w:right w:w="55" w:type="dxa"/>
            </w:tcMar>
            <w:vAlign w:val="top"/>
          </w:tcPr>
          <w:p w14:paraId="42F6C20C">
            <w:pPr>
              <w:spacing w:before="0" w:after="0" w:line="240" w:lineRule="auto"/>
              <w:jc w:val="left"/>
              <w:rPr>
                <w:rFonts w:hint="default" w:ascii="Times New Roman" w:hAnsi="Times New Roman" w:cs="Times New Roman"/>
                <w:sz w:val="21"/>
                <w:szCs w:val="21"/>
              </w:rPr>
            </w:pPr>
            <w:r>
              <w:rPr>
                <w:rFonts w:hint="default" w:ascii="Times New Roman" w:hAnsi="Times New Roman" w:eastAsia="Times New Roman" w:cs="Times New Roman"/>
                <w:b w:val="0"/>
                <w:sz w:val="21"/>
                <w:szCs w:val="21"/>
              </w:rPr>
              <w:t>Unclear</w:t>
            </w:r>
          </w:p>
        </w:tc>
      </w:tr>
    </w:tbl>
    <w:p w14:paraId="528C3B1B">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i/>
          <w:iCs/>
          <w:color w:val="auto"/>
          <w:sz w:val="24"/>
          <w:szCs w:val="24"/>
          <w:lang w:val="en-US" w:eastAsia="zh-CN"/>
        </w:rPr>
        <w:t>Note:</w:t>
      </w:r>
      <w:r>
        <w:rPr>
          <w:rFonts w:hint="default" w:ascii="Times New Roman" w:hAnsi="Times New Roman" w:cs="Times New Roman"/>
          <w:color w:val="auto"/>
          <w:sz w:val="24"/>
          <w:szCs w:val="24"/>
          <w:lang w:val="en-US" w:eastAsia="zh-CN"/>
        </w:rPr>
        <w:t xml:space="preserve"> Age eligibility was applied at the study level in accordance with the registered criteria. Studies were eligible when participants were explicitly recruited at age ≥45 years, when the reported study-sample mean or median age was ≥45 years, or when at least 70% of participants were aged ≥45 years; individual participants were therefore not necessarily all aged ≥45 years. In the final included set, no study relied solely on the ≥70% criterion. For the age ≥60 sensitivity analysis, a study was coded “Yes” when the reported overall mean or median age was ≥60 years; when only group-specific age summaries were available, both groups were required to have a mean or median age ≥60 years; studies explicitly recruiting participants aged ≥60 years were also coded “Yes.”</w:t>
      </w:r>
    </w:p>
    <w:p w14:paraId="39B06001">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 xml:space="preserve">Active comparators were structured comparison conditions providing therapeutic, educational, attention-control, or non-VR analogue intervention content, including structured standard treatments intended to affect the target condition. </w:t>
      </w:r>
      <w:r>
        <w:rPr>
          <w:rFonts w:hint="default" w:ascii="Times New Roman" w:hAnsi="Times New Roman" w:eastAsia="Times New Roman" w:cs="Times New Roman"/>
          <w:b w:val="0"/>
          <w:sz w:val="24"/>
          <w:szCs w:val="24"/>
        </w:rPr>
        <w:t>Nonactive</w:t>
      </w:r>
      <w:r>
        <w:rPr>
          <w:rFonts w:hint="default" w:ascii="Times New Roman" w:hAnsi="Times New Roman" w:cs="Times New Roman"/>
          <w:color w:val="auto"/>
          <w:sz w:val="24"/>
          <w:szCs w:val="24"/>
          <w:lang w:val="en-US" w:eastAsia="zh-CN"/>
        </w:rPr>
        <w:t xml:space="preserve"> comparators comprised waitlist, no additional treatment, usual/routine care without a structured comparator-specific therapeutic program, or quiet rest without a specified therapeutic strategy. When the same background treatment was provided to both groups, comparator classification was based on the nature and therapeutic intensity of that background treatment rather than on whether it was shared between groups. </w:t>
      </w:r>
    </w:p>
    <w:p w14:paraId="1F0ED7D1">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Time-matched comparators were defined as control conditions designed to provide an approximately comparable duration and frequency of intervention/contact exposure to the VR-specific intervention. Comparators were coded “No” when no corresponding time-matched exposure was provided and “Unclear” when the published report did not provide sufficient information to determine whether exposure time was approximately matched.</w:t>
      </w:r>
    </w:p>
    <w:p w14:paraId="0B427284">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Study-level eligibility rationales were based on the intervention components, therapeutic purpose, and procedures described in the source reports. Consistent with the registered framework, structured VR relaxation was eligible when explicitly designed and delivered as a therapeutic relaxation condition. For mindfulness, breathing, biofeedback, multicomponent, and related interventions, an identifiable attentional, respiratory, bodily, or psychophysiological self-regulation component was required. When component-level reporting was incomplete, the investigators’ explicit intervention classification and therapeutic framing were considered together with the available protocol information, and the reporting limitation is stated directly in the relevant row. Passive VR exposure used solely for scenery, entertainment, distraction, generic exercise, motor rehabilitation, or cognitive training was not considered sufficient.</w:t>
      </w:r>
    </w:p>
    <w:p w14:paraId="5EB64A05">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Intervention labels in Panel A describe study-level intervention content for eligibility assessment and are not necessarily identical to the broader outcome-specific analytic categories used in subgroup meta-analyses; the latter are explicitly mapped in Table 3, Table 4, and Supplementary Table S12, where applicable.</w:t>
      </w:r>
      <w:r>
        <w:rPr>
          <w:rFonts w:hint="eastAsia" w:cs="Times New Roman"/>
          <w:color w:val="auto"/>
          <w:sz w:val="24"/>
          <w:szCs w:val="24"/>
          <w:lang w:val="en-US" w:eastAsia="zh-CN"/>
        </w:rPr>
        <w:t xml:space="preserve"> Comparator type and time-matching classifications were independently verified by two reviewers (JG and YKY), with disagreements resolved through discussion and, when necessary, consultation with a third reviewer (FY).</w:t>
      </w:r>
    </w:p>
    <w:p w14:paraId="19C03030">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ascii="Times New Roman" w:hAnsi="Times New Roman" w:eastAsia="宋体" w:cs="Times New Roman"/>
          <w:b/>
          <w:bCs/>
          <w:color w:val="auto"/>
          <w:sz w:val="24"/>
          <w:szCs w:val="24"/>
          <w:lang w:val="en-US" w:eastAsia="zh-CN" w:bidi="ar-SA"/>
        </w:rPr>
      </w:pPr>
    </w:p>
    <w:p w14:paraId="7196189F">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ascii="Times New Roman" w:hAnsi="Times New Roman" w:eastAsia="宋体" w:cs="Times New Roman"/>
          <w:b/>
          <w:bCs/>
          <w:color w:val="auto"/>
          <w:sz w:val="24"/>
          <w:szCs w:val="24"/>
          <w:lang w:val="en-US" w:eastAsia="zh-CN" w:bidi="ar-SA"/>
        </w:rPr>
      </w:pPr>
    </w:p>
    <w:p w14:paraId="33857DEC">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ascii="Times New Roman" w:hAnsi="Times New Roman" w:eastAsia="宋体" w:cs="Times New Roman"/>
          <w:b/>
          <w:bCs/>
          <w:color w:val="auto"/>
          <w:sz w:val="24"/>
          <w:szCs w:val="24"/>
          <w:lang w:val="en-US" w:eastAsia="zh-CN" w:bidi="ar-SA"/>
        </w:rPr>
      </w:pPr>
    </w:p>
    <w:p w14:paraId="5D4E6C4B">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ascii="Times New Roman" w:hAnsi="Times New Roman" w:eastAsia="宋体" w:cs="Times New Roman"/>
          <w:b/>
          <w:bCs/>
          <w:color w:val="auto"/>
          <w:sz w:val="24"/>
          <w:szCs w:val="24"/>
          <w:lang w:val="en-US" w:eastAsia="zh-CN" w:bidi="ar-SA"/>
        </w:rPr>
      </w:pPr>
    </w:p>
    <w:p w14:paraId="6D214B86">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ascii="Times New Roman" w:hAnsi="Times New Roman" w:eastAsia="宋体" w:cs="Times New Roman"/>
          <w:b/>
          <w:bCs/>
          <w:color w:val="auto"/>
          <w:sz w:val="24"/>
          <w:szCs w:val="24"/>
          <w:lang w:val="en-US" w:eastAsia="zh-CN" w:bidi="ar-SA"/>
        </w:rPr>
      </w:pPr>
    </w:p>
    <w:p w14:paraId="14319DF8">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ascii="Times New Roman" w:hAnsi="Times New Roman" w:eastAsia="宋体" w:cs="Times New Roman"/>
          <w:b/>
          <w:bCs/>
          <w:color w:val="auto"/>
          <w:sz w:val="24"/>
          <w:szCs w:val="24"/>
          <w:lang w:val="en-US" w:eastAsia="zh-CN" w:bidi="ar-SA"/>
        </w:rPr>
      </w:pPr>
    </w:p>
    <w:p w14:paraId="1E21EC50">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ascii="Times New Roman" w:hAnsi="Times New Roman" w:eastAsia="宋体" w:cs="Times New Roman"/>
          <w:b/>
          <w:bCs/>
          <w:color w:val="auto"/>
          <w:sz w:val="24"/>
          <w:szCs w:val="24"/>
          <w:lang w:val="en-US" w:eastAsia="zh-CN" w:bidi="ar-SA"/>
        </w:rPr>
      </w:pPr>
    </w:p>
    <w:p w14:paraId="77D9F844">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ascii="Times New Roman" w:hAnsi="Times New Roman" w:eastAsia="宋体" w:cs="Times New Roman"/>
          <w:b/>
          <w:bCs/>
          <w:color w:val="auto"/>
          <w:sz w:val="24"/>
          <w:szCs w:val="24"/>
          <w:lang w:val="en-US" w:eastAsia="zh-CN" w:bidi="ar-SA"/>
        </w:rPr>
      </w:pPr>
    </w:p>
    <w:p w14:paraId="696B1E64">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ascii="Times New Roman" w:hAnsi="Times New Roman" w:eastAsia="宋体" w:cs="Times New Roman"/>
          <w:b/>
          <w:bCs/>
          <w:color w:val="auto"/>
          <w:sz w:val="24"/>
          <w:szCs w:val="24"/>
          <w:lang w:val="en-US" w:eastAsia="zh-CN" w:bidi="ar-SA"/>
        </w:rPr>
      </w:pPr>
    </w:p>
    <w:p w14:paraId="2424A1E3">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ascii="Times New Roman" w:hAnsi="Times New Roman" w:eastAsia="宋体" w:cs="Times New Roman"/>
          <w:b/>
          <w:bCs/>
          <w:color w:val="auto"/>
          <w:sz w:val="24"/>
          <w:szCs w:val="24"/>
          <w:lang w:val="en-US" w:eastAsia="zh-CN" w:bidi="ar-SA"/>
        </w:rPr>
      </w:pPr>
    </w:p>
    <w:p w14:paraId="26D3D58B">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ascii="Times New Roman" w:hAnsi="Times New Roman" w:eastAsia="宋体" w:cs="Times New Roman"/>
          <w:b/>
          <w:bCs/>
          <w:color w:val="auto"/>
          <w:sz w:val="24"/>
          <w:szCs w:val="24"/>
          <w:lang w:val="en-US" w:eastAsia="zh-CN" w:bidi="ar-SA"/>
        </w:rPr>
      </w:pPr>
    </w:p>
    <w:p w14:paraId="475B7219">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ascii="Times New Roman" w:hAnsi="Times New Roman" w:eastAsia="宋体" w:cs="Times New Roman"/>
          <w:b/>
          <w:bCs/>
          <w:color w:val="auto"/>
          <w:sz w:val="24"/>
          <w:szCs w:val="24"/>
          <w:lang w:val="en-US" w:eastAsia="zh-CN" w:bidi="ar-SA"/>
        </w:rPr>
      </w:pPr>
    </w:p>
    <w:p w14:paraId="7396B7FF">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ascii="Times New Roman" w:hAnsi="Times New Roman" w:eastAsia="宋体" w:cs="Times New Roman"/>
          <w:b/>
          <w:bCs/>
          <w:color w:val="auto"/>
          <w:sz w:val="24"/>
          <w:szCs w:val="24"/>
          <w:lang w:val="en-US" w:eastAsia="zh-CN" w:bidi="ar-SA"/>
        </w:rPr>
      </w:pPr>
    </w:p>
    <w:p w14:paraId="2234C024">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ascii="Times New Roman" w:hAnsi="Times New Roman" w:eastAsia="宋体" w:cs="Times New Roman"/>
          <w:b/>
          <w:bCs/>
          <w:color w:val="auto"/>
          <w:sz w:val="24"/>
          <w:szCs w:val="24"/>
          <w:lang w:val="en-US" w:eastAsia="zh-CN" w:bidi="ar-SA"/>
        </w:rPr>
      </w:pPr>
    </w:p>
    <w:p w14:paraId="4F8CD3AB">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ascii="Times New Roman" w:hAnsi="Times New Roman" w:eastAsia="宋体" w:cs="Times New Roman"/>
          <w:b/>
          <w:bCs/>
          <w:color w:val="auto"/>
          <w:sz w:val="24"/>
          <w:szCs w:val="24"/>
          <w:lang w:val="en-US" w:eastAsia="zh-CN" w:bidi="ar-SA"/>
        </w:rPr>
      </w:pPr>
    </w:p>
    <w:p w14:paraId="7FBA5E9D">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eastAsia="宋体" w:cs="Times New Roman"/>
          <w:b/>
          <w:bCs/>
          <w:color w:val="auto"/>
          <w:sz w:val="24"/>
          <w:szCs w:val="24"/>
          <w:lang w:val="en-US" w:eastAsia="zh-CN" w:bidi="ar-SA"/>
        </w:rPr>
        <w:t>B.</w:t>
      </w:r>
      <w:r>
        <w:rPr>
          <w:rFonts w:hint="eastAsia" w:cs="Times New Roman"/>
          <w:color w:val="auto"/>
          <w:sz w:val="24"/>
          <w:szCs w:val="24"/>
          <w:lang w:val="en-US" w:eastAsia="zh-CN"/>
        </w:rPr>
        <w:t xml:space="preserve"> Anxiety outcome assessment-context coding</w:t>
      </w:r>
    </w:p>
    <w:tbl>
      <w:tblPr>
        <w:tblStyle w:val="7"/>
        <w:tblW w:w="162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551"/>
        <w:gridCol w:w="1417"/>
        <w:gridCol w:w="3118"/>
        <w:gridCol w:w="6803"/>
        <w:gridCol w:w="2409"/>
      </w:tblGrid>
      <w:tr w14:paraId="69FE5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cantSplit/>
          <w:tblHeader/>
          <w:jc w:val="center"/>
        </w:trPr>
        <w:tc>
          <w:tcPr>
            <w:tcW w:w="2551" w:type="dxa"/>
            <w:shd w:val="clear" w:color="auto" w:fill="auto"/>
            <w:tcMar>
              <w:top w:w="38" w:type="dxa"/>
              <w:left w:w="42" w:type="dxa"/>
              <w:bottom w:w="38" w:type="dxa"/>
              <w:right w:w="42" w:type="dxa"/>
            </w:tcMar>
            <w:vAlign w:val="center"/>
          </w:tcPr>
          <w:p w14:paraId="31337610">
            <w:pPr>
              <w:widowControl/>
              <w:spacing w:before="0" w:after="0" w:line="240" w:lineRule="auto"/>
              <w:jc w:val="center"/>
              <w:rPr>
                <w:rFonts w:hint="default" w:ascii="Times New Roman" w:hAnsi="Times New Roman" w:eastAsia="Arial" w:cs="Times New Roman"/>
                <w:kern w:val="0"/>
                <w:sz w:val="21"/>
                <w:szCs w:val="21"/>
                <w:lang w:eastAsia="en-US"/>
              </w:rPr>
            </w:pPr>
            <w:r>
              <w:rPr>
                <w:rFonts w:hint="default" w:ascii="Times New Roman" w:hAnsi="Times New Roman" w:eastAsia="Arial" w:cs="Times New Roman"/>
                <w:b/>
                <w:kern w:val="0"/>
                <w:sz w:val="21"/>
                <w:szCs w:val="21"/>
                <w:lang w:eastAsia="en-US"/>
              </w:rPr>
              <w:t>Study</w:t>
            </w:r>
          </w:p>
        </w:tc>
        <w:tc>
          <w:tcPr>
            <w:tcW w:w="1417" w:type="dxa"/>
            <w:shd w:val="clear" w:color="auto" w:fill="auto"/>
            <w:tcMar>
              <w:top w:w="38" w:type="dxa"/>
              <w:left w:w="42" w:type="dxa"/>
              <w:bottom w:w="38" w:type="dxa"/>
              <w:right w:w="42" w:type="dxa"/>
            </w:tcMar>
            <w:vAlign w:val="center"/>
          </w:tcPr>
          <w:p w14:paraId="20AF13C9">
            <w:pPr>
              <w:widowControl/>
              <w:spacing w:before="0" w:after="0" w:line="240" w:lineRule="auto"/>
              <w:jc w:val="center"/>
              <w:rPr>
                <w:rFonts w:hint="default" w:ascii="Times New Roman" w:hAnsi="Times New Roman" w:eastAsia="Arial" w:cs="Times New Roman"/>
                <w:kern w:val="0"/>
                <w:sz w:val="21"/>
                <w:szCs w:val="21"/>
                <w:lang w:eastAsia="en-US"/>
              </w:rPr>
            </w:pPr>
            <w:r>
              <w:rPr>
                <w:rFonts w:hint="default" w:ascii="Times New Roman" w:hAnsi="Times New Roman" w:eastAsia="Arial" w:cs="Times New Roman"/>
                <w:b/>
                <w:kern w:val="0"/>
                <w:sz w:val="21"/>
                <w:szCs w:val="21"/>
                <w:lang w:eastAsia="en-US"/>
              </w:rPr>
              <w:t>Anxiety scale</w:t>
            </w:r>
          </w:p>
        </w:tc>
        <w:tc>
          <w:tcPr>
            <w:tcW w:w="3118" w:type="dxa"/>
            <w:shd w:val="clear" w:color="auto" w:fill="auto"/>
            <w:tcMar>
              <w:top w:w="38" w:type="dxa"/>
              <w:left w:w="42" w:type="dxa"/>
              <w:bottom w:w="38" w:type="dxa"/>
              <w:right w:w="42" w:type="dxa"/>
            </w:tcMar>
            <w:vAlign w:val="center"/>
          </w:tcPr>
          <w:p w14:paraId="2B54D148">
            <w:pPr>
              <w:widowControl/>
              <w:spacing w:before="0" w:after="0" w:line="240" w:lineRule="auto"/>
              <w:jc w:val="center"/>
              <w:rPr>
                <w:rFonts w:hint="default" w:ascii="Times New Roman" w:hAnsi="Times New Roman" w:eastAsia="Arial" w:cs="Times New Roman"/>
                <w:b/>
                <w:kern w:val="0"/>
                <w:sz w:val="21"/>
                <w:szCs w:val="21"/>
                <w:lang w:eastAsia="en-US"/>
              </w:rPr>
            </w:pPr>
            <w:r>
              <w:rPr>
                <w:rFonts w:hint="default" w:ascii="Times New Roman" w:hAnsi="Times New Roman" w:eastAsia="Arial" w:cs="Times New Roman"/>
                <w:b/>
                <w:kern w:val="0"/>
                <w:sz w:val="21"/>
                <w:szCs w:val="21"/>
                <w:lang w:eastAsia="en-US"/>
              </w:rPr>
              <w:t>Included in quantitative synthesis</w:t>
            </w:r>
          </w:p>
        </w:tc>
        <w:tc>
          <w:tcPr>
            <w:tcW w:w="6803" w:type="dxa"/>
            <w:shd w:val="clear" w:color="auto" w:fill="auto"/>
            <w:tcMar>
              <w:top w:w="38" w:type="dxa"/>
              <w:left w:w="42" w:type="dxa"/>
              <w:bottom w:w="38" w:type="dxa"/>
              <w:right w:w="42" w:type="dxa"/>
            </w:tcMar>
            <w:vAlign w:val="center"/>
          </w:tcPr>
          <w:p w14:paraId="771C1169">
            <w:pPr>
              <w:widowControl/>
              <w:spacing w:before="0" w:after="0" w:line="240" w:lineRule="auto"/>
              <w:jc w:val="center"/>
              <w:rPr>
                <w:rFonts w:hint="default" w:ascii="Times New Roman" w:hAnsi="Times New Roman" w:eastAsia="Arial" w:cs="Times New Roman"/>
                <w:kern w:val="0"/>
                <w:sz w:val="21"/>
                <w:szCs w:val="21"/>
                <w:lang w:eastAsia="en-US"/>
              </w:rPr>
            </w:pPr>
            <w:r>
              <w:rPr>
                <w:rFonts w:hint="default" w:ascii="Times New Roman" w:hAnsi="Times New Roman" w:eastAsia="Arial" w:cs="Times New Roman"/>
                <w:b/>
                <w:kern w:val="0"/>
                <w:sz w:val="21"/>
                <w:szCs w:val="21"/>
                <w:lang w:eastAsia="en-US"/>
              </w:rPr>
              <w:t>Selected anxiety assessment</w:t>
            </w:r>
          </w:p>
        </w:tc>
        <w:tc>
          <w:tcPr>
            <w:tcW w:w="2409" w:type="dxa"/>
            <w:shd w:val="clear" w:color="auto" w:fill="auto"/>
            <w:tcMar>
              <w:top w:w="38" w:type="dxa"/>
              <w:left w:w="42" w:type="dxa"/>
              <w:bottom w:w="38" w:type="dxa"/>
              <w:right w:w="42" w:type="dxa"/>
            </w:tcMar>
            <w:vAlign w:val="center"/>
          </w:tcPr>
          <w:p w14:paraId="04818904">
            <w:pPr>
              <w:widowControl/>
              <w:spacing w:before="0" w:after="0" w:line="240" w:lineRule="auto"/>
              <w:jc w:val="center"/>
              <w:rPr>
                <w:rFonts w:hint="default" w:ascii="Times New Roman" w:hAnsi="Times New Roman" w:eastAsia="Arial" w:cs="Times New Roman"/>
                <w:kern w:val="0"/>
                <w:sz w:val="21"/>
                <w:szCs w:val="21"/>
                <w:lang w:eastAsia="en-US"/>
              </w:rPr>
            </w:pPr>
            <w:r>
              <w:rPr>
                <w:rFonts w:hint="default" w:ascii="Times New Roman" w:hAnsi="Times New Roman" w:eastAsia="Arial" w:cs="Times New Roman"/>
                <w:b/>
                <w:kern w:val="0"/>
                <w:sz w:val="21"/>
                <w:szCs w:val="21"/>
                <w:lang w:eastAsia="en-US"/>
              </w:rPr>
              <w:t>Assessment context</w:t>
            </w:r>
          </w:p>
        </w:tc>
      </w:tr>
      <w:tr w14:paraId="137F1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2551" w:type="dxa"/>
            <w:shd w:val="clear" w:color="auto" w:fill="auto"/>
            <w:tcMar>
              <w:top w:w="38" w:type="dxa"/>
              <w:left w:w="42" w:type="dxa"/>
              <w:bottom w:w="38" w:type="dxa"/>
              <w:right w:w="42" w:type="dxa"/>
            </w:tcMar>
            <w:vAlign w:val="top"/>
          </w:tcPr>
          <w:p w14:paraId="55198FEB">
            <w:pPr>
              <w:widowControl/>
              <w:spacing w:before="0" w:after="0" w:line="240" w:lineRule="auto"/>
              <w:jc w:val="left"/>
              <w:rPr>
                <w:rFonts w:hint="default" w:ascii="Times New Roman" w:hAnsi="Times New Roman" w:eastAsia="Arial" w:cs="Times New Roman"/>
                <w:kern w:val="0"/>
                <w:sz w:val="21"/>
                <w:szCs w:val="21"/>
                <w:lang w:eastAsia="en-US"/>
              </w:rPr>
            </w:pPr>
            <w:r>
              <w:rPr>
                <w:rFonts w:hint="default" w:ascii="Times New Roman" w:hAnsi="Times New Roman" w:eastAsia="Arial" w:cs="Times New Roman"/>
                <w:kern w:val="0"/>
                <w:sz w:val="21"/>
                <w:szCs w:val="21"/>
                <w:lang w:eastAsia="en-US"/>
              </w:rPr>
              <w:t>Seethaler et al.</w:t>
            </w:r>
          </w:p>
        </w:tc>
        <w:tc>
          <w:tcPr>
            <w:tcW w:w="1417" w:type="dxa"/>
            <w:shd w:val="clear" w:color="auto" w:fill="auto"/>
            <w:tcMar>
              <w:top w:w="38" w:type="dxa"/>
              <w:left w:w="42" w:type="dxa"/>
              <w:bottom w:w="38" w:type="dxa"/>
              <w:right w:w="42" w:type="dxa"/>
            </w:tcMar>
            <w:vAlign w:val="top"/>
          </w:tcPr>
          <w:p w14:paraId="05E4B5FE">
            <w:pPr>
              <w:widowControl/>
              <w:spacing w:before="0" w:after="0" w:line="240" w:lineRule="auto"/>
              <w:jc w:val="left"/>
              <w:rPr>
                <w:rFonts w:hint="default" w:ascii="Times New Roman" w:hAnsi="Times New Roman" w:eastAsia="Arial" w:cs="Times New Roman"/>
                <w:kern w:val="0"/>
                <w:sz w:val="21"/>
                <w:szCs w:val="21"/>
                <w:lang w:eastAsia="en-US"/>
              </w:rPr>
            </w:pPr>
            <w:r>
              <w:rPr>
                <w:rFonts w:hint="default" w:ascii="Times New Roman" w:hAnsi="Times New Roman" w:eastAsia="Arial" w:cs="Times New Roman"/>
                <w:kern w:val="0"/>
                <w:sz w:val="21"/>
                <w:szCs w:val="21"/>
                <w:lang w:eastAsia="en-US"/>
              </w:rPr>
              <w:t>STAI-X1</w:t>
            </w:r>
          </w:p>
        </w:tc>
        <w:tc>
          <w:tcPr>
            <w:tcW w:w="3118" w:type="dxa"/>
            <w:shd w:val="clear" w:color="auto" w:fill="auto"/>
            <w:tcMar>
              <w:top w:w="38" w:type="dxa"/>
              <w:left w:w="42" w:type="dxa"/>
              <w:bottom w:w="38" w:type="dxa"/>
              <w:right w:w="42" w:type="dxa"/>
            </w:tcMar>
            <w:vAlign w:val="top"/>
          </w:tcPr>
          <w:p w14:paraId="279FA389">
            <w:pPr>
              <w:spacing w:before="0" w:after="0" w:line="240" w:lineRule="auto"/>
              <w:jc w:val="left"/>
              <w:rPr>
                <w:rFonts w:hint="default" w:ascii="Times New Roman" w:hAnsi="Times New Roman" w:eastAsia="Arial" w:cs="Times New Roman"/>
                <w:kern w:val="0"/>
                <w:sz w:val="21"/>
                <w:szCs w:val="21"/>
                <w:lang w:eastAsia="en-US"/>
              </w:rPr>
            </w:pPr>
            <w:r>
              <w:rPr>
                <w:rFonts w:ascii="Times New Roman" w:hAnsi="Times New Roman" w:eastAsia="Times New Roman"/>
                <w:b w:val="0"/>
                <w:sz w:val="21"/>
                <w:szCs w:val="21"/>
              </w:rPr>
              <w:t>Yes</w:t>
            </w:r>
          </w:p>
        </w:tc>
        <w:tc>
          <w:tcPr>
            <w:tcW w:w="6803" w:type="dxa"/>
            <w:shd w:val="clear" w:color="auto" w:fill="auto"/>
            <w:tcMar>
              <w:top w:w="38" w:type="dxa"/>
              <w:left w:w="42" w:type="dxa"/>
              <w:bottom w:w="38" w:type="dxa"/>
              <w:right w:w="42" w:type="dxa"/>
            </w:tcMar>
            <w:vAlign w:val="top"/>
          </w:tcPr>
          <w:p w14:paraId="46098F9B">
            <w:pPr>
              <w:spacing w:before="0" w:after="0" w:line="240" w:lineRule="auto"/>
              <w:jc w:val="left"/>
              <w:rPr>
                <w:rFonts w:hint="default" w:ascii="Times New Roman" w:hAnsi="Times New Roman" w:eastAsia="Arial" w:cs="Times New Roman"/>
                <w:kern w:val="0"/>
                <w:sz w:val="21"/>
                <w:szCs w:val="21"/>
                <w:lang w:eastAsia="en-US"/>
              </w:rPr>
            </w:pPr>
            <w:r>
              <w:rPr>
                <w:rFonts w:ascii="Times New Roman" w:hAnsi="Times New Roman" w:eastAsia="Times New Roman"/>
                <w:b w:val="0"/>
                <w:sz w:val="21"/>
                <w:szCs w:val="21"/>
              </w:rPr>
              <w:t>Immediately after the single 10-min session</w:t>
            </w:r>
          </w:p>
        </w:tc>
        <w:tc>
          <w:tcPr>
            <w:tcW w:w="2409" w:type="dxa"/>
            <w:shd w:val="clear" w:color="auto" w:fill="auto"/>
            <w:tcMar>
              <w:top w:w="38" w:type="dxa"/>
              <w:left w:w="42" w:type="dxa"/>
              <w:bottom w:w="38" w:type="dxa"/>
              <w:right w:w="42" w:type="dxa"/>
            </w:tcMar>
            <w:vAlign w:val="top"/>
          </w:tcPr>
          <w:p w14:paraId="4E7CA7FC">
            <w:pPr>
              <w:widowControl/>
              <w:spacing w:before="0" w:after="0" w:line="240" w:lineRule="auto"/>
              <w:jc w:val="left"/>
              <w:rPr>
                <w:rFonts w:hint="default" w:ascii="Times New Roman" w:hAnsi="Times New Roman" w:eastAsia="Arial" w:cs="Times New Roman"/>
                <w:kern w:val="0"/>
                <w:sz w:val="21"/>
                <w:szCs w:val="21"/>
                <w:lang w:eastAsia="en-US"/>
              </w:rPr>
            </w:pPr>
            <w:r>
              <w:rPr>
                <w:rFonts w:hint="default" w:ascii="Times New Roman" w:hAnsi="Times New Roman" w:eastAsia="Arial" w:cs="Times New Roman"/>
                <w:kern w:val="0"/>
                <w:sz w:val="21"/>
                <w:szCs w:val="21"/>
                <w:lang w:eastAsia="en-US"/>
              </w:rPr>
              <w:t>Acute/discrete-session</w:t>
            </w:r>
          </w:p>
        </w:tc>
      </w:tr>
      <w:tr w14:paraId="6BE89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2551" w:type="dxa"/>
            <w:shd w:val="clear" w:color="auto" w:fill="auto"/>
            <w:tcMar>
              <w:top w:w="38" w:type="dxa"/>
              <w:left w:w="42" w:type="dxa"/>
              <w:bottom w:w="38" w:type="dxa"/>
              <w:right w:w="42" w:type="dxa"/>
            </w:tcMar>
            <w:vAlign w:val="top"/>
          </w:tcPr>
          <w:p w14:paraId="3812413E">
            <w:pPr>
              <w:widowControl/>
              <w:spacing w:before="0" w:after="0" w:line="240" w:lineRule="auto"/>
              <w:jc w:val="left"/>
              <w:rPr>
                <w:rFonts w:hint="default" w:ascii="Times New Roman" w:hAnsi="Times New Roman" w:eastAsia="Arial" w:cs="Times New Roman"/>
                <w:kern w:val="0"/>
                <w:sz w:val="21"/>
                <w:szCs w:val="21"/>
                <w:lang w:eastAsia="en-US"/>
              </w:rPr>
            </w:pPr>
            <w:r>
              <w:rPr>
                <w:rFonts w:hint="default" w:ascii="Times New Roman" w:hAnsi="Times New Roman" w:eastAsia="Arial" w:cs="Times New Roman"/>
                <w:kern w:val="0"/>
                <w:sz w:val="21"/>
                <w:szCs w:val="21"/>
                <w:lang w:eastAsia="en-US"/>
              </w:rPr>
              <w:t>Prabhu et al.</w:t>
            </w:r>
          </w:p>
        </w:tc>
        <w:tc>
          <w:tcPr>
            <w:tcW w:w="1417" w:type="dxa"/>
            <w:shd w:val="clear" w:color="auto" w:fill="auto"/>
            <w:tcMar>
              <w:top w:w="38" w:type="dxa"/>
              <w:left w:w="42" w:type="dxa"/>
              <w:bottom w:w="38" w:type="dxa"/>
              <w:right w:w="42" w:type="dxa"/>
            </w:tcMar>
            <w:vAlign w:val="top"/>
          </w:tcPr>
          <w:p w14:paraId="6B2C9227">
            <w:pPr>
              <w:widowControl/>
              <w:spacing w:before="0" w:after="0" w:line="240" w:lineRule="auto"/>
              <w:jc w:val="left"/>
              <w:rPr>
                <w:rFonts w:hint="default" w:ascii="Times New Roman" w:hAnsi="Times New Roman" w:eastAsia="Arial" w:cs="Times New Roman"/>
                <w:kern w:val="0"/>
                <w:sz w:val="21"/>
                <w:szCs w:val="21"/>
                <w:lang w:eastAsia="en-US"/>
              </w:rPr>
            </w:pPr>
            <w:r>
              <w:rPr>
                <w:rFonts w:hint="default" w:ascii="Times New Roman" w:hAnsi="Times New Roman" w:eastAsia="Arial" w:cs="Times New Roman"/>
                <w:kern w:val="0"/>
                <w:sz w:val="21"/>
                <w:szCs w:val="21"/>
                <w:lang w:eastAsia="en-US"/>
              </w:rPr>
              <w:t>STAI-6</w:t>
            </w:r>
          </w:p>
        </w:tc>
        <w:tc>
          <w:tcPr>
            <w:tcW w:w="3118" w:type="dxa"/>
            <w:shd w:val="clear" w:color="auto" w:fill="auto"/>
            <w:tcMar>
              <w:top w:w="38" w:type="dxa"/>
              <w:left w:w="42" w:type="dxa"/>
              <w:bottom w:w="38" w:type="dxa"/>
              <w:right w:w="42" w:type="dxa"/>
            </w:tcMar>
            <w:vAlign w:val="top"/>
          </w:tcPr>
          <w:p w14:paraId="00051031">
            <w:pPr>
              <w:spacing w:before="0" w:after="0" w:line="240" w:lineRule="auto"/>
              <w:jc w:val="left"/>
              <w:rPr>
                <w:rFonts w:hint="default" w:ascii="Times New Roman" w:hAnsi="Times New Roman" w:eastAsia="Arial" w:cs="Times New Roman"/>
                <w:kern w:val="0"/>
                <w:sz w:val="21"/>
                <w:szCs w:val="21"/>
                <w:lang w:eastAsia="en-US"/>
              </w:rPr>
            </w:pPr>
            <w:r>
              <w:rPr>
                <w:rFonts w:ascii="Times New Roman" w:hAnsi="Times New Roman" w:eastAsia="Times New Roman"/>
                <w:b w:val="0"/>
                <w:sz w:val="21"/>
                <w:szCs w:val="21"/>
              </w:rPr>
              <w:t>Yes</w:t>
            </w:r>
          </w:p>
        </w:tc>
        <w:tc>
          <w:tcPr>
            <w:tcW w:w="6803" w:type="dxa"/>
            <w:shd w:val="clear" w:color="auto" w:fill="auto"/>
            <w:tcMar>
              <w:top w:w="38" w:type="dxa"/>
              <w:left w:w="42" w:type="dxa"/>
              <w:bottom w:w="38" w:type="dxa"/>
              <w:right w:w="42" w:type="dxa"/>
            </w:tcMar>
            <w:vAlign w:val="top"/>
          </w:tcPr>
          <w:p w14:paraId="261BF638">
            <w:pPr>
              <w:spacing w:before="0" w:after="0" w:line="240" w:lineRule="auto"/>
              <w:jc w:val="left"/>
              <w:rPr>
                <w:rFonts w:hint="default" w:ascii="Times New Roman" w:hAnsi="Times New Roman" w:eastAsia="Arial" w:cs="Times New Roman"/>
                <w:kern w:val="0"/>
                <w:sz w:val="21"/>
                <w:szCs w:val="21"/>
                <w:lang w:eastAsia="en-US"/>
              </w:rPr>
            </w:pPr>
            <w:r>
              <w:rPr>
                <w:rFonts w:hint="eastAsia" w:ascii="Times New Roman" w:hAnsi="Times New Roman" w:eastAsia="Times New Roman"/>
                <w:b w:val="0"/>
                <w:sz w:val="21"/>
                <w:szCs w:val="21"/>
              </w:rPr>
              <w:t>Immediately after the preoperative session</w:t>
            </w:r>
          </w:p>
        </w:tc>
        <w:tc>
          <w:tcPr>
            <w:tcW w:w="2409" w:type="dxa"/>
            <w:shd w:val="clear" w:color="auto" w:fill="auto"/>
            <w:tcMar>
              <w:top w:w="38" w:type="dxa"/>
              <w:left w:w="42" w:type="dxa"/>
              <w:bottom w:w="38" w:type="dxa"/>
              <w:right w:w="42" w:type="dxa"/>
            </w:tcMar>
            <w:vAlign w:val="top"/>
          </w:tcPr>
          <w:p w14:paraId="271D4AEF">
            <w:pPr>
              <w:widowControl/>
              <w:spacing w:before="0" w:after="0" w:line="240" w:lineRule="auto"/>
              <w:jc w:val="left"/>
              <w:rPr>
                <w:rFonts w:hint="default" w:ascii="Times New Roman" w:hAnsi="Times New Roman" w:eastAsia="Arial" w:cs="Times New Roman"/>
                <w:kern w:val="0"/>
                <w:sz w:val="21"/>
                <w:szCs w:val="21"/>
                <w:lang w:eastAsia="en-US"/>
              </w:rPr>
            </w:pPr>
            <w:r>
              <w:rPr>
                <w:rFonts w:hint="default" w:ascii="Times New Roman" w:hAnsi="Times New Roman" w:eastAsia="Arial" w:cs="Times New Roman"/>
                <w:kern w:val="0"/>
                <w:sz w:val="21"/>
                <w:szCs w:val="21"/>
                <w:lang w:eastAsia="en-US"/>
              </w:rPr>
              <w:t>Acute/discrete-session</w:t>
            </w:r>
          </w:p>
        </w:tc>
      </w:tr>
      <w:tr w14:paraId="7E69F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2551" w:type="dxa"/>
            <w:shd w:val="clear" w:color="auto" w:fill="auto"/>
            <w:tcMar>
              <w:top w:w="38" w:type="dxa"/>
              <w:left w:w="42" w:type="dxa"/>
              <w:bottom w:w="38" w:type="dxa"/>
              <w:right w:w="42" w:type="dxa"/>
            </w:tcMar>
            <w:vAlign w:val="top"/>
          </w:tcPr>
          <w:p w14:paraId="48530FCC">
            <w:pPr>
              <w:widowControl/>
              <w:spacing w:before="0" w:after="0" w:line="240" w:lineRule="auto"/>
              <w:jc w:val="left"/>
              <w:rPr>
                <w:rFonts w:hint="default" w:ascii="Times New Roman" w:hAnsi="Times New Roman" w:eastAsia="Arial" w:cs="Times New Roman"/>
                <w:kern w:val="0"/>
                <w:sz w:val="21"/>
                <w:szCs w:val="21"/>
                <w:lang w:eastAsia="en-US"/>
              </w:rPr>
            </w:pPr>
            <w:r>
              <w:rPr>
                <w:rFonts w:hint="default" w:ascii="Times New Roman" w:hAnsi="Times New Roman" w:eastAsia="Arial" w:cs="Times New Roman"/>
                <w:kern w:val="0"/>
                <w:sz w:val="21"/>
                <w:szCs w:val="21"/>
                <w:lang w:eastAsia="en-US"/>
              </w:rPr>
              <w:t>Szczepańska-Gieracha et al.</w:t>
            </w:r>
          </w:p>
        </w:tc>
        <w:tc>
          <w:tcPr>
            <w:tcW w:w="1417" w:type="dxa"/>
            <w:shd w:val="clear" w:color="auto" w:fill="auto"/>
            <w:tcMar>
              <w:top w:w="38" w:type="dxa"/>
              <w:left w:w="42" w:type="dxa"/>
              <w:bottom w:w="38" w:type="dxa"/>
              <w:right w:w="42" w:type="dxa"/>
            </w:tcMar>
            <w:vAlign w:val="top"/>
          </w:tcPr>
          <w:p w14:paraId="0867448F">
            <w:pPr>
              <w:widowControl/>
              <w:spacing w:before="0" w:after="0" w:line="240" w:lineRule="auto"/>
              <w:jc w:val="left"/>
              <w:rPr>
                <w:rFonts w:hint="default" w:ascii="Times New Roman" w:hAnsi="Times New Roman" w:eastAsia="Arial" w:cs="Times New Roman"/>
                <w:kern w:val="0"/>
                <w:sz w:val="21"/>
                <w:szCs w:val="21"/>
                <w:lang w:eastAsia="en-US"/>
              </w:rPr>
            </w:pPr>
            <w:r>
              <w:rPr>
                <w:rFonts w:hint="default" w:ascii="Times New Roman" w:hAnsi="Times New Roman" w:eastAsia="Arial" w:cs="Times New Roman"/>
                <w:kern w:val="0"/>
                <w:sz w:val="21"/>
                <w:szCs w:val="21"/>
                <w:lang w:eastAsia="en-US"/>
              </w:rPr>
              <w:t>HADS-A</w:t>
            </w:r>
          </w:p>
        </w:tc>
        <w:tc>
          <w:tcPr>
            <w:tcW w:w="3118" w:type="dxa"/>
            <w:shd w:val="clear" w:color="auto" w:fill="auto"/>
            <w:tcMar>
              <w:top w:w="38" w:type="dxa"/>
              <w:left w:w="42" w:type="dxa"/>
              <w:bottom w:w="38" w:type="dxa"/>
              <w:right w:w="42" w:type="dxa"/>
            </w:tcMar>
            <w:vAlign w:val="top"/>
          </w:tcPr>
          <w:p w14:paraId="1D0B4898">
            <w:pPr>
              <w:spacing w:before="0" w:after="0" w:line="240" w:lineRule="auto"/>
              <w:jc w:val="left"/>
              <w:rPr>
                <w:rFonts w:hint="default" w:ascii="Times New Roman" w:hAnsi="Times New Roman" w:eastAsia="Arial" w:cs="Times New Roman"/>
                <w:kern w:val="0"/>
                <w:sz w:val="21"/>
                <w:szCs w:val="21"/>
                <w:lang w:eastAsia="en-US"/>
              </w:rPr>
            </w:pPr>
            <w:r>
              <w:rPr>
                <w:rFonts w:ascii="Times New Roman" w:hAnsi="Times New Roman" w:eastAsia="Times New Roman"/>
                <w:b w:val="0"/>
                <w:sz w:val="21"/>
                <w:szCs w:val="21"/>
              </w:rPr>
              <w:t>Yes</w:t>
            </w:r>
          </w:p>
        </w:tc>
        <w:tc>
          <w:tcPr>
            <w:tcW w:w="6803" w:type="dxa"/>
            <w:shd w:val="clear" w:color="auto" w:fill="auto"/>
            <w:tcMar>
              <w:top w:w="38" w:type="dxa"/>
              <w:left w:w="42" w:type="dxa"/>
              <w:bottom w:w="38" w:type="dxa"/>
              <w:right w:w="42" w:type="dxa"/>
            </w:tcMar>
            <w:vAlign w:val="top"/>
          </w:tcPr>
          <w:p w14:paraId="04AF6799">
            <w:pPr>
              <w:spacing w:before="0" w:after="0" w:line="240" w:lineRule="auto"/>
              <w:jc w:val="left"/>
              <w:rPr>
                <w:rFonts w:hint="default" w:ascii="Times New Roman" w:hAnsi="Times New Roman" w:eastAsia="Arial" w:cs="Times New Roman"/>
                <w:kern w:val="0"/>
                <w:sz w:val="21"/>
                <w:szCs w:val="21"/>
                <w:lang w:eastAsia="en-US"/>
              </w:rPr>
            </w:pPr>
            <w:r>
              <w:rPr>
                <w:rFonts w:ascii="Times New Roman" w:hAnsi="Times New Roman" w:eastAsia="Times New Roman"/>
                <w:b w:val="0"/>
                <w:sz w:val="21"/>
                <w:szCs w:val="21"/>
              </w:rPr>
              <w:t>At the end of the 4-week intervention</w:t>
            </w:r>
          </w:p>
        </w:tc>
        <w:tc>
          <w:tcPr>
            <w:tcW w:w="2409" w:type="dxa"/>
            <w:shd w:val="clear" w:color="auto" w:fill="auto"/>
            <w:tcMar>
              <w:top w:w="38" w:type="dxa"/>
              <w:left w:w="42" w:type="dxa"/>
              <w:bottom w:w="38" w:type="dxa"/>
              <w:right w:w="42" w:type="dxa"/>
            </w:tcMar>
            <w:vAlign w:val="top"/>
          </w:tcPr>
          <w:p w14:paraId="6518849D">
            <w:pPr>
              <w:widowControl/>
              <w:spacing w:before="0" w:after="0" w:line="240" w:lineRule="auto"/>
              <w:jc w:val="left"/>
              <w:rPr>
                <w:rFonts w:hint="default" w:ascii="Times New Roman" w:hAnsi="Times New Roman" w:eastAsia="Arial" w:cs="Times New Roman"/>
                <w:kern w:val="0"/>
                <w:sz w:val="21"/>
                <w:szCs w:val="21"/>
                <w:lang w:eastAsia="en-US"/>
              </w:rPr>
            </w:pPr>
            <w:r>
              <w:rPr>
                <w:rFonts w:hint="default" w:ascii="Times New Roman" w:hAnsi="Times New Roman" w:eastAsia="Arial" w:cs="Times New Roman"/>
                <w:kern w:val="0"/>
                <w:sz w:val="21"/>
                <w:szCs w:val="21"/>
                <w:lang w:eastAsia="en-US"/>
              </w:rPr>
              <w:t>Program-end/multi-session</w:t>
            </w:r>
          </w:p>
        </w:tc>
      </w:tr>
      <w:tr w14:paraId="1E21B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2551" w:type="dxa"/>
            <w:shd w:val="clear" w:color="auto" w:fill="auto"/>
            <w:tcMar>
              <w:top w:w="38" w:type="dxa"/>
              <w:left w:w="42" w:type="dxa"/>
              <w:bottom w:w="38" w:type="dxa"/>
              <w:right w:w="42" w:type="dxa"/>
            </w:tcMar>
            <w:vAlign w:val="top"/>
          </w:tcPr>
          <w:p w14:paraId="4019AC4D">
            <w:pPr>
              <w:widowControl/>
              <w:spacing w:before="0" w:after="0" w:line="240" w:lineRule="auto"/>
              <w:jc w:val="left"/>
              <w:rPr>
                <w:rFonts w:hint="default" w:ascii="Times New Roman" w:hAnsi="Times New Roman" w:eastAsia="Arial" w:cs="Times New Roman"/>
                <w:kern w:val="0"/>
                <w:sz w:val="21"/>
                <w:szCs w:val="21"/>
                <w:lang w:eastAsia="en-US"/>
              </w:rPr>
            </w:pPr>
            <w:r>
              <w:rPr>
                <w:rFonts w:hint="default" w:ascii="Times New Roman" w:hAnsi="Times New Roman" w:eastAsia="Arial" w:cs="Times New Roman"/>
                <w:kern w:val="0"/>
                <w:sz w:val="21"/>
                <w:szCs w:val="21"/>
                <w:lang w:eastAsia="en-US"/>
              </w:rPr>
              <w:t>Cieślik et al.</w:t>
            </w:r>
          </w:p>
        </w:tc>
        <w:tc>
          <w:tcPr>
            <w:tcW w:w="1417" w:type="dxa"/>
            <w:shd w:val="clear" w:color="auto" w:fill="auto"/>
            <w:tcMar>
              <w:top w:w="38" w:type="dxa"/>
              <w:left w:w="42" w:type="dxa"/>
              <w:bottom w:w="38" w:type="dxa"/>
              <w:right w:w="42" w:type="dxa"/>
            </w:tcMar>
            <w:vAlign w:val="top"/>
          </w:tcPr>
          <w:p w14:paraId="721672CA">
            <w:pPr>
              <w:widowControl/>
              <w:spacing w:before="0" w:after="0" w:line="240" w:lineRule="auto"/>
              <w:jc w:val="left"/>
              <w:rPr>
                <w:rFonts w:hint="default" w:ascii="Times New Roman" w:hAnsi="Times New Roman" w:eastAsia="Arial" w:cs="Times New Roman"/>
                <w:kern w:val="0"/>
                <w:sz w:val="21"/>
                <w:szCs w:val="21"/>
                <w:lang w:eastAsia="en-US"/>
              </w:rPr>
            </w:pPr>
            <w:r>
              <w:rPr>
                <w:rFonts w:hint="default" w:ascii="Times New Roman" w:hAnsi="Times New Roman" w:eastAsia="Arial" w:cs="Times New Roman"/>
                <w:kern w:val="0"/>
                <w:sz w:val="21"/>
                <w:szCs w:val="21"/>
                <w:lang w:eastAsia="en-US"/>
              </w:rPr>
              <w:t>HADS-A</w:t>
            </w:r>
          </w:p>
        </w:tc>
        <w:tc>
          <w:tcPr>
            <w:tcW w:w="3118" w:type="dxa"/>
            <w:shd w:val="clear" w:color="auto" w:fill="auto"/>
            <w:tcMar>
              <w:top w:w="38" w:type="dxa"/>
              <w:left w:w="42" w:type="dxa"/>
              <w:bottom w:w="38" w:type="dxa"/>
              <w:right w:w="42" w:type="dxa"/>
            </w:tcMar>
            <w:vAlign w:val="top"/>
          </w:tcPr>
          <w:p w14:paraId="6B3F9AB1">
            <w:pPr>
              <w:spacing w:before="0" w:after="0" w:line="240" w:lineRule="auto"/>
              <w:jc w:val="left"/>
              <w:rPr>
                <w:rFonts w:hint="default" w:ascii="Times New Roman" w:hAnsi="Times New Roman" w:eastAsia="Arial" w:cs="Times New Roman"/>
                <w:kern w:val="0"/>
                <w:sz w:val="21"/>
                <w:szCs w:val="21"/>
                <w:lang w:eastAsia="en-US"/>
              </w:rPr>
            </w:pPr>
            <w:r>
              <w:rPr>
                <w:rFonts w:ascii="Times New Roman" w:hAnsi="Times New Roman" w:eastAsia="Times New Roman"/>
                <w:b w:val="0"/>
                <w:sz w:val="21"/>
                <w:szCs w:val="21"/>
              </w:rPr>
              <w:t>Yes</w:t>
            </w:r>
          </w:p>
        </w:tc>
        <w:tc>
          <w:tcPr>
            <w:tcW w:w="6803" w:type="dxa"/>
            <w:shd w:val="clear" w:color="auto" w:fill="auto"/>
            <w:tcMar>
              <w:top w:w="38" w:type="dxa"/>
              <w:left w:w="42" w:type="dxa"/>
              <w:bottom w:w="38" w:type="dxa"/>
              <w:right w:w="42" w:type="dxa"/>
            </w:tcMar>
            <w:vAlign w:val="top"/>
          </w:tcPr>
          <w:p w14:paraId="28AAD21F">
            <w:pPr>
              <w:spacing w:before="0" w:after="0" w:line="240" w:lineRule="auto"/>
              <w:jc w:val="left"/>
              <w:rPr>
                <w:rFonts w:hint="default" w:ascii="Times New Roman" w:hAnsi="Times New Roman" w:eastAsia="Arial" w:cs="Times New Roman"/>
                <w:kern w:val="0"/>
                <w:sz w:val="21"/>
                <w:szCs w:val="21"/>
                <w:lang w:eastAsia="en-US"/>
              </w:rPr>
            </w:pPr>
            <w:r>
              <w:rPr>
                <w:rFonts w:ascii="Times New Roman" w:hAnsi="Times New Roman" w:eastAsia="Times New Roman"/>
                <w:b w:val="0"/>
                <w:sz w:val="21"/>
                <w:szCs w:val="21"/>
              </w:rPr>
              <w:t>At the end of the 4-week intervention</w:t>
            </w:r>
          </w:p>
        </w:tc>
        <w:tc>
          <w:tcPr>
            <w:tcW w:w="2409" w:type="dxa"/>
            <w:shd w:val="clear" w:color="auto" w:fill="auto"/>
            <w:tcMar>
              <w:top w:w="38" w:type="dxa"/>
              <w:left w:w="42" w:type="dxa"/>
              <w:bottom w:w="38" w:type="dxa"/>
              <w:right w:w="42" w:type="dxa"/>
            </w:tcMar>
            <w:vAlign w:val="top"/>
          </w:tcPr>
          <w:p w14:paraId="0E13ECC1">
            <w:pPr>
              <w:widowControl/>
              <w:spacing w:before="0" w:after="0" w:line="240" w:lineRule="auto"/>
              <w:jc w:val="left"/>
              <w:rPr>
                <w:rFonts w:hint="default" w:ascii="Times New Roman" w:hAnsi="Times New Roman" w:eastAsia="Arial" w:cs="Times New Roman"/>
                <w:kern w:val="0"/>
                <w:sz w:val="21"/>
                <w:szCs w:val="21"/>
                <w:lang w:eastAsia="en-US"/>
              </w:rPr>
            </w:pPr>
            <w:r>
              <w:rPr>
                <w:rFonts w:hint="default" w:ascii="Times New Roman" w:hAnsi="Times New Roman" w:eastAsia="Arial" w:cs="Times New Roman"/>
                <w:kern w:val="0"/>
                <w:sz w:val="21"/>
                <w:szCs w:val="21"/>
                <w:lang w:eastAsia="en-US"/>
              </w:rPr>
              <w:t>Program-end/multi-session</w:t>
            </w:r>
          </w:p>
        </w:tc>
      </w:tr>
      <w:tr w14:paraId="287A1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shd w:val="clear" w:color="auto" w:fill="auto"/>
            <w:tcMar>
              <w:top w:w="38" w:type="dxa"/>
              <w:left w:w="42" w:type="dxa"/>
              <w:bottom w:w="38" w:type="dxa"/>
              <w:right w:w="42" w:type="dxa"/>
            </w:tcMar>
            <w:vAlign w:val="top"/>
          </w:tcPr>
          <w:p w14:paraId="6EA305D5">
            <w:pPr>
              <w:widowControl/>
              <w:spacing w:before="0" w:after="0" w:line="240" w:lineRule="auto"/>
              <w:jc w:val="left"/>
              <w:rPr>
                <w:rFonts w:hint="default" w:ascii="Times New Roman" w:hAnsi="Times New Roman" w:eastAsia="宋体" w:cs="Times New Roman"/>
                <w:kern w:val="0"/>
                <w:sz w:val="21"/>
                <w:szCs w:val="21"/>
                <w:lang w:val="en-US" w:eastAsia="zh-CN"/>
              </w:rPr>
            </w:pPr>
            <w:r>
              <w:rPr>
                <w:rFonts w:hint="default" w:ascii="Times New Roman" w:hAnsi="Times New Roman" w:eastAsia="Arial" w:cs="Times New Roman"/>
                <w:kern w:val="0"/>
                <w:sz w:val="21"/>
                <w:szCs w:val="21"/>
                <w:lang w:eastAsia="en-US"/>
              </w:rPr>
              <w:t>Kwon</w:t>
            </w:r>
            <w:r>
              <w:rPr>
                <w:rFonts w:hint="default" w:ascii="Times New Roman" w:hAnsi="Times New Roman" w:eastAsia="宋体" w:cs="Times New Roman"/>
                <w:kern w:val="0"/>
                <w:sz w:val="21"/>
                <w:szCs w:val="21"/>
                <w:lang w:val="en-US" w:eastAsia="zh-CN"/>
              </w:rPr>
              <w:t xml:space="preserve"> et al.</w:t>
            </w:r>
          </w:p>
        </w:tc>
        <w:tc>
          <w:tcPr>
            <w:tcW w:w="1417" w:type="dxa"/>
            <w:shd w:val="clear" w:color="auto" w:fill="auto"/>
            <w:tcMar>
              <w:top w:w="38" w:type="dxa"/>
              <w:left w:w="42" w:type="dxa"/>
              <w:bottom w:w="38" w:type="dxa"/>
              <w:right w:w="42" w:type="dxa"/>
            </w:tcMar>
            <w:vAlign w:val="top"/>
          </w:tcPr>
          <w:p w14:paraId="10CC477C">
            <w:pPr>
              <w:widowControl/>
              <w:spacing w:before="0" w:after="0" w:line="240" w:lineRule="auto"/>
              <w:jc w:val="left"/>
              <w:rPr>
                <w:rFonts w:hint="default" w:ascii="Times New Roman" w:hAnsi="Times New Roman" w:eastAsia="宋体" w:cs="Times New Roman"/>
                <w:kern w:val="0"/>
                <w:sz w:val="21"/>
                <w:szCs w:val="21"/>
                <w:lang w:val="en-US" w:eastAsia="zh-CN"/>
              </w:rPr>
            </w:pPr>
            <w:r>
              <w:rPr>
                <w:rFonts w:hint="default" w:ascii="Times New Roman" w:hAnsi="Times New Roman" w:eastAsia="Arial" w:cs="Times New Roman"/>
                <w:kern w:val="0"/>
                <w:sz w:val="21"/>
                <w:szCs w:val="21"/>
                <w:lang w:eastAsia="en-US"/>
              </w:rPr>
              <w:t>PROMIS</w:t>
            </w:r>
            <w:r>
              <w:rPr>
                <w:rFonts w:hint="default" w:ascii="Times New Roman" w:hAnsi="Times New Roman" w:eastAsia="宋体" w:cs="Times New Roman"/>
                <w:kern w:val="0"/>
                <w:sz w:val="21"/>
                <w:szCs w:val="21"/>
                <w:lang w:val="en-US" w:eastAsia="zh-CN"/>
              </w:rPr>
              <w:t>-A</w:t>
            </w:r>
          </w:p>
        </w:tc>
        <w:tc>
          <w:tcPr>
            <w:tcW w:w="3118" w:type="dxa"/>
            <w:shd w:val="clear" w:color="auto" w:fill="auto"/>
            <w:tcMar>
              <w:top w:w="38" w:type="dxa"/>
              <w:left w:w="42" w:type="dxa"/>
              <w:bottom w:w="38" w:type="dxa"/>
              <w:right w:w="42" w:type="dxa"/>
            </w:tcMar>
            <w:vAlign w:val="top"/>
          </w:tcPr>
          <w:p w14:paraId="0CB01AA3">
            <w:pPr>
              <w:spacing w:before="0" w:after="0" w:line="240" w:lineRule="auto"/>
              <w:jc w:val="left"/>
              <w:rPr>
                <w:rFonts w:hint="default" w:ascii="Times New Roman" w:hAnsi="Times New Roman" w:eastAsia="Arial" w:cs="Times New Roman"/>
                <w:kern w:val="0"/>
                <w:sz w:val="21"/>
                <w:szCs w:val="21"/>
                <w:lang w:eastAsia="en-US"/>
              </w:rPr>
            </w:pPr>
            <w:r>
              <w:rPr>
                <w:rFonts w:ascii="Times New Roman" w:hAnsi="Times New Roman" w:eastAsia="Times New Roman"/>
                <w:b w:val="0"/>
                <w:sz w:val="21"/>
                <w:szCs w:val="21"/>
              </w:rPr>
              <w:t>Yes</w:t>
            </w:r>
          </w:p>
        </w:tc>
        <w:tc>
          <w:tcPr>
            <w:tcW w:w="6803" w:type="dxa"/>
            <w:shd w:val="clear" w:color="auto" w:fill="auto"/>
            <w:tcMar>
              <w:top w:w="38" w:type="dxa"/>
              <w:left w:w="42" w:type="dxa"/>
              <w:bottom w:w="38" w:type="dxa"/>
              <w:right w:w="42" w:type="dxa"/>
            </w:tcMar>
            <w:vAlign w:val="top"/>
          </w:tcPr>
          <w:p w14:paraId="5891406F">
            <w:pPr>
              <w:spacing w:before="0" w:after="0" w:line="240" w:lineRule="auto"/>
              <w:jc w:val="left"/>
              <w:rPr>
                <w:rFonts w:hint="default" w:ascii="Times New Roman" w:hAnsi="Times New Roman" w:eastAsia="Arial" w:cs="Times New Roman"/>
                <w:kern w:val="0"/>
                <w:sz w:val="21"/>
                <w:szCs w:val="21"/>
                <w:lang w:eastAsia="en-US"/>
              </w:rPr>
            </w:pPr>
            <w:r>
              <w:rPr>
                <w:rFonts w:ascii="Times New Roman" w:hAnsi="Times New Roman" w:eastAsia="Times New Roman"/>
                <w:b w:val="0"/>
                <w:sz w:val="21"/>
                <w:szCs w:val="21"/>
              </w:rPr>
              <w:t>At the end of the 3-week intervention</w:t>
            </w:r>
          </w:p>
        </w:tc>
        <w:tc>
          <w:tcPr>
            <w:tcW w:w="2409" w:type="dxa"/>
            <w:shd w:val="clear" w:color="auto" w:fill="auto"/>
            <w:tcMar>
              <w:top w:w="38" w:type="dxa"/>
              <w:left w:w="42" w:type="dxa"/>
              <w:bottom w:w="38" w:type="dxa"/>
              <w:right w:w="42" w:type="dxa"/>
            </w:tcMar>
            <w:vAlign w:val="top"/>
          </w:tcPr>
          <w:p w14:paraId="069A626D">
            <w:pPr>
              <w:widowControl/>
              <w:spacing w:before="0" w:after="0" w:line="240" w:lineRule="auto"/>
              <w:jc w:val="left"/>
              <w:rPr>
                <w:rFonts w:hint="default" w:ascii="Times New Roman" w:hAnsi="Times New Roman" w:eastAsia="Arial" w:cs="Times New Roman"/>
                <w:kern w:val="0"/>
                <w:sz w:val="21"/>
                <w:szCs w:val="21"/>
                <w:lang w:eastAsia="en-US"/>
              </w:rPr>
            </w:pPr>
            <w:r>
              <w:rPr>
                <w:rFonts w:hint="default" w:ascii="Times New Roman" w:hAnsi="Times New Roman" w:eastAsia="Arial" w:cs="Times New Roman"/>
                <w:kern w:val="0"/>
                <w:sz w:val="21"/>
                <w:szCs w:val="21"/>
                <w:lang w:eastAsia="en-US"/>
              </w:rPr>
              <w:t>Program-end/multi-session</w:t>
            </w:r>
          </w:p>
        </w:tc>
      </w:tr>
      <w:tr w14:paraId="4DBE5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2551" w:type="dxa"/>
            <w:shd w:val="clear" w:color="auto" w:fill="auto"/>
            <w:tcMar>
              <w:top w:w="38" w:type="dxa"/>
              <w:left w:w="42" w:type="dxa"/>
              <w:bottom w:w="38" w:type="dxa"/>
              <w:right w:w="42" w:type="dxa"/>
            </w:tcMar>
            <w:vAlign w:val="top"/>
          </w:tcPr>
          <w:p w14:paraId="1F90FA0C">
            <w:pPr>
              <w:widowControl/>
              <w:spacing w:before="0" w:after="0" w:line="240" w:lineRule="auto"/>
              <w:jc w:val="left"/>
              <w:rPr>
                <w:rFonts w:hint="default" w:ascii="Times New Roman" w:hAnsi="Times New Roman" w:eastAsia="Arial" w:cs="Times New Roman"/>
                <w:kern w:val="0"/>
                <w:sz w:val="21"/>
                <w:szCs w:val="21"/>
                <w:lang w:eastAsia="en-US"/>
              </w:rPr>
            </w:pPr>
            <w:r>
              <w:rPr>
                <w:rFonts w:hint="default" w:ascii="Times New Roman" w:hAnsi="Times New Roman" w:eastAsia="Arial" w:cs="Times New Roman"/>
                <w:kern w:val="0"/>
                <w:sz w:val="21"/>
                <w:szCs w:val="21"/>
                <w:lang w:eastAsia="en-US"/>
              </w:rPr>
              <w:t>Li et al.</w:t>
            </w:r>
          </w:p>
        </w:tc>
        <w:tc>
          <w:tcPr>
            <w:tcW w:w="1417" w:type="dxa"/>
            <w:shd w:val="clear" w:color="auto" w:fill="auto"/>
            <w:tcMar>
              <w:top w:w="38" w:type="dxa"/>
              <w:left w:w="42" w:type="dxa"/>
              <w:bottom w:w="38" w:type="dxa"/>
              <w:right w:w="42" w:type="dxa"/>
            </w:tcMar>
            <w:vAlign w:val="top"/>
          </w:tcPr>
          <w:p w14:paraId="1CA61C93">
            <w:pPr>
              <w:widowControl/>
              <w:spacing w:before="0" w:after="0" w:line="240" w:lineRule="auto"/>
              <w:jc w:val="left"/>
              <w:rPr>
                <w:rFonts w:hint="default" w:ascii="Times New Roman" w:hAnsi="Times New Roman" w:eastAsia="宋体" w:cs="Times New Roman"/>
                <w:kern w:val="0"/>
                <w:sz w:val="21"/>
                <w:szCs w:val="21"/>
                <w:lang w:val="en-US" w:eastAsia="zh-CN"/>
              </w:rPr>
            </w:pPr>
            <w:r>
              <w:rPr>
                <w:rFonts w:hint="default" w:ascii="Times New Roman" w:hAnsi="Times New Roman" w:eastAsia="Arial" w:cs="Times New Roman"/>
                <w:kern w:val="0"/>
                <w:sz w:val="21"/>
                <w:szCs w:val="21"/>
                <w:lang w:eastAsia="en-US"/>
              </w:rPr>
              <w:t>STAI-S</w:t>
            </w:r>
            <w:r>
              <w:rPr>
                <w:rFonts w:hint="default" w:ascii="Times New Roman" w:hAnsi="Times New Roman" w:eastAsia="宋体" w:cs="Times New Roman"/>
                <w:kern w:val="0"/>
                <w:sz w:val="21"/>
                <w:szCs w:val="21"/>
                <w:lang w:val="en-US" w:eastAsia="zh-CN"/>
              </w:rPr>
              <w:t>AI</w:t>
            </w:r>
          </w:p>
        </w:tc>
        <w:tc>
          <w:tcPr>
            <w:tcW w:w="3118" w:type="dxa"/>
            <w:shd w:val="clear" w:color="auto" w:fill="auto"/>
            <w:tcMar>
              <w:top w:w="38" w:type="dxa"/>
              <w:left w:w="42" w:type="dxa"/>
              <w:bottom w:w="38" w:type="dxa"/>
              <w:right w:w="42" w:type="dxa"/>
            </w:tcMar>
            <w:vAlign w:val="top"/>
          </w:tcPr>
          <w:p w14:paraId="7DBFE81F">
            <w:pPr>
              <w:spacing w:before="0" w:after="0" w:line="240" w:lineRule="auto"/>
              <w:jc w:val="left"/>
              <w:rPr>
                <w:rFonts w:hint="default" w:ascii="Times New Roman" w:hAnsi="Times New Roman" w:eastAsia="Arial" w:cs="Times New Roman"/>
                <w:kern w:val="0"/>
                <w:sz w:val="21"/>
                <w:szCs w:val="21"/>
                <w:lang w:eastAsia="en-US"/>
              </w:rPr>
            </w:pPr>
            <w:r>
              <w:rPr>
                <w:rFonts w:ascii="Times New Roman" w:hAnsi="Times New Roman" w:eastAsia="Times New Roman"/>
                <w:b w:val="0"/>
                <w:sz w:val="21"/>
                <w:szCs w:val="21"/>
              </w:rPr>
              <w:t>Yes</w:t>
            </w:r>
          </w:p>
        </w:tc>
        <w:tc>
          <w:tcPr>
            <w:tcW w:w="6803" w:type="dxa"/>
            <w:shd w:val="clear" w:color="auto" w:fill="auto"/>
            <w:tcMar>
              <w:top w:w="38" w:type="dxa"/>
              <w:left w:w="42" w:type="dxa"/>
              <w:bottom w:w="38" w:type="dxa"/>
              <w:right w:w="42" w:type="dxa"/>
            </w:tcMar>
            <w:vAlign w:val="top"/>
          </w:tcPr>
          <w:p w14:paraId="74636DCE">
            <w:pPr>
              <w:spacing w:before="0" w:after="0" w:line="240" w:lineRule="auto"/>
              <w:jc w:val="left"/>
              <w:rPr>
                <w:rFonts w:hint="default" w:ascii="Times New Roman" w:hAnsi="Times New Roman" w:eastAsia="Arial" w:cs="Times New Roman"/>
                <w:kern w:val="0"/>
                <w:sz w:val="21"/>
                <w:szCs w:val="21"/>
                <w:lang w:eastAsia="en-US"/>
              </w:rPr>
            </w:pPr>
            <w:r>
              <w:rPr>
                <w:rFonts w:ascii="Times New Roman" w:hAnsi="Times New Roman" w:eastAsia="Times New Roman"/>
                <w:b w:val="0"/>
                <w:sz w:val="21"/>
                <w:szCs w:val="21"/>
              </w:rPr>
              <w:t>At discharge (T3), after completion of the repeated VR-guided imagery intervention</w:t>
            </w:r>
          </w:p>
        </w:tc>
        <w:tc>
          <w:tcPr>
            <w:tcW w:w="2409" w:type="dxa"/>
            <w:shd w:val="clear" w:color="auto" w:fill="auto"/>
            <w:tcMar>
              <w:top w:w="38" w:type="dxa"/>
              <w:left w:w="42" w:type="dxa"/>
              <w:bottom w:w="38" w:type="dxa"/>
              <w:right w:w="42" w:type="dxa"/>
            </w:tcMar>
            <w:vAlign w:val="top"/>
          </w:tcPr>
          <w:p w14:paraId="70F25DAC">
            <w:pPr>
              <w:widowControl/>
              <w:spacing w:before="0" w:after="0" w:line="240" w:lineRule="auto"/>
              <w:jc w:val="left"/>
              <w:rPr>
                <w:rFonts w:hint="default" w:ascii="Times New Roman" w:hAnsi="Times New Roman" w:eastAsia="Arial" w:cs="Times New Roman"/>
                <w:kern w:val="0"/>
                <w:sz w:val="21"/>
                <w:szCs w:val="21"/>
                <w:lang w:eastAsia="en-US"/>
              </w:rPr>
            </w:pPr>
            <w:r>
              <w:rPr>
                <w:rFonts w:hint="default" w:ascii="Times New Roman" w:hAnsi="Times New Roman" w:eastAsia="Arial" w:cs="Times New Roman"/>
                <w:kern w:val="0"/>
                <w:sz w:val="21"/>
                <w:szCs w:val="21"/>
                <w:lang w:eastAsia="en-US"/>
              </w:rPr>
              <w:t>Program-end/multi-session</w:t>
            </w:r>
          </w:p>
        </w:tc>
      </w:tr>
      <w:tr w14:paraId="0B1E2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shd w:val="clear" w:color="auto" w:fill="auto"/>
            <w:tcMar>
              <w:top w:w="38" w:type="dxa"/>
              <w:left w:w="42" w:type="dxa"/>
              <w:bottom w:w="38" w:type="dxa"/>
              <w:right w:w="42" w:type="dxa"/>
            </w:tcMar>
            <w:vAlign w:val="top"/>
          </w:tcPr>
          <w:p w14:paraId="23ED740B">
            <w:pPr>
              <w:widowControl/>
              <w:spacing w:before="0" w:after="0" w:line="240" w:lineRule="auto"/>
              <w:jc w:val="left"/>
              <w:rPr>
                <w:rFonts w:hint="default" w:ascii="Times New Roman" w:hAnsi="Times New Roman" w:eastAsia="Arial" w:cs="Times New Roman"/>
                <w:kern w:val="0"/>
                <w:sz w:val="21"/>
                <w:szCs w:val="21"/>
                <w:lang w:eastAsia="en-US"/>
              </w:rPr>
            </w:pPr>
            <w:r>
              <w:rPr>
                <w:rFonts w:hint="default" w:ascii="Times New Roman" w:hAnsi="Times New Roman" w:eastAsia="Arial" w:cs="Times New Roman"/>
                <w:kern w:val="0"/>
                <w:sz w:val="21"/>
                <w:szCs w:val="21"/>
                <w:lang w:eastAsia="en-US"/>
              </w:rPr>
              <w:t>Modrego-Alarcón et al.</w:t>
            </w:r>
          </w:p>
        </w:tc>
        <w:tc>
          <w:tcPr>
            <w:tcW w:w="1417" w:type="dxa"/>
            <w:shd w:val="clear" w:color="auto" w:fill="auto"/>
            <w:tcMar>
              <w:top w:w="38" w:type="dxa"/>
              <w:left w:w="42" w:type="dxa"/>
              <w:bottom w:w="38" w:type="dxa"/>
              <w:right w:w="42" w:type="dxa"/>
            </w:tcMar>
            <w:vAlign w:val="top"/>
          </w:tcPr>
          <w:p w14:paraId="0CFF51B3">
            <w:pPr>
              <w:widowControl/>
              <w:spacing w:before="0" w:after="0" w:line="240" w:lineRule="auto"/>
              <w:jc w:val="left"/>
              <w:rPr>
                <w:rFonts w:hint="default" w:ascii="Times New Roman" w:hAnsi="Times New Roman" w:eastAsia="Arial" w:cs="Times New Roman"/>
                <w:kern w:val="0"/>
                <w:sz w:val="21"/>
                <w:szCs w:val="21"/>
                <w:lang w:eastAsia="en-US"/>
              </w:rPr>
            </w:pPr>
            <w:r>
              <w:rPr>
                <w:rFonts w:hint="default" w:ascii="Times New Roman" w:hAnsi="Times New Roman" w:eastAsia="Arial" w:cs="Times New Roman"/>
                <w:kern w:val="0"/>
                <w:sz w:val="21"/>
                <w:szCs w:val="21"/>
                <w:lang w:eastAsia="en-US"/>
              </w:rPr>
              <w:t>DASS-21</w:t>
            </w:r>
          </w:p>
        </w:tc>
        <w:tc>
          <w:tcPr>
            <w:tcW w:w="3118" w:type="dxa"/>
            <w:shd w:val="clear" w:color="auto" w:fill="auto"/>
            <w:tcMar>
              <w:top w:w="38" w:type="dxa"/>
              <w:left w:w="42" w:type="dxa"/>
              <w:bottom w:w="38" w:type="dxa"/>
              <w:right w:w="42" w:type="dxa"/>
            </w:tcMar>
            <w:vAlign w:val="top"/>
          </w:tcPr>
          <w:p w14:paraId="42E6E136">
            <w:pPr>
              <w:spacing w:before="0" w:after="0" w:line="240" w:lineRule="auto"/>
              <w:jc w:val="left"/>
              <w:rPr>
                <w:rFonts w:hint="default" w:ascii="Times New Roman" w:hAnsi="Times New Roman" w:eastAsia="Arial" w:cs="Times New Roman"/>
                <w:kern w:val="0"/>
                <w:sz w:val="21"/>
                <w:szCs w:val="21"/>
                <w:lang w:eastAsia="en-US"/>
              </w:rPr>
            </w:pPr>
            <w:r>
              <w:rPr>
                <w:rFonts w:ascii="Times New Roman" w:hAnsi="Times New Roman" w:eastAsia="Times New Roman"/>
                <w:b w:val="0"/>
                <w:sz w:val="21"/>
                <w:szCs w:val="21"/>
              </w:rPr>
              <w:t>Yes</w:t>
            </w:r>
          </w:p>
        </w:tc>
        <w:tc>
          <w:tcPr>
            <w:tcW w:w="6803" w:type="dxa"/>
            <w:shd w:val="clear" w:color="auto" w:fill="auto"/>
            <w:tcMar>
              <w:top w:w="38" w:type="dxa"/>
              <w:left w:w="42" w:type="dxa"/>
              <w:bottom w:w="38" w:type="dxa"/>
              <w:right w:w="42" w:type="dxa"/>
            </w:tcMar>
            <w:vAlign w:val="top"/>
          </w:tcPr>
          <w:p w14:paraId="0389AA7C">
            <w:pPr>
              <w:spacing w:before="0" w:after="0" w:line="240" w:lineRule="auto"/>
              <w:jc w:val="left"/>
              <w:rPr>
                <w:rFonts w:hint="default" w:ascii="Times New Roman" w:hAnsi="Times New Roman" w:eastAsia="Arial" w:cs="Times New Roman"/>
                <w:kern w:val="0"/>
                <w:sz w:val="21"/>
                <w:szCs w:val="21"/>
                <w:lang w:eastAsia="en-US"/>
              </w:rPr>
            </w:pPr>
            <w:r>
              <w:rPr>
                <w:rFonts w:ascii="Times New Roman" w:hAnsi="Times New Roman" w:eastAsia="Times New Roman"/>
                <w:b w:val="0"/>
                <w:sz w:val="21"/>
                <w:szCs w:val="21"/>
              </w:rPr>
              <w:t>At the end of the 6-week intervention</w:t>
            </w:r>
          </w:p>
        </w:tc>
        <w:tc>
          <w:tcPr>
            <w:tcW w:w="2409" w:type="dxa"/>
            <w:shd w:val="clear" w:color="auto" w:fill="auto"/>
            <w:tcMar>
              <w:top w:w="38" w:type="dxa"/>
              <w:left w:w="42" w:type="dxa"/>
              <w:bottom w:w="38" w:type="dxa"/>
              <w:right w:w="42" w:type="dxa"/>
            </w:tcMar>
            <w:vAlign w:val="top"/>
          </w:tcPr>
          <w:p w14:paraId="35ACB450">
            <w:pPr>
              <w:widowControl/>
              <w:spacing w:before="0" w:after="0" w:line="240" w:lineRule="auto"/>
              <w:jc w:val="left"/>
              <w:rPr>
                <w:rFonts w:hint="default" w:ascii="Times New Roman" w:hAnsi="Times New Roman" w:eastAsia="Arial" w:cs="Times New Roman"/>
                <w:kern w:val="0"/>
                <w:sz w:val="21"/>
                <w:szCs w:val="21"/>
                <w:lang w:eastAsia="en-US"/>
              </w:rPr>
            </w:pPr>
            <w:r>
              <w:rPr>
                <w:rFonts w:hint="default" w:ascii="Times New Roman" w:hAnsi="Times New Roman" w:eastAsia="Arial" w:cs="Times New Roman"/>
                <w:kern w:val="0"/>
                <w:sz w:val="21"/>
                <w:szCs w:val="21"/>
                <w:lang w:eastAsia="en-US"/>
              </w:rPr>
              <w:t>Program-end/multi-session</w:t>
            </w:r>
          </w:p>
        </w:tc>
      </w:tr>
      <w:tr w14:paraId="5C51F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2551" w:type="dxa"/>
            <w:shd w:val="clear" w:color="auto" w:fill="auto"/>
            <w:tcMar>
              <w:top w:w="38" w:type="dxa"/>
              <w:left w:w="42" w:type="dxa"/>
              <w:bottom w:w="38" w:type="dxa"/>
              <w:right w:w="42" w:type="dxa"/>
            </w:tcMar>
            <w:vAlign w:val="top"/>
          </w:tcPr>
          <w:p w14:paraId="7B965B67">
            <w:pPr>
              <w:widowControl/>
              <w:spacing w:before="0" w:after="0" w:line="240" w:lineRule="auto"/>
              <w:jc w:val="left"/>
              <w:rPr>
                <w:rFonts w:hint="default" w:ascii="Times New Roman" w:hAnsi="Times New Roman" w:eastAsia="Arial" w:cs="Times New Roman"/>
                <w:kern w:val="0"/>
                <w:sz w:val="21"/>
                <w:szCs w:val="21"/>
                <w:lang w:eastAsia="en-US"/>
              </w:rPr>
            </w:pPr>
            <w:r>
              <w:rPr>
                <w:rFonts w:hint="default" w:ascii="Times New Roman" w:hAnsi="Times New Roman" w:eastAsia="Arial" w:cs="Times New Roman"/>
                <w:kern w:val="0"/>
                <w:sz w:val="21"/>
                <w:szCs w:val="21"/>
                <w:lang w:eastAsia="en-US"/>
              </w:rPr>
              <w:t>Rodrigues et al.</w:t>
            </w:r>
          </w:p>
        </w:tc>
        <w:tc>
          <w:tcPr>
            <w:tcW w:w="1417" w:type="dxa"/>
            <w:shd w:val="clear" w:color="auto" w:fill="auto"/>
            <w:tcMar>
              <w:top w:w="38" w:type="dxa"/>
              <w:left w:w="42" w:type="dxa"/>
              <w:bottom w:w="38" w:type="dxa"/>
              <w:right w:w="42" w:type="dxa"/>
            </w:tcMar>
            <w:vAlign w:val="top"/>
          </w:tcPr>
          <w:p w14:paraId="3AE85EAF">
            <w:pPr>
              <w:widowControl/>
              <w:spacing w:before="0" w:after="0" w:line="240" w:lineRule="auto"/>
              <w:jc w:val="left"/>
              <w:rPr>
                <w:rFonts w:hint="default" w:ascii="Times New Roman" w:hAnsi="Times New Roman" w:eastAsia="宋体" w:cs="Times New Roman"/>
                <w:kern w:val="0"/>
                <w:sz w:val="21"/>
                <w:szCs w:val="21"/>
                <w:lang w:val="en-US" w:eastAsia="zh-CN"/>
              </w:rPr>
            </w:pPr>
            <w:r>
              <w:rPr>
                <w:rFonts w:hint="default" w:ascii="Times New Roman" w:hAnsi="Times New Roman" w:eastAsia="宋体" w:cs="Times New Roman"/>
                <w:kern w:val="0"/>
                <w:sz w:val="21"/>
                <w:szCs w:val="21"/>
                <w:lang w:val="en-US" w:eastAsia="zh-CN"/>
              </w:rPr>
              <w:t>ESRS</w:t>
            </w:r>
          </w:p>
        </w:tc>
        <w:tc>
          <w:tcPr>
            <w:tcW w:w="3118" w:type="dxa"/>
            <w:shd w:val="clear" w:color="auto" w:fill="auto"/>
            <w:tcMar>
              <w:top w:w="38" w:type="dxa"/>
              <w:left w:w="42" w:type="dxa"/>
              <w:bottom w:w="38" w:type="dxa"/>
              <w:right w:w="42" w:type="dxa"/>
            </w:tcMar>
            <w:vAlign w:val="top"/>
          </w:tcPr>
          <w:p w14:paraId="0AB2BB0D">
            <w:pPr>
              <w:spacing w:before="0" w:after="0" w:line="240" w:lineRule="auto"/>
              <w:jc w:val="left"/>
              <w:rPr>
                <w:rFonts w:hint="default" w:ascii="Times New Roman" w:hAnsi="Times New Roman" w:eastAsia="宋体" w:cs="Times New Roman"/>
                <w:kern w:val="0"/>
                <w:sz w:val="21"/>
                <w:szCs w:val="21"/>
                <w:lang w:val="en-US" w:eastAsia="zh-CN"/>
              </w:rPr>
            </w:pPr>
            <w:r>
              <w:rPr>
                <w:rFonts w:ascii="Times New Roman" w:hAnsi="Times New Roman" w:eastAsia="Times New Roman"/>
                <w:b w:val="0"/>
                <w:sz w:val="21"/>
                <w:szCs w:val="21"/>
              </w:rPr>
              <w:t>Yes</w:t>
            </w:r>
          </w:p>
        </w:tc>
        <w:tc>
          <w:tcPr>
            <w:tcW w:w="6803" w:type="dxa"/>
            <w:shd w:val="clear" w:color="auto" w:fill="auto"/>
            <w:tcMar>
              <w:top w:w="38" w:type="dxa"/>
              <w:left w:w="42" w:type="dxa"/>
              <w:bottom w:w="38" w:type="dxa"/>
              <w:right w:w="42" w:type="dxa"/>
            </w:tcMar>
            <w:vAlign w:val="top"/>
          </w:tcPr>
          <w:p w14:paraId="7BBE17F3">
            <w:pPr>
              <w:spacing w:before="0" w:after="0" w:line="240" w:lineRule="auto"/>
              <w:jc w:val="left"/>
              <w:rPr>
                <w:rFonts w:hint="default" w:ascii="Times New Roman" w:hAnsi="Times New Roman" w:eastAsia="Arial" w:cs="Times New Roman"/>
                <w:kern w:val="0"/>
                <w:sz w:val="21"/>
                <w:szCs w:val="21"/>
                <w:lang w:eastAsia="en-US"/>
              </w:rPr>
            </w:pPr>
            <w:r>
              <w:rPr>
                <w:rFonts w:ascii="Times New Roman" w:hAnsi="Times New Roman" w:eastAsia="Times New Roman"/>
                <w:b w:val="0"/>
                <w:sz w:val="21"/>
                <w:szCs w:val="21"/>
              </w:rPr>
              <w:t>Immediately after the single 10-min VR session</w:t>
            </w:r>
          </w:p>
        </w:tc>
        <w:tc>
          <w:tcPr>
            <w:tcW w:w="2409" w:type="dxa"/>
            <w:shd w:val="clear" w:color="auto" w:fill="auto"/>
            <w:tcMar>
              <w:top w:w="38" w:type="dxa"/>
              <w:left w:w="42" w:type="dxa"/>
              <w:bottom w:w="38" w:type="dxa"/>
              <w:right w:w="42" w:type="dxa"/>
            </w:tcMar>
            <w:vAlign w:val="top"/>
          </w:tcPr>
          <w:p w14:paraId="5367AB8E">
            <w:pPr>
              <w:widowControl/>
              <w:spacing w:before="0" w:after="0" w:line="240" w:lineRule="auto"/>
              <w:jc w:val="left"/>
              <w:rPr>
                <w:rFonts w:hint="default" w:ascii="Times New Roman" w:hAnsi="Times New Roman" w:eastAsia="Arial" w:cs="Times New Roman"/>
                <w:kern w:val="0"/>
                <w:sz w:val="21"/>
                <w:szCs w:val="21"/>
                <w:lang w:eastAsia="en-US"/>
              </w:rPr>
            </w:pPr>
            <w:r>
              <w:rPr>
                <w:rFonts w:hint="default" w:ascii="Times New Roman" w:hAnsi="Times New Roman" w:eastAsia="Arial" w:cs="Times New Roman"/>
                <w:kern w:val="0"/>
                <w:sz w:val="21"/>
                <w:szCs w:val="21"/>
                <w:lang w:eastAsia="en-US"/>
              </w:rPr>
              <w:t>Acute/discrete-session</w:t>
            </w:r>
          </w:p>
        </w:tc>
      </w:tr>
      <w:tr w14:paraId="7A0E9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2551" w:type="dxa"/>
            <w:shd w:val="clear" w:color="auto" w:fill="auto"/>
            <w:tcMar>
              <w:top w:w="38" w:type="dxa"/>
              <w:left w:w="42" w:type="dxa"/>
              <w:bottom w:w="38" w:type="dxa"/>
              <w:right w:w="42" w:type="dxa"/>
            </w:tcMar>
            <w:vAlign w:val="top"/>
          </w:tcPr>
          <w:p w14:paraId="72899B24">
            <w:pPr>
              <w:widowControl/>
              <w:spacing w:before="0" w:after="0" w:line="240" w:lineRule="auto"/>
              <w:jc w:val="left"/>
              <w:rPr>
                <w:rFonts w:hint="default" w:ascii="Times New Roman" w:hAnsi="Times New Roman" w:eastAsia="宋体" w:cs="Times New Roman"/>
                <w:kern w:val="0"/>
                <w:sz w:val="21"/>
                <w:szCs w:val="21"/>
                <w:lang w:val="en-US" w:eastAsia="zh-CN"/>
              </w:rPr>
            </w:pPr>
            <w:r>
              <w:rPr>
                <w:rFonts w:hint="default" w:ascii="Times New Roman" w:hAnsi="Times New Roman" w:eastAsia="Arial" w:cs="Times New Roman"/>
                <w:kern w:val="0"/>
                <w:sz w:val="21"/>
                <w:szCs w:val="21"/>
                <w:lang w:eastAsia="en-US"/>
              </w:rPr>
              <w:t>Cinalioglu</w:t>
            </w:r>
            <w:r>
              <w:rPr>
                <w:rFonts w:hint="default" w:ascii="Times New Roman" w:hAnsi="Times New Roman" w:eastAsia="宋体" w:cs="Times New Roman"/>
                <w:kern w:val="0"/>
                <w:sz w:val="21"/>
                <w:szCs w:val="21"/>
                <w:lang w:val="en-US" w:eastAsia="zh-CN"/>
              </w:rPr>
              <w:t xml:space="preserve"> et al.</w:t>
            </w:r>
          </w:p>
        </w:tc>
        <w:tc>
          <w:tcPr>
            <w:tcW w:w="1417" w:type="dxa"/>
            <w:shd w:val="clear" w:color="auto" w:fill="auto"/>
            <w:tcMar>
              <w:top w:w="38" w:type="dxa"/>
              <w:left w:w="42" w:type="dxa"/>
              <w:bottom w:w="38" w:type="dxa"/>
              <w:right w:w="42" w:type="dxa"/>
            </w:tcMar>
            <w:vAlign w:val="top"/>
          </w:tcPr>
          <w:p w14:paraId="4530CC4D">
            <w:pPr>
              <w:widowControl/>
              <w:spacing w:before="0" w:after="0" w:line="240" w:lineRule="auto"/>
              <w:jc w:val="left"/>
              <w:rPr>
                <w:rFonts w:hint="default" w:ascii="Times New Roman" w:hAnsi="Times New Roman" w:eastAsia="Arial" w:cs="Times New Roman"/>
                <w:kern w:val="0"/>
                <w:sz w:val="21"/>
                <w:szCs w:val="21"/>
                <w:lang w:eastAsia="en-US"/>
              </w:rPr>
            </w:pPr>
            <w:r>
              <w:rPr>
                <w:rFonts w:hint="default" w:ascii="Times New Roman" w:hAnsi="Times New Roman" w:eastAsia="Arial" w:cs="Times New Roman"/>
                <w:kern w:val="0"/>
                <w:sz w:val="21"/>
                <w:szCs w:val="21"/>
                <w:lang w:eastAsia="en-US"/>
              </w:rPr>
              <w:t>GAD-7</w:t>
            </w:r>
          </w:p>
        </w:tc>
        <w:tc>
          <w:tcPr>
            <w:tcW w:w="3118" w:type="dxa"/>
            <w:shd w:val="clear" w:color="auto" w:fill="auto"/>
            <w:tcMar>
              <w:top w:w="38" w:type="dxa"/>
              <w:left w:w="42" w:type="dxa"/>
              <w:bottom w:w="38" w:type="dxa"/>
              <w:right w:w="42" w:type="dxa"/>
            </w:tcMar>
            <w:vAlign w:val="top"/>
          </w:tcPr>
          <w:p w14:paraId="0AD9026A">
            <w:pPr>
              <w:spacing w:before="0" w:after="0" w:line="240" w:lineRule="auto"/>
              <w:jc w:val="left"/>
              <w:rPr>
                <w:rFonts w:hint="default" w:ascii="Times New Roman" w:hAnsi="Times New Roman" w:eastAsia="Arial" w:cs="Times New Roman"/>
                <w:kern w:val="0"/>
                <w:sz w:val="21"/>
                <w:szCs w:val="21"/>
                <w:lang w:eastAsia="en-US"/>
              </w:rPr>
            </w:pPr>
            <w:r>
              <w:rPr>
                <w:rFonts w:ascii="Times New Roman" w:hAnsi="Times New Roman" w:eastAsia="Times New Roman"/>
                <w:b w:val="0"/>
                <w:sz w:val="21"/>
                <w:szCs w:val="21"/>
              </w:rPr>
              <w:t>Yes</w:t>
            </w:r>
          </w:p>
        </w:tc>
        <w:tc>
          <w:tcPr>
            <w:tcW w:w="6803" w:type="dxa"/>
            <w:shd w:val="clear" w:color="auto" w:fill="auto"/>
            <w:tcMar>
              <w:top w:w="38" w:type="dxa"/>
              <w:left w:w="42" w:type="dxa"/>
              <w:bottom w:w="38" w:type="dxa"/>
              <w:right w:w="42" w:type="dxa"/>
            </w:tcMar>
            <w:vAlign w:val="top"/>
          </w:tcPr>
          <w:p w14:paraId="7B1B25D9">
            <w:pPr>
              <w:spacing w:before="0" w:after="0" w:line="240" w:lineRule="auto"/>
              <w:jc w:val="left"/>
              <w:rPr>
                <w:rFonts w:hint="default" w:ascii="Times New Roman" w:hAnsi="Times New Roman" w:eastAsia="Arial" w:cs="Times New Roman"/>
                <w:kern w:val="0"/>
                <w:sz w:val="21"/>
                <w:szCs w:val="21"/>
                <w:lang w:eastAsia="en-US"/>
              </w:rPr>
            </w:pPr>
            <w:r>
              <w:rPr>
                <w:rFonts w:ascii="Times New Roman" w:hAnsi="Times New Roman" w:eastAsia="Times New Roman"/>
                <w:b w:val="0"/>
                <w:sz w:val="21"/>
                <w:szCs w:val="21"/>
              </w:rPr>
              <w:t>At the end of the 4-week intervention</w:t>
            </w:r>
          </w:p>
        </w:tc>
        <w:tc>
          <w:tcPr>
            <w:tcW w:w="2409" w:type="dxa"/>
            <w:shd w:val="clear" w:color="auto" w:fill="auto"/>
            <w:tcMar>
              <w:top w:w="38" w:type="dxa"/>
              <w:left w:w="42" w:type="dxa"/>
              <w:bottom w:w="38" w:type="dxa"/>
              <w:right w:w="42" w:type="dxa"/>
            </w:tcMar>
            <w:vAlign w:val="top"/>
          </w:tcPr>
          <w:p w14:paraId="333A8EBE">
            <w:pPr>
              <w:widowControl/>
              <w:spacing w:before="0" w:after="0" w:line="240" w:lineRule="auto"/>
              <w:jc w:val="left"/>
              <w:rPr>
                <w:rFonts w:hint="default" w:ascii="Times New Roman" w:hAnsi="Times New Roman" w:eastAsia="Arial" w:cs="Times New Roman"/>
                <w:kern w:val="0"/>
                <w:sz w:val="21"/>
                <w:szCs w:val="21"/>
                <w:lang w:eastAsia="en-US"/>
              </w:rPr>
            </w:pPr>
            <w:r>
              <w:rPr>
                <w:rFonts w:hint="default" w:ascii="Times New Roman" w:hAnsi="Times New Roman" w:eastAsia="Arial" w:cs="Times New Roman"/>
                <w:kern w:val="0"/>
                <w:sz w:val="21"/>
                <w:szCs w:val="21"/>
                <w:lang w:eastAsia="en-US"/>
              </w:rPr>
              <w:t>Program-end/multi-session</w:t>
            </w:r>
          </w:p>
        </w:tc>
      </w:tr>
      <w:tr w14:paraId="1DF30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shd w:val="clear" w:color="auto" w:fill="auto"/>
            <w:tcMar>
              <w:top w:w="38" w:type="dxa"/>
              <w:left w:w="42" w:type="dxa"/>
              <w:bottom w:w="38" w:type="dxa"/>
              <w:right w:w="42" w:type="dxa"/>
            </w:tcMar>
            <w:vAlign w:val="top"/>
          </w:tcPr>
          <w:p w14:paraId="0CA4BDF6">
            <w:pPr>
              <w:widowControl/>
              <w:spacing w:before="0" w:after="0" w:line="240" w:lineRule="auto"/>
              <w:jc w:val="left"/>
              <w:rPr>
                <w:rFonts w:hint="default" w:ascii="Times New Roman" w:hAnsi="Times New Roman" w:eastAsia="Arial" w:cs="Times New Roman"/>
                <w:kern w:val="0"/>
                <w:sz w:val="21"/>
                <w:szCs w:val="21"/>
                <w:lang w:eastAsia="en-US"/>
              </w:rPr>
            </w:pPr>
            <w:r>
              <w:rPr>
                <w:rFonts w:hint="default" w:ascii="Times New Roman" w:hAnsi="Times New Roman" w:eastAsia="Arial" w:cs="Times New Roman"/>
                <w:kern w:val="0"/>
                <w:sz w:val="21"/>
                <w:szCs w:val="21"/>
                <w:lang w:eastAsia="en-US"/>
              </w:rPr>
              <w:t>Navarro-Haro et al.</w:t>
            </w:r>
          </w:p>
        </w:tc>
        <w:tc>
          <w:tcPr>
            <w:tcW w:w="1417" w:type="dxa"/>
            <w:shd w:val="clear" w:color="auto" w:fill="auto"/>
            <w:tcMar>
              <w:top w:w="38" w:type="dxa"/>
              <w:left w:w="42" w:type="dxa"/>
              <w:bottom w:w="38" w:type="dxa"/>
              <w:right w:w="42" w:type="dxa"/>
            </w:tcMar>
            <w:vAlign w:val="top"/>
          </w:tcPr>
          <w:p w14:paraId="2A682A73">
            <w:pPr>
              <w:widowControl/>
              <w:spacing w:before="0" w:after="0" w:line="240" w:lineRule="auto"/>
              <w:jc w:val="left"/>
              <w:rPr>
                <w:rFonts w:hint="default" w:ascii="Times New Roman" w:hAnsi="Times New Roman" w:eastAsia="Arial" w:cs="Times New Roman"/>
                <w:kern w:val="0"/>
                <w:sz w:val="21"/>
                <w:szCs w:val="21"/>
                <w:lang w:eastAsia="en-US"/>
              </w:rPr>
            </w:pPr>
            <w:r>
              <w:rPr>
                <w:rFonts w:hint="default" w:ascii="Times New Roman" w:hAnsi="Times New Roman" w:eastAsia="Arial" w:cs="Times New Roman"/>
                <w:kern w:val="0"/>
                <w:sz w:val="21"/>
                <w:szCs w:val="21"/>
                <w:lang w:eastAsia="en-US"/>
              </w:rPr>
              <w:t>GAD-7</w:t>
            </w:r>
          </w:p>
        </w:tc>
        <w:tc>
          <w:tcPr>
            <w:tcW w:w="3118" w:type="dxa"/>
            <w:shd w:val="clear" w:color="auto" w:fill="auto"/>
            <w:tcMar>
              <w:top w:w="38" w:type="dxa"/>
              <w:left w:w="42" w:type="dxa"/>
              <w:bottom w:w="38" w:type="dxa"/>
              <w:right w:w="42" w:type="dxa"/>
            </w:tcMar>
            <w:vAlign w:val="top"/>
          </w:tcPr>
          <w:p w14:paraId="16417539">
            <w:pPr>
              <w:spacing w:before="0" w:after="0" w:line="240" w:lineRule="auto"/>
              <w:jc w:val="left"/>
              <w:rPr>
                <w:rFonts w:hint="default" w:ascii="Times New Roman" w:hAnsi="Times New Roman" w:eastAsia="Arial" w:cs="Times New Roman"/>
                <w:kern w:val="0"/>
                <w:sz w:val="21"/>
                <w:szCs w:val="21"/>
                <w:lang w:eastAsia="en-US"/>
              </w:rPr>
            </w:pPr>
            <w:r>
              <w:rPr>
                <w:rFonts w:ascii="Times New Roman" w:hAnsi="Times New Roman" w:eastAsia="Times New Roman"/>
                <w:b w:val="0"/>
                <w:sz w:val="21"/>
                <w:szCs w:val="21"/>
              </w:rPr>
              <w:t>Yes</w:t>
            </w:r>
          </w:p>
        </w:tc>
        <w:tc>
          <w:tcPr>
            <w:tcW w:w="6803" w:type="dxa"/>
            <w:shd w:val="clear" w:color="auto" w:fill="auto"/>
            <w:tcMar>
              <w:top w:w="38" w:type="dxa"/>
              <w:left w:w="42" w:type="dxa"/>
              <w:bottom w:w="38" w:type="dxa"/>
              <w:right w:w="42" w:type="dxa"/>
            </w:tcMar>
            <w:vAlign w:val="top"/>
          </w:tcPr>
          <w:p w14:paraId="2FC1A61A">
            <w:pPr>
              <w:spacing w:before="0" w:after="0" w:line="240" w:lineRule="auto"/>
              <w:jc w:val="left"/>
              <w:rPr>
                <w:rFonts w:hint="default" w:ascii="Times New Roman" w:hAnsi="Times New Roman" w:eastAsia="Arial" w:cs="Times New Roman"/>
                <w:kern w:val="0"/>
                <w:sz w:val="21"/>
                <w:szCs w:val="21"/>
                <w:lang w:eastAsia="en-US"/>
              </w:rPr>
            </w:pPr>
            <w:r>
              <w:rPr>
                <w:rFonts w:ascii="Times New Roman" w:hAnsi="Times New Roman" w:eastAsia="Times New Roman"/>
                <w:b w:val="0"/>
                <w:sz w:val="21"/>
                <w:szCs w:val="21"/>
              </w:rPr>
              <w:t>At the end of the 6-week intervention</w:t>
            </w:r>
          </w:p>
        </w:tc>
        <w:tc>
          <w:tcPr>
            <w:tcW w:w="2409" w:type="dxa"/>
            <w:shd w:val="clear" w:color="auto" w:fill="auto"/>
            <w:tcMar>
              <w:top w:w="38" w:type="dxa"/>
              <w:left w:w="42" w:type="dxa"/>
              <w:bottom w:w="38" w:type="dxa"/>
              <w:right w:w="42" w:type="dxa"/>
            </w:tcMar>
            <w:vAlign w:val="top"/>
          </w:tcPr>
          <w:p w14:paraId="5365A1CA">
            <w:pPr>
              <w:widowControl/>
              <w:spacing w:before="0" w:after="0" w:line="240" w:lineRule="auto"/>
              <w:jc w:val="left"/>
              <w:rPr>
                <w:rFonts w:hint="default" w:ascii="Times New Roman" w:hAnsi="Times New Roman" w:eastAsia="Arial" w:cs="Times New Roman"/>
                <w:kern w:val="0"/>
                <w:sz w:val="21"/>
                <w:szCs w:val="21"/>
                <w:lang w:eastAsia="en-US"/>
              </w:rPr>
            </w:pPr>
            <w:r>
              <w:rPr>
                <w:rFonts w:hint="default" w:ascii="Times New Roman" w:hAnsi="Times New Roman" w:eastAsia="Arial" w:cs="Times New Roman"/>
                <w:kern w:val="0"/>
                <w:sz w:val="21"/>
                <w:szCs w:val="21"/>
                <w:lang w:eastAsia="en-US"/>
              </w:rPr>
              <w:t>Program-end/multi-session</w:t>
            </w:r>
          </w:p>
        </w:tc>
      </w:tr>
      <w:tr w14:paraId="4A31F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shd w:val="clear" w:color="auto" w:fill="auto"/>
            <w:tcMar>
              <w:top w:w="38" w:type="dxa"/>
              <w:left w:w="42" w:type="dxa"/>
              <w:bottom w:w="38" w:type="dxa"/>
              <w:right w:w="42" w:type="dxa"/>
            </w:tcMar>
            <w:vAlign w:val="top"/>
          </w:tcPr>
          <w:p w14:paraId="5C35CE89">
            <w:pPr>
              <w:widowControl/>
              <w:spacing w:before="0" w:after="0" w:line="240" w:lineRule="auto"/>
              <w:jc w:val="left"/>
              <w:rPr>
                <w:rFonts w:hint="default" w:ascii="Times New Roman" w:hAnsi="Times New Roman" w:eastAsia="Arial" w:cs="Times New Roman"/>
                <w:kern w:val="0"/>
                <w:sz w:val="21"/>
                <w:szCs w:val="21"/>
                <w:lang w:val="en-US" w:eastAsia="en-US" w:bidi="ar-SA"/>
              </w:rPr>
            </w:pPr>
            <w:r>
              <w:rPr>
                <w:rFonts w:hint="default" w:ascii="Times New Roman" w:hAnsi="Times New Roman" w:eastAsia="Arial" w:cs="Times New Roman"/>
                <w:kern w:val="0"/>
                <w:sz w:val="21"/>
                <w:szCs w:val="21"/>
                <w:lang w:eastAsia="en-US"/>
              </w:rPr>
              <w:t>Doncker et al.</w:t>
            </w:r>
          </w:p>
        </w:tc>
        <w:tc>
          <w:tcPr>
            <w:tcW w:w="1417" w:type="dxa"/>
            <w:shd w:val="clear" w:color="auto" w:fill="auto"/>
            <w:tcMar>
              <w:top w:w="38" w:type="dxa"/>
              <w:left w:w="42" w:type="dxa"/>
              <w:bottom w:w="38" w:type="dxa"/>
              <w:right w:w="42" w:type="dxa"/>
            </w:tcMar>
            <w:vAlign w:val="top"/>
          </w:tcPr>
          <w:p w14:paraId="51696CDF">
            <w:pPr>
              <w:widowControl/>
              <w:spacing w:before="0" w:after="0" w:line="240" w:lineRule="auto"/>
              <w:jc w:val="left"/>
              <w:rPr>
                <w:rFonts w:hint="default" w:ascii="Times New Roman" w:hAnsi="Times New Roman" w:eastAsia="宋体" w:cs="Times New Roman"/>
                <w:kern w:val="0"/>
                <w:sz w:val="21"/>
                <w:szCs w:val="21"/>
                <w:lang w:val="en-US" w:eastAsia="zh-CN" w:bidi="ar-SA"/>
              </w:rPr>
            </w:pPr>
            <w:r>
              <w:rPr>
                <w:rFonts w:hint="default" w:ascii="Times New Roman" w:hAnsi="Times New Roman" w:eastAsia="Arial" w:cs="Times New Roman"/>
                <w:kern w:val="0"/>
                <w:sz w:val="21"/>
                <w:szCs w:val="21"/>
                <w:lang w:eastAsia="en-US"/>
              </w:rPr>
              <w:t>STAI-S</w:t>
            </w:r>
            <w:r>
              <w:rPr>
                <w:rFonts w:hint="default" w:ascii="Times New Roman" w:hAnsi="Times New Roman" w:eastAsia="宋体" w:cs="Times New Roman"/>
                <w:kern w:val="0"/>
                <w:sz w:val="21"/>
                <w:szCs w:val="21"/>
                <w:lang w:val="en-US" w:eastAsia="zh-CN"/>
              </w:rPr>
              <w:t>AI</w:t>
            </w:r>
          </w:p>
        </w:tc>
        <w:tc>
          <w:tcPr>
            <w:tcW w:w="3118" w:type="dxa"/>
            <w:shd w:val="clear" w:color="auto" w:fill="auto"/>
            <w:tcMar>
              <w:top w:w="38" w:type="dxa"/>
              <w:left w:w="42" w:type="dxa"/>
              <w:bottom w:w="38" w:type="dxa"/>
              <w:right w:w="42" w:type="dxa"/>
            </w:tcMar>
            <w:vAlign w:val="top"/>
          </w:tcPr>
          <w:p w14:paraId="11F3FB73">
            <w:pPr>
              <w:spacing w:before="0" w:after="0" w:line="240" w:lineRule="auto"/>
              <w:jc w:val="left"/>
              <w:rPr>
                <w:rFonts w:hint="default" w:ascii="Times New Roman" w:hAnsi="Times New Roman" w:eastAsia="Arial" w:cs="Times New Roman"/>
                <w:kern w:val="0"/>
                <w:sz w:val="21"/>
                <w:szCs w:val="21"/>
                <w:lang w:eastAsia="en-US"/>
              </w:rPr>
            </w:pPr>
            <w:r>
              <w:rPr>
                <w:rFonts w:ascii="Times New Roman" w:hAnsi="Times New Roman" w:eastAsia="Times New Roman"/>
                <w:b w:val="0"/>
                <w:sz w:val="21"/>
                <w:szCs w:val="21"/>
              </w:rPr>
              <w:t>Yes</w:t>
            </w:r>
          </w:p>
        </w:tc>
        <w:tc>
          <w:tcPr>
            <w:tcW w:w="6803" w:type="dxa"/>
            <w:shd w:val="clear" w:color="auto" w:fill="auto"/>
            <w:tcMar>
              <w:top w:w="38" w:type="dxa"/>
              <w:left w:w="42" w:type="dxa"/>
              <w:bottom w:w="38" w:type="dxa"/>
              <w:right w:w="42" w:type="dxa"/>
            </w:tcMar>
            <w:vAlign w:val="top"/>
          </w:tcPr>
          <w:p w14:paraId="63272416">
            <w:pPr>
              <w:spacing w:before="0" w:after="0" w:line="240" w:lineRule="auto"/>
              <w:jc w:val="left"/>
              <w:rPr>
                <w:rFonts w:hint="default" w:ascii="Times New Roman" w:hAnsi="Times New Roman" w:eastAsia="Arial" w:cs="Times New Roman"/>
                <w:kern w:val="0"/>
                <w:sz w:val="21"/>
                <w:szCs w:val="21"/>
                <w:lang w:val="en-US" w:eastAsia="en-US" w:bidi="ar-SA"/>
              </w:rPr>
            </w:pPr>
            <w:r>
              <w:rPr>
                <w:rFonts w:ascii="Times New Roman" w:hAnsi="Times New Roman" w:eastAsia="Times New Roman"/>
                <w:b w:val="0"/>
                <w:sz w:val="21"/>
                <w:szCs w:val="21"/>
              </w:rPr>
              <w:t>Day 1, 15 min after the first VRH/control session</w:t>
            </w:r>
          </w:p>
        </w:tc>
        <w:tc>
          <w:tcPr>
            <w:tcW w:w="2409" w:type="dxa"/>
            <w:shd w:val="clear" w:color="auto" w:fill="auto"/>
            <w:tcMar>
              <w:top w:w="38" w:type="dxa"/>
              <w:left w:w="42" w:type="dxa"/>
              <w:bottom w:w="38" w:type="dxa"/>
              <w:right w:w="42" w:type="dxa"/>
            </w:tcMar>
            <w:vAlign w:val="top"/>
          </w:tcPr>
          <w:p w14:paraId="487EFF8E">
            <w:pPr>
              <w:widowControl/>
              <w:spacing w:before="0" w:after="0" w:line="240" w:lineRule="auto"/>
              <w:jc w:val="left"/>
              <w:rPr>
                <w:rFonts w:hint="default" w:ascii="Times New Roman" w:hAnsi="Times New Roman" w:eastAsia="Arial" w:cs="Times New Roman"/>
                <w:kern w:val="0"/>
                <w:sz w:val="21"/>
                <w:szCs w:val="21"/>
                <w:lang w:val="en-US" w:eastAsia="en-US" w:bidi="ar-SA"/>
              </w:rPr>
            </w:pPr>
            <w:r>
              <w:rPr>
                <w:rFonts w:hint="default" w:ascii="Times New Roman" w:hAnsi="Times New Roman" w:eastAsia="Arial" w:cs="Times New Roman"/>
                <w:kern w:val="0"/>
                <w:sz w:val="21"/>
                <w:szCs w:val="21"/>
                <w:lang w:eastAsia="en-US"/>
              </w:rPr>
              <w:t>Acute/discrete-session</w:t>
            </w:r>
          </w:p>
        </w:tc>
      </w:tr>
      <w:tr w14:paraId="3A269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2551" w:type="dxa"/>
            <w:shd w:val="clear" w:color="auto" w:fill="auto"/>
            <w:tcMar>
              <w:top w:w="38" w:type="dxa"/>
              <w:left w:w="42" w:type="dxa"/>
              <w:bottom w:w="38" w:type="dxa"/>
              <w:right w:w="42" w:type="dxa"/>
            </w:tcMar>
            <w:vAlign w:val="top"/>
          </w:tcPr>
          <w:p w14:paraId="60081A3E">
            <w:pPr>
              <w:widowControl/>
              <w:spacing w:before="0" w:after="0" w:line="240" w:lineRule="auto"/>
              <w:jc w:val="left"/>
              <w:rPr>
                <w:rFonts w:hint="default" w:ascii="Times New Roman" w:hAnsi="Times New Roman" w:eastAsia="Arial" w:cs="Times New Roman"/>
                <w:kern w:val="0"/>
                <w:sz w:val="21"/>
                <w:szCs w:val="21"/>
                <w:lang w:val="en-US" w:eastAsia="en-US" w:bidi="ar-SA"/>
              </w:rPr>
            </w:pPr>
            <w:r>
              <w:rPr>
                <w:rFonts w:hint="default" w:ascii="Times New Roman" w:hAnsi="Times New Roman" w:eastAsia="Arial" w:cs="Times New Roman"/>
                <w:kern w:val="0"/>
                <w:sz w:val="21"/>
                <w:szCs w:val="21"/>
                <w:lang w:eastAsia="en-US"/>
              </w:rPr>
              <w:t>Menekseoglu et al.</w:t>
            </w:r>
          </w:p>
        </w:tc>
        <w:tc>
          <w:tcPr>
            <w:tcW w:w="1417" w:type="dxa"/>
            <w:shd w:val="clear" w:color="auto" w:fill="auto"/>
            <w:tcMar>
              <w:top w:w="38" w:type="dxa"/>
              <w:left w:w="42" w:type="dxa"/>
              <w:bottom w:w="38" w:type="dxa"/>
              <w:right w:w="42" w:type="dxa"/>
            </w:tcMar>
            <w:vAlign w:val="top"/>
          </w:tcPr>
          <w:p w14:paraId="01E20D17">
            <w:pPr>
              <w:widowControl/>
              <w:spacing w:before="0" w:after="0" w:line="240" w:lineRule="auto"/>
              <w:jc w:val="left"/>
              <w:rPr>
                <w:rFonts w:hint="default" w:ascii="Times New Roman" w:hAnsi="Times New Roman" w:eastAsia="Arial" w:cs="Times New Roman"/>
                <w:kern w:val="0"/>
                <w:sz w:val="21"/>
                <w:szCs w:val="21"/>
                <w:lang w:val="en-US" w:eastAsia="en-US" w:bidi="ar-SA"/>
              </w:rPr>
            </w:pPr>
            <w:r>
              <w:rPr>
                <w:rFonts w:hint="default" w:ascii="Times New Roman" w:hAnsi="Times New Roman" w:eastAsia="Arial" w:cs="Times New Roman"/>
                <w:kern w:val="0"/>
                <w:sz w:val="21"/>
                <w:szCs w:val="21"/>
                <w:lang w:eastAsia="en-US"/>
              </w:rPr>
              <w:t>HADS-A</w:t>
            </w:r>
          </w:p>
        </w:tc>
        <w:tc>
          <w:tcPr>
            <w:tcW w:w="3118" w:type="dxa"/>
            <w:shd w:val="clear" w:color="auto" w:fill="auto"/>
            <w:tcMar>
              <w:top w:w="38" w:type="dxa"/>
              <w:left w:w="42" w:type="dxa"/>
              <w:bottom w:w="38" w:type="dxa"/>
              <w:right w:w="42" w:type="dxa"/>
            </w:tcMar>
            <w:vAlign w:val="top"/>
          </w:tcPr>
          <w:p w14:paraId="3EE4DF47">
            <w:pPr>
              <w:spacing w:before="0" w:after="0" w:line="240" w:lineRule="auto"/>
              <w:jc w:val="left"/>
              <w:rPr>
                <w:rFonts w:hint="default" w:ascii="Times New Roman" w:hAnsi="Times New Roman" w:eastAsia="Arial" w:cs="Times New Roman"/>
                <w:kern w:val="0"/>
                <w:sz w:val="21"/>
                <w:szCs w:val="21"/>
                <w:lang w:eastAsia="en-US"/>
              </w:rPr>
            </w:pPr>
            <w:r>
              <w:rPr>
                <w:rFonts w:ascii="Times New Roman" w:hAnsi="Times New Roman" w:eastAsia="Times New Roman"/>
                <w:b w:val="0"/>
                <w:sz w:val="21"/>
                <w:szCs w:val="21"/>
              </w:rPr>
              <w:t>Yes</w:t>
            </w:r>
          </w:p>
        </w:tc>
        <w:tc>
          <w:tcPr>
            <w:tcW w:w="6803" w:type="dxa"/>
            <w:shd w:val="clear" w:color="auto" w:fill="auto"/>
            <w:tcMar>
              <w:top w:w="38" w:type="dxa"/>
              <w:left w:w="42" w:type="dxa"/>
              <w:bottom w:w="38" w:type="dxa"/>
              <w:right w:w="42" w:type="dxa"/>
            </w:tcMar>
            <w:vAlign w:val="top"/>
          </w:tcPr>
          <w:p w14:paraId="66ED1FFD">
            <w:pPr>
              <w:spacing w:before="0" w:after="0" w:line="240" w:lineRule="auto"/>
              <w:jc w:val="left"/>
              <w:rPr>
                <w:rFonts w:hint="default" w:ascii="Times New Roman" w:hAnsi="Times New Roman" w:eastAsia="Arial" w:cs="Times New Roman"/>
                <w:kern w:val="0"/>
                <w:sz w:val="21"/>
                <w:szCs w:val="21"/>
                <w:lang w:val="en-US" w:eastAsia="en-US" w:bidi="ar-SA"/>
              </w:rPr>
            </w:pPr>
            <w:r>
              <w:rPr>
                <w:rFonts w:ascii="Times New Roman" w:hAnsi="Times New Roman" w:eastAsia="Times New Roman"/>
                <w:b w:val="0"/>
                <w:sz w:val="21"/>
                <w:szCs w:val="21"/>
              </w:rPr>
              <w:t>At the end of the 3-week intervention</w:t>
            </w:r>
          </w:p>
        </w:tc>
        <w:tc>
          <w:tcPr>
            <w:tcW w:w="2409" w:type="dxa"/>
            <w:shd w:val="clear" w:color="auto" w:fill="auto"/>
            <w:tcMar>
              <w:top w:w="38" w:type="dxa"/>
              <w:left w:w="42" w:type="dxa"/>
              <w:bottom w:w="38" w:type="dxa"/>
              <w:right w:w="42" w:type="dxa"/>
            </w:tcMar>
            <w:vAlign w:val="top"/>
          </w:tcPr>
          <w:p w14:paraId="725108E8">
            <w:pPr>
              <w:widowControl/>
              <w:spacing w:before="0" w:after="0" w:line="240" w:lineRule="auto"/>
              <w:jc w:val="left"/>
              <w:rPr>
                <w:rFonts w:hint="default" w:ascii="Times New Roman" w:hAnsi="Times New Roman" w:eastAsia="Arial" w:cs="Times New Roman"/>
                <w:kern w:val="0"/>
                <w:sz w:val="21"/>
                <w:szCs w:val="21"/>
                <w:lang w:val="en-US" w:eastAsia="en-US" w:bidi="ar-SA"/>
              </w:rPr>
            </w:pPr>
            <w:r>
              <w:rPr>
                <w:rFonts w:hint="default" w:ascii="Times New Roman" w:hAnsi="Times New Roman" w:eastAsia="Arial" w:cs="Times New Roman"/>
                <w:kern w:val="0"/>
                <w:sz w:val="21"/>
                <w:szCs w:val="21"/>
                <w:lang w:eastAsia="en-US"/>
              </w:rPr>
              <w:t>Program-end/multi-session</w:t>
            </w:r>
          </w:p>
        </w:tc>
      </w:tr>
      <w:tr w14:paraId="1CC81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2551" w:type="dxa"/>
            <w:shd w:val="clear" w:color="auto" w:fill="auto"/>
            <w:tcMar>
              <w:top w:w="38" w:type="dxa"/>
              <w:left w:w="42" w:type="dxa"/>
              <w:bottom w:w="38" w:type="dxa"/>
              <w:right w:w="42" w:type="dxa"/>
            </w:tcMar>
            <w:vAlign w:val="top"/>
          </w:tcPr>
          <w:p w14:paraId="7CF45B30">
            <w:pPr>
              <w:widowControl/>
              <w:spacing w:before="0" w:after="0" w:line="240" w:lineRule="auto"/>
              <w:jc w:val="left"/>
              <w:rPr>
                <w:rFonts w:hint="default" w:ascii="Times New Roman" w:hAnsi="Times New Roman" w:eastAsia="Arial" w:cs="Times New Roman"/>
                <w:kern w:val="0"/>
                <w:sz w:val="21"/>
                <w:szCs w:val="21"/>
                <w:lang w:val="en-US" w:eastAsia="en-US" w:bidi="ar-SA"/>
              </w:rPr>
            </w:pPr>
            <w:r>
              <w:rPr>
                <w:rFonts w:hint="default" w:ascii="Times New Roman" w:hAnsi="Times New Roman" w:eastAsia="Arial" w:cs="Times New Roman"/>
                <w:kern w:val="0"/>
                <w:sz w:val="21"/>
                <w:szCs w:val="21"/>
                <w:lang w:eastAsia="en-US"/>
              </w:rPr>
              <w:t>Doan et al.</w:t>
            </w:r>
          </w:p>
        </w:tc>
        <w:tc>
          <w:tcPr>
            <w:tcW w:w="1417" w:type="dxa"/>
            <w:shd w:val="clear" w:color="auto" w:fill="auto"/>
            <w:tcMar>
              <w:top w:w="38" w:type="dxa"/>
              <w:left w:w="42" w:type="dxa"/>
              <w:bottom w:w="38" w:type="dxa"/>
              <w:right w:w="42" w:type="dxa"/>
            </w:tcMar>
            <w:vAlign w:val="top"/>
          </w:tcPr>
          <w:p w14:paraId="56E35DD8">
            <w:pPr>
              <w:widowControl/>
              <w:spacing w:before="0" w:after="0" w:line="240" w:lineRule="auto"/>
              <w:jc w:val="left"/>
              <w:rPr>
                <w:rFonts w:hint="default" w:ascii="Times New Roman" w:hAnsi="Times New Roman" w:eastAsia="Arial" w:cs="Times New Roman"/>
                <w:kern w:val="0"/>
                <w:sz w:val="21"/>
                <w:szCs w:val="21"/>
                <w:lang w:val="en-US" w:eastAsia="en-US" w:bidi="ar-SA"/>
              </w:rPr>
            </w:pPr>
            <w:r>
              <w:rPr>
                <w:rFonts w:hint="default" w:ascii="Times New Roman" w:hAnsi="Times New Roman" w:eastAsia="Arial" w:cs="Times New Roman"/>
                <w:kern w:val="0"/>
                <w:sz w:val="21"/>
                <w:szCs w:val="21"/>
                <w:lang w:eastAsia="en-US"/>
              </w:rPr>
              <w:t>GAD-2</w:t>
            </w:r>
          </w:p>
        </w:tc>
        <w:tc>
          <w:tcPr>
            <w:tcW w:w="3118" w:type="dxa"/>
            <w:shd w:val="clear" w:color="auto" w:fill="auto"/>
            <w:tcMar>
              <w:top w:w="38" w:type="dxa"/>
              <w:left w:w="42" w:type="dxa"/>
              <w:bottom w:w="38" w:type="dxa"/>
              <w:right w:w="42" w:type="dxa"/>
            </w:tcMar>
            <w:vAlign w:val="top"/>
          </w:tcPr>
          <w:p w14:paraId="6B12FE87">
            <w:pPr>
              <w:spacing w:before="0" w:after="0" w:line="240" w:lineRule="auto"/>
              <w:jc w:val="left"/>
              <w:rPr>
                <w:rFonts w:hint="default" w:ascii="Times New Roman" w:hAnsi="Times New Roman" w:eastAsia="Arial" w:cs="Times New Roman"/>
                <w:kern w:val="0"/>
                <w:sz w:val="21"/>
                <w:szCs w:val="21"/>
                <w:lang w:eastAsia="en-US"/>
              </w:rPr>
            </w:pPr>
            <w:r>
              <w:rPr>
                <w:rFonts w:ascii="Times New Roman" w:hAnsi="Times New Roman" w:eastAsia="Times New Roman"/>
                <w:b w:val="0"/>
                <w:sz w:val="21"/>
                <w:szCs w:val="21"/>
              </w:rPr>
              <w:t>Yes</w:t>
            </w:r>
          </w:p>
        </w:tc>
        <w:tc>
          <w:tcPr>
            <w:tcW w:w="6803" w:type="dxa"/>
            <w:shd w:val="clear" w:color="auto" w:fill="auto"/>
            <w:tcMar>
              <w:top w:w="38" w:type="dxa"/>
              <w:left w:w="42" w:type="dxa"/>
              <w:bottom w:w="38" w:type="dxa"/>
              <w:right w:w="42" w:type="dxa"/>
            </w:tcMar>
            <w:vAlign w:val="top"/>
          </w:tcPr>
          <w:p w14:paraId="2AFE1FF9">
            <w:pPr>
              <w:spacing w:before="0" w:after="0" w:line="240" w:lineRule="auto"/>
              <w:jc w:val="left"/>
              <w:rPr>
                <w:rFonts w:hint="default" w:ascii="Times New Roman" w:hAnsi="Times New Roman" w:eastAsia="Arial" w:cs="Times New Roman"/>
                <w:kern w:val="0"/>
                <w:sz w:val="21"/>
                <w:szCs w:val="21"/>
                <w:lang w:val="en-US" w:eastAsia="en-US" w:bidi="ar-SA"/>
              </w:rPr>
            </w:pPr>
            <w:r>
              <w:rPr>
                <w:rFonts w:ascii="Times New Roman" w:hAnsi="Times New Roman" w:eastAsia="Times New Roman"/>
                <w:b w:val="0"/>
                <w:sz w:val="21"/>
                <w:szCs w:val="21"/>
              </w:rPr>
              <w:t>At the end of the 2-week intervention</w:t>
            </w:r>
          </w:p>
        </w:tc>
        <w:tc>
          <w:tcPr>
            <w:tcW w:w="2409" w:type="dxa"/>
            <w:shd w:val="clear" w:color="auto" w:fill="auto"/>
            <w:tcMar>
              <w:top w:w="38" w:type="dxa"/>
              <w:left w:w="42" w:type="dxa"/>
              <w:bottom w:w="38" w:type="dxa"/>
              <w:right w:w="42" w:type="dxa"/>
            </w:tcMar>
            <w:vAlign w:val="top"/>
          </w:tcPr>
          <w:p w14:paraId="3DCD61A4">
            <w:pPr>
              <w:widowControl/>
              <w:spacing w:before="0" w:after="0" w:line="240" w:lineRule="auto"/>
              <w:jc w:val="left"/>
              <w:rPr>
                <w:rFonts w:hint="default" w:ascii="Times New Roman" w:hAnsi="Times New Roman" w:eastAsia="Arial" w:cs="Times New Roman"/>
                <w:kern w:val="0"/>
                <w:sz w:val="21"/>
                <w:szCs w:val="21"/>
                <w:lang w:val="en-US" w:eastAsia="en-US" w:bidi="ar-SA"/>
              </w:rPr>
            </w:pPr>
            <w:r>
              <w:rPr>
                <w:rFonts w:hint="default" w:ascii="Times New Roman" w:hAnsi="Times New Roman" w:eastAsia="Arial" w:cs="Times New Roman"/>
                <w:kern w:val="0"/>
                <w:sz w:val="21"/>
                <w:szCs w:val="21"/>
                <w:lang w:eastAsia="en-US"/>
              </w:rPr>
              <w:t>Program-end/multi-session</w:t>
            </w:r>
          </w:p>
        </w:tc>
      </w:tr>
      <w:tr w14:paraId="35F29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shd w:val="clear" w:color="auto" w:fill="auto"/>
            <w:tcMar>
              <w:top w:w="38" w:type="dxa"/>
              <w:left w:w="42" w:type="dxa"/>
              <w:bottom w:w="38" w:type="dxa"/>
              <w:right w:w="42" w:type="dxa"/>
            </w:tcMar>
            <w:vAlign w:val="top"/>
          </w:tcPr>
          <w:p w14:paraId="5A48B4B1">
            <w:pPr>
              <w:widowControl/>
              <w:spacing w:before="0" w:after="0" w:line="240" w:lineRule="auto"/>
              <w:jc w:val="left"/>
              <w:rPr>
                <w:rFonts w:hint="default" w:ascii="Times New Roman" w:hAnsi="Times New Roman" w:eastAsia="Arial" w:cs="Times New Roman"/>
                <w:kern w:val="0"/>
                <w:sz w:val="21"/>
                <w:szCs w:val="21"/>
                <w:lang w:eastAsia="en-US"/>
              </w:rPr>
            </w:pPr>
            <w:r>
              <w:rPr>
                <w:rFonts w:hint="default" w:ascii="Times New Roman" w:hAnsi="Times New Roman" w:eastAsia="Arial" w:cs="Times New Roman"/>
                <w:kern w:val="0"/>
                <w:sz w:val="21"/>
                <w:szCs w:val="21"/>
                <w:lang w:eastAsia="en-US"/>
              </w:rPr>
              <w:t>Torres García et al.</w:t>
            </w:r>
          </w:p>
        </w:tc>
        <w:tc>
          <w:tcPr>
            <w:tcW w:w="1417" w:type="dxa"/>
            <w:shd w:val="clear" w:color="auto" w:fill="auto"/>
            <w:tcMar>
              <w:top w:w="38" w:type="dxa"/>
              <w:left w:w="42" w:type="dxa"/>
              <w:bottom w:w="38" w:type="dxa"/>
              <w:right w:w="42" w:type="dxa"/>
            </w:tcMar>
            <w:vAlign w:val="top"/>
          </w:tcPr>
          <w:p w14:paraId="4AB22A9E">
            <w:pPr>
              <w:widowControl/>
              <w:spacing w:before="0" w:after="0" w:line="240" w:lineRule="auto"/>
              <w:jc w:val="left"/>
              <w:rPr>
                <w:rFonts w:hint="default" w:ascii="Times New Roman" w:hAnsi="Times New Roman" w:eastAsia="Arial" w:cs="Times New Roman"/>
                <w:kern w:val="0"/>
                <w:sz w:val="21"/>
                <w:szCs w:val="21"/>
                <w:lang w:eastAsia="en-US"/>
              </w:rPr>
            </w:pPr>
            <w:r>
              <w:rPr>
                <w:rFonts w:hint="default" w:ascii="Times New Roman" w:hAnsi="Times New Roman" w:eastAsia="Arial" w:cs="Times New Roman"/>
                <w:kern w:val="0"/>
                <w:sz w:val="21"/>
                <w:szCs w:val="21"/>
                <w:lang w:eastAsia="en-US"/>
              </w:rPr>
              <w:t>HADS-A</w:t>
            </w:r>
          </w:p>
        </w:tc>
        <w:tc>
          <w:tcPr>
            <w:tcW w:w="3118" w:type="dxa"/>
            <w:shd w:val="clear" w:color="auto" w:fill="auto"/>
            <w:tcMar>
              <w:top w:w="38" w:type="dxa"/>
              <w:left w:w="42" w:type="dxa"/>
              <w:bottom w:w="38" w:type="dxa"/>
              <w:right w:w="42" w:type="dxa"/>
            </w:tcMar>
            <w:vAlign w:val="top"/>
          </w:tcPr>
          <w:p w14:paraId="4640EF3D">
            <w:pPr>
              <w:spacing w:before="0" w:after="0" w:line="240" w:lineRule="auto"/>
              <w:jc w:val="left"/>
              <w:rPr>
                <w:rFonts w:hint="default" w:ascii="Times New Roman" w:hAnsi="Times New Roman" w:eastAsia="Arial" w:cs="Times New Roman"/>
                <w:kern w:val="0"/>
                <w:sz w:val="21"/>
                <w:szCs w:val="21"/>
                <w:lang w:eastAsia="en-US"/>
              </w:rPr>
            </w:pPr>
            <w:r>
              <w:rPr>
                <w:rFonts w:ascii="Times New Roman" w:hAnsi="Times New Roman" w:eastAsia="Times New Roman"/>
                <w:b w:val="0"/>
                <w:sz w:val="21"/>
                <w:szCs w:val="21"/>
              </w:rPr>
              <w:t>No</w:t>
            </w:r>
          </w:p>
        </w:tc>
        <w:tc>
          <w:tcPr>
            <w:tcW w:w="6803" w:type="dxa"/>
            <w:shd w:val="clear" w:color="auto" w:fill="auto"/>
            <w:tcMar>
              <w:top w:w="38" w:type="dxa"/>
              <w:left w:w="42" w:type="dxa"/>
              <w:bottom w:w="38" w:type="dxa"/>
              <w:right w:w="42" w:type="dxa"/>
            </w:tcMar>
            <w:vAlign w:val="top"/>
          </w:tcPr>
          <w:p w14:paraId="3B3FB572">
            <w:pPr>
              <w:spacing w:before="0" w:after="0" w:line="240" w:lineRule="auto"/>
              <w:jc w:val="left"/>
              <w:rPr>
                <w:rFonts w:hint="default" w:ascii="Times New Roman" w:hAnsi="Times New Roman" w:eastAsia="Arial" w:cs="Times New Roman"/>
                <w:kern w:val="0"/>
                <w:sz w:val="21"/>
                <w:szCs w:val="21"/>
                <w:lang w:eastAsia="en-US"/>
              </w:rPr>
            </w:pPr>
            <w:r>
              <w:rPr>
                <w:rFonts w:ascii="Times New Roman" w:hAnsi="Times New Roman" w:eastAsia="Times New Roman"/>
                <w:b w:val="0"/>
                <w:sz w:val="21"/>
                <w:szCs w:val="21"/>
              </w:rPr>
              <w:t>Immediately after Visit 4 (3 months after Visit 3)</w:t>
            </w:r>
          </w:p>
        </w:tc>
        <w:tc>
          <w:tcPr>
            <w:tcW w:w="2409" w:type="dxa"/>
            <w:shd w:val="clear" w:color="auto" w:fill="auto"/>
            <w:tcMar>
              <w:top w:w="38" w:type="dxa"/>
              <w:left w:w="42" w:type="dxa"/>
              <w:bottom w:w="38" w:type="dxa"/>
              <w:right w:w="42" w:type="dxa"/>
            </w:tcMar>
            <w:vAlign w:val="top"/>
          </w:tcPr>
          <w:p w14:paraId="79EF98EC">
            <w:pPr>
              <w:widowControl/>
              <w:spacing w:before="0" w:after="0" w:line="240" w:lineRule="auto"/>
              <w:jc w:val="left"/>
              <w:rPr>
                <w:rFonts w:hint="default" w:ascii="Times New Roman" w:hAnsi="Times New Roman" w:eastAsia="Arial" w:cs="Times New Roman"/>
                <w:kern w:val="0"/>
                <w:sz w:val="21"/>
                <w:szCs w:val="21"/>
                <w:lang w:eastAsia="en-US"/>
              </w:rPr>
            </w:pPr>
            <w:r>
              <w:rPr>
                <w:rFonts w:hint="default" w:ascii="Times New Roman" w:hAnsi="Times New Roman" w:eastAsia="Arial" w:cs="Times New Roman"/>
                <w:kern w:val="0"/>
                <w:sz w:val="21"/>
                <w:szCs w:val="21"/>
                <w:lang w:eastAsia="en-US"/>
              </w:rPr>
              <w:t>Program-end/multi-session</w:t>
            </w:r>
          </w:p>
        </w:tc>
      </w:tr>
      <w:tr w14:paraId="76280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2551" w:type="dxa"/>
            <w:shd w:val="clear" w:color="auto" w:fill="auto"/>
            <w:tcMar>
              <w:top w:w="38" w:type="dxa"/>
              <w:left w:w="42" w:type="dxa"/>
              <w:bottom w:w="38" w:type="dxa"/>
              <w:right w:w="42" w:type="dxa"/>
            </w:tcMar>
            <w:vAlign w:val="top"/>
          </w:tcPr>
          <w:p w14:paraId="4AE36DE6">
            <w:pPr>
              <w:widowControl/>
              <w:spacing w:before="0" w:after="0" w:line="240" w:lineRule="auto"/>
              <w:jc w:val="left"/>
              <w:rPr>
                <w:rFonts w:hint="default" w:ascii="Times New Roman" w:hAnsi="Times New Roman" w:eastAsia="Arial" w:cs="Times New Roman"/>
                <w:kern w:val="0"/>
                <w:sz w:val="21"/>
                <w:szCs w:val="21"/>
                <w:lang w:eastAsia="en-US"/>
              </w:rPr>
            </w:pPr>
            <w:r>
              <w:rPr>
                <w:rFonts w:hint="default" w:ascii="Times New Roman" w:hAnsi="Times New Roman" w:eastAsia="Arial" w:cs="Times New Roman"/>
                <w:kern w:val="0"/>
                <w:sz w:val="21"/>
                <w:szCs w:val="21"/>
                <w:lang w:eastAsia="en-US"/>
              </w:rPr>
              <w:t>Krishnamoorthy et al.</w:t>
            </w:r>
          </w:p>
        </w:tc>
        <w:tc>
          <w:tcPr>
            <w:tcW w:w="1417" w:type="dxa"/>
            <w:shd w:val="clear" w:color="auto" w:fill="auto"/>
            <w:tcMar>
              <w:top w:w="38" w:type="dxa"/>
              <w:left w:w="42" w:type="dxa"/>
              <w:bottom w:w="38" w:type="dxa"/>
              <w:right w:w="42" w:type="dxa"/>
            </w:tcMar>
            <w:vAlign w:val="top"/>
          </w:tcPr>
          <w:p w14:paraId="05985535">
            <w:pPr>
              <w:widowControl/>
              <w:spacing w:before="0" w:after="0" w:line="240" w:lineRule="auto"/>
              <w:jc w:val="left"/>
              <w:rPr>
                <w:rFonts w:hint="default" w:ascii="Times New Roman" w:hAnsi="Times New Roman" w:eastAsia="Arial" w:cs="Times New Roman"/>
                <w:kern w:val="0"/>
                <w:sz w:val="21"/>
                <w:szCs w:val="21"/>
                <w:lang w:eastAsia="en-US"/>
              </w:rPr>
            </w:pPr>
            <w:r>
              <w:rPr>
                <w:rFonts w:hint="default" w:ascii="Times New Roman" w:hAnsi="Times New Roman" w:eastAsia="Arial" w:cs="Times New Roman"/>
                <w:kern w:val="0"/>
                <w:sz w:val="21"/>
                <w:szCs w:val="21"/>
                <w:lang w:eastAsia="en-US"/>
              </w:rPr>
              <w:t>STAI</w:t>
            </w:r>
          </w:p>
        </w:tc>
        <w:tc>
          <w:tcPr>
            <w:tcW w:w="3118" w:type="dxa"/>
            <w:shd w:val="clear" w:color="auto" w:fill="auto"/>
            <w:tcMar>
              <w:top w:w="38" w:type="dxa"/>
              <w:left w:w="42" w:type="dxa"/>
              <w:bottom w:w="38" w:type="dxa"/>
              <w:right w:w="42" w:type="dxa"/>
            </w:tcMar>
            <w:vAlign w:val="top"/>
          </w:tcPr>
          <w:p w14:paraId="2D03107C">
            <w:pPr>
              <w:spacing w:before="0" w:after="0" w:line="240" w:lineRule="auto"/>
              <w:jc w:val="left"/>
              <w:rPr>
                <w:rFonts w:hint="default" w:ascii="Times New Roman" w:hAnsi="Times New Roman" w:eastAsia="Arial" w:cs="Times New Roman"/>
                <w:kern w:val="0"/>
                <w:sz w:val="21"/>
                <w:szCs w:val="21"/>
                <w:lang w:eastAsia="en-US"/>
              </w:rPr>
            </w:pPr>
            <w:r>
              <w:rPr>
                <w:rFonts w:ascii="Times New Roman" w:hAnsi="Times New Roman" w:eastAsia="Times New Roman"/>
                <w:b w:val="0"/>
                <w:sz w:val="21"/>
                <w:szCs w:val="21"/>
              </w:rPr>
              <w:t>No</w:t>
            </w:r>
          </w:p>
        </w:tc>
        <w:tc>
          <w:tcPr>
            <w:tcW w:w="6803" w:type="dxa"/>
            <w:shd w:val="clear" w:color="auto" w:fill="auto"/>
            <w:tcMar>
              <w:top w:w="38" w:type="dxa"/>
              <w:left w:w="42" w:type="dxa"/>
              <w:bottom w:w="38" w:type="dxa"/>
              <w:right w:w="42" w:type="dxa"/>
            </w:tcMar>
            <w:vAlign w:val="top"/>
          </w:tcPr>
          <w:p w14:paraId="220473AE">
            <w:pPr>
              <w:spacing w:before="0" w:after="0" w:line="240" w:lineRule="auto"/>
              <w:jc w:val="left"/>
              <w:rPr>
                <w:rFonts w:hint="default" w:ascii="Times New Roman" w:hAnsi="Times New Roman" w:eastAsia="Arial" w:cs="Times New Roman"/>
                <w:kern w:val="0"/>
                <w:sz w:val="21"/>
                <w:szCs w:val="21"/>
                <w:lang w:eastAsia="en-US"/>
              </w:rPr>
            </w:pPr>
            <w:r>
              <w:rPr>
                <w:rFonts w:ascii="Times New Roman" w:hAnsi="Times New Roman" w:eastAsia="Times New Roman"/>
                <w:b w:val="0"/>
                <w:sz w:val="21"/>
                <w:szCs w:val="21"/>
              </w:rPr>
              <w:t>Immediately after the preoperative and postoperative 15-min sessions</w:t>
            </w:r>
          </w:p>
        </w:tc>
        <w:tc>
          <w:tcPr>
            <w:tcW w:w="2409" w:type="dxa"/>
            <w:shd w:val="clear" w:color="auto" w:fill="auto"/>
            <w:tcMar>
              <w:top w:w="38" w:type="dxa"/>
              <w:left w:w="42" w:type="dxa"/>
              <w:bottom w:w="38" w:type="dxa"/>
              <w:right w:w="42" w:type="dxa"/>
            </w:tcMar>
            <w:vAlign w:val="top"/>
          </w:tcPr>
          <w:p w14:paraId="1B9ECBD5">
            <w:pPr>
              <w:widowControl/>
              <w:spacing w:before="0" w:after="0" w:line="240" w:lineRule="auto"/>
              <w:jc w:val="left"/>
              <w:rPr>
                <w:rFonts w:hint="default" w:ascii="Times New Roman" w:hAnsi="Times New Roman" w:eastAsia="Arial" w:cs="Times New Roman"/>
                <w:kern w:val="0"/>
                <w:sz w:val="21"/>
                <w:szCs w:val="21"/>
                <w:lang w:eastAsia="en-US"/>
              </w:rPr>
            </w:pPr>
            <w:r>
              <w:rPr>
                <w:rFonts w:hint="default" w:ascii="Times New Roman" w:hAnsi="Times New Roman" w:eastAsia="Arial" w:cs="Times New Roman"/>
                <w:kern w:val="0"/>
                <w:sz w:val="21"/>
                <w:szCs w:val="21"/>
                <w:lang w:eastAsia="en-US"/>
              </w:rPr>
              <w:t>Acute/discrete-session</w:t>
            </w:r>
          </w:p>
        </w:tc>
      </w:tr>
      <w:tr w14:paraId="3FED6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jc w:val="center"/>
        </w:trPr>
        <w:tc>
          <w:tcPr>
            <w:tcW w:w="2551" w:type="dxa"/>
            <w:shd w:val="clear" w:color="auto" w:fill="auto"/>
            <w:tcMar>
              <w:top w:w="38" w:type="dxa"/>
              <w:left w:w="42" w:type="dxa"/>
              <w:bottom w:w="38" w:type="dxa"/>
              <w:right w:w="42" w:type="dxa"/>
            </w:tcMar>
            <w:vAlign w:val="top"/>
          </w:tcPr>
          <w:p w14:paraId="7853B456">
            <w:pPr>
              <w:widowControl/>
              <w:spacing w:before="0" w:after="0" w:line="240" w:lineRule="auto"/>
              <w:jc w:val="left"/>
              <w:rPr>
                <w:rFonts w:hint="default" w:ascii="Times New Roman" w:hAnsi="Times New Roman" w:eastAsia="Arial" w:cs="Times New Roman"/>
                <w:kern w:val="0"/>
                <w:sz w:val="21"/>
                <w:szCs w:val="21"/>
                <w:lang w:eastAsia="en-US"/>
              </w:rPr>
            </w:pPr>
            <w:r>
              <w:rPr>
                <w:rFonts w:hint="default" w:ascii="Times New Roman" w:hAnsi="Times New Roman" w:eastAsia="Arial" w:cs="Times New Roman"/>
                <w:kern w:val="0"/>
                <w:sz w:val="21"/>
                <w:szCs w:val="21"/>
                <w:lang w:eastAsia="en-US"/>
              </w:rPr>
              <w:t>Rousseaux et al.</w:t>
            </w:r>
          </w:p>
        </w:tc>
        <w:tc>
          <w:tcPr>
            <w:tcW w:w="1417" w:type="dxa"/>
            <w:shd w:val="clear" w:color="auto" w:fill="auto"/>
            <w:tcMar>
              <w:top w:w="38" w:type="dxa"/>
              <w:left w:w="42" w:type="dxa"/>
              <w:bottom w:w="38" w:type="dxa"/>
              <w:right w:w="42" w:type="dxa"/>
            </w:tcMar>
            <w:vAlign w:val="top"/>
          </w:tcPr>
          <w:p w14:paraId="375EC65D">
            <w:pPr>
              <w:widowControl/>
              <w:spacing w:before="0" w:after="0" w:line="240" w:lineRule="auto"/>
              <w:jc w:val="left"/>
              <w:rPr>
                <w:rFonts w:hint="default" w:ascii="Times New Roman" w:hAnsi="Times New Roman" w:eastAsia="Arial" w:cs="Times New Roman"/>
                <w:kern w:val="0"/>
                <w:sz w:val="21"/>
                <w:szCs w:val="21"/>
                <w:lang w:eastAsia="en-US"/>
              </w:rPr>
            </w:pPr>
            <w:r>
              <w:rPr>
                <w:rFonts w:hint="default" w:ascii="Times New Roman" w:hAnsi="Times New Roman" w:eastAsia="Arial" w:cs="Times New Roman"/>
                <w:kern w:val="0"/>
                <w:sz w:val="21"/>
                <w:szCs w:val="21"/>
                <w:lang w:eastAsia="en-US"/>
              </w:rPr>
              <w:t>VAS</w:t>
            </w:r>
          </w:p>
        </w:tc>
        <w:tc>
          <w:tcPr>
            <w:tcW w:w="3118" w:type="dxa"/>
            <w:shd w:val="clear" w:color="auto" w:fill="auto"/>
            <w:tcMar>
              <w:top w:w="38" w:type="dxa"/>
              <w:left w:w="42" w:type="dxa"/>
              <w:bottom w:w="38" w:type="dxa"/>
              <w:right w:w="42" w:type="dxa"/>
            </w:tcMar>
            <w:vAlign w:val="top"/>
          </w:tcPr>
          <w:p w14:paraId="6182F2A7">
            <w:pPr>
              <w:spacing w:before="0" w:after="0" w:line="240" w:lineRule="auto"/>
              <w:jc w:val="left"/>
              <w:rPr>
                <w:rFonts w:hint="default" w:ascii="Times New Roman" w:hAnsi="Times New Roman" w:eastAsia="Arial" w:cs="Times New Roman"/>
                <w:kern w:val="0"/>
                <w:sz w:val="21"/>
                <w:szCs w:val="21"/>
                <w:lang w:eastAsia="en-US"/>
              </w:rPr>
            </w:pPr>
            <w:r>
              <w:rPr>
                <w:rFonts w:ascii="Times New Roman" w:hAnsi="Times New Roman" w:eastAsia="Times New Roman"/>
                <w:b w:val="0"/>
                <w:sz w:val="21"/>
                <w:szCs w:val="21"/>
              </w:rPr>
              <w:t>No</w:t>
            </w:r>
          </w:p>
        </w:tc>
        <w:tc>
          <w:tcPr>
            <w:tcW w:w="6803" w:type="dxa"/>
            <w:shd w:val="clear" w:color="auto" w:fill="auto"/>
            <w:tcMar>
              <w:top w:w="38" w:type="dxa"/>
              <w:left w:w="42" w:type="dxa"/>
              <w:bottom w:w="38" w:type="dxa"/>
              <w:right w:w="42" w:type="dxa"/>
            </w:tcMar>
            <w:vAlign w:val="top"/>
          </w:tcPr>
          <w:p w14:paraId="73F10945">
            <w:pPr>
              <w:spacing w:before="0" w:after="0" w:line="240" w:lineRule="auto"/>
              <w:jc w:val="left"/>
              <w:rPr>
                <w:rFonts w:hint="default" w:ascii="Times New Roman" w:hAnsi="Times New Roman" w:eastAsia="Arial" w:cs="Times New Roman"/>
                <w:kern w:val="0"/>
                <w:sz w:val="21"/>
                <w:szCs w:val="21"/>
                <w:lang w:eastAsia="en-US"/>
              </w:rPr>
            </w:pPr>
            <w:r>
              <w:rPr>
                <w:rFonts w:ascii="Times New Roman" w:hAnsi="Times New Roman" w:eastAsia="Times New Roman"/>
                <w:b w:val="0"/>
                <w:sz w:val="21"/>
                <w:szCs w:val="21"/>
              </w:rPr>
              <w:t>Immediately before/after the preoperative and postoperative 20-min sessions (T0-T3)</w:t>
            </w:r>
          </w:p>
        </w:tc>
        <w:tc>
          <w:tcPr>
            <w:tcW w:w="2409" w:type="dxa"/>
            <w:shd w:val="clear" w:color="auto" w:fill="auto"/>
            <w:tcMar>
              <w:top w:w="38" w:type="dxa"/>
              <w:left w:w="42" w:type="dxa"/>
              <w:bottom w:w="38" w:type="dxa"/>
              <w:right w:w="42" w:type="dxa"/>
            </w:tcMar>
            <w:vAlign w:val="top"/>
          </w:tcPr>
          <w:p w14:paraId="3F6FD3C8">
            <w:pPr>
              <w:widowControl/>
              <w:spacing w:before="0" w:after="0" w:line="240" w:lineRule="auto"/>
              <w:jc w:val="left"/>
              <w:rPr>
                <w:rFonts w:hint="default" w:ascii="Times New Roman" w:hAnsi="Times New Roman" w:eastAsia="Arial" w:cs="Times New Roman"/>
                <w:kern w:val="0"/>
                <w:sz w:val="21"/>
                <w:szCs w:val="21"/>
                <w:lang w:eastAsia="en-US"/>
              </w:rPr>
            </w:pPr>
            <w:r>
              <w:rPr>
                <w:rFonts w:hint="default" w:ascii="Times New Roman" w:hAnsi="Times New Roman" w:eastAsia="Arial" w:cs="Times New Roman"/>
                <w:kern w:val="0"/>
                <w:sz w:val="21"/>
                <w:szCs w:val="21"/>
                <w:lang w:eastAsia="en-US"/>
              </w:rPr>
              <w:t>Acute/discrete-session</w:t>
            </w:r>
          </w:p>
        </w:tc>
      </w:tr>
    </w:tbl>
    <w:p w14:paraId="1F7B51D9">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i/>
          <w:iCs/>
          <w:color w:val="auto"/>
          <w:sz w:val="24"/>
          <w:szCs w:val="24"/>
          <w:lang w:val="en-US" w:eastAsia="zh-CN"/>
        </w:rPr>
        <w:t>Note:</w:t>
      </w:r>
      <w:r>
        <w:rPr>
          <w:rFonts w:hint="default" w:ascii="Times New Roman" w:hAnsi="Times New Roman" w:cs="Times New Roman"/>
          <w:color w:val="auto"/>
          <w:sz w:val="24"/>
          <w:szCs w:val="24"/>
          <w:lang w:val="en-US" w:eastAsia="zh-CN"/>
        </w:rPr>
        <w:t xml:space="preserve"> Acute/discrete-session assessments were immediate post-session measurements obtained after a distinct intervention session. For quantitatively synthesized studies with more than one eligible acute session, the study-level effect-selection rule described in the Methods was applied, and the first eligible post-session assessment was selected. Program-end/multi-session assessments were obtained at the end of the planned intervention program or after completion of the repeated intervention course. The acute-versus-program-end subgroup and sensitivity analyses were restricted to studies with a quantitatively synthesizable anxiety effect; assessment-context coding is also shown for narratively synthesized studies for transparency. “Included in quantitative synthesis” indicates whether the corresponding anxiety result contributed to the anxiety meta-analysis.</w:t>
      </w:r>
    </w:p>
    <w:p w14:paraId="78BA89C8">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eastAsia" w:cs="Times New Roman"/>
          <w:color w:val="auto"/>
          <w:sz w:val="24"/>
          <w:szCs w:val="24"/>
          <w:lang w:val="en-US" w:eastAsia="zh-CN"/>
        </w:rPr>
      </w:pPr>
      <w:r>
        <w:rPr>
          <w:rFonts w:hint="eastAsia" w:cs="Times New Roman"/>
          <w:i/>
          <w:iCs/>
          <w:color w:val="auto"/>
          <w:sz w:val="24"/>
          <w:szCs w:val="24"/>
          <w:lang w:val="en-US" w:eastAsia="zh-CN"/>
        </w:rPr>
        <w:t>Abbreviations:</w:t>
      </w:r>
      <w:r>
        <w:rPr>
          <w:rFonts w:hint="eastAsia" w:cs="Times New Roman"/>
          <w:color w:val="auto"/>
          <w:sz w:val="24"/>
          <w:szCs w:val="24"/>
          <w:lang w:val="en-US" w:eastAsia="zh-CN"/>
        </w:rPr>
        <w:t xml:space="preserve"> CBT, cognitive behavioral therapy; CG, control group; DASS-21, Depression Anxiety Stress Scales-21; DBT, dialectical behavior therapy; GAD-2/GAD-7, Generalized Anxiety Disorder-2/-7; GSR, galvanic skin response; HADS-A, Hospital Anxiety and Depression Scale-Anxiety subscale; HRV, heart rate variability; IG, intervention group; IQR, interquartile range; MBSR, mindfulness-based stress reduction; PROMIS-A, Patient-Reported Outcomes Measurement Information System Anxiety measure; SD, standard deviation; STAI, State-Trait Anxiety Inventory; STAI-6, six-item State-Trait Anxiety Inventory; STAI-SAI, State Anxiety Inventory (state form of the State-Trait Anxiety Inventory); STAI-X1, State-Trait Anxiety Inventory Form X-1; VAS, visual analogue scale; VR, virtual reality; VRH, virtual reality hypnosis.</w:t>
      </w:r>
    </w:p>
    <w:p w14:paraId="1F560F3B">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eastAsia" w:cs="Times New Roman"/>
          <w:color w:val="auto"/>
          <w:sz w:val="24"/>
          <w:szCs w:val="24"/>
          <w:lang w:val="en-US" w:eastAsia="zh-CN"/>
        </w:rPr>
      </w:pPr>
    </w:p>
    <w:p w14:paraId="6BE6A1BD">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eastAsia" w:cs="Times New Roman"/>
          <w:color w:val="auto"/>
          <w:sz w:val="24"/>
          <w:szCs w:val="24"/>
          <w:lang w:val="en-US" w:eastAsia="zh-CN"/>
        </w:rPr>
      </w:pPr>
    </w:p>
    <w:p w14:paraId="7C592F98">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eastAsia" w:cs="Times New Roman"/>
          <w:color w:val="auto"/>
          <w:sz w:val="24"/>
          <w:szCs w:val="24"/>
          <w:lang w:val="en-US" w:eastAsia="zh-CN"/>
        </w:rPr>
      </w:pPr>
    </w:p>
    <w:p w14:paraId="4F3A5ACF">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eastAsia" w:cs="Times New Roman"/>
          <w:color w:val="auto"/>
          <w:sz w:val="24"/>
          <w:szCs w:val="24"/>
          <w:lang w:val="en-US" w:eastAsia="zh-CN"/>
        </w:rPr>
      </w:pPr>
    </w:p>
    <w:p w14:paraId="6BD48D19">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eastAsia" w:cs="Times New Roman"/>
          <w:color w:val="auto"/>
          <w:sz w:val="24"/>
          <w:szCs w:val="24"/>
          <w:lang w:val="en-US" w:eastAsia="zh-CN"/>
        </w:rPr>
      </w:pPr>
      <w:bookmarkStart w:id="0" w:name="_GoBack"/>
      <w:bookmarkEnd w:id="0"/>
      <w:r>
        <w:rPr>
          <w:rFonts w:hint="eastAsia" w:cs="Times New Roman"/>
          <w:b/>
          <w:bCs/>
          <w:color w:val="auto"/>
          <w:sz w:val="24"/>
          <w:szCs w:val="24"/>
          <w:lang w:val="en-US" w:eastAsia="zh-CN"/>
        </w:rPr>
        <w:t>Table S18.</w:t>
      </w:r>
      <w:r>
        <w:rPr>
          <w:rFonts w:hint="eastAsia" w:cs="Times New Roman"/>
          <w:color w:val="auto"/>
          <w:sz w:val="24"/>
          <w:szCs w:val="24"/>
          <w:lang w:val="en-US" w:eastAsia="zh-CN"/>
        </w:rPr>
        <w:t xml:space="preserve"> Protocol deviations and review-stage amendments</w:t>
      </w:r>
    </w:p>
    <w:tbl>
      <w:tblPr>
        <w:tblStyle w:val="7"/>
        <w:tblW w:w="161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70" w:type="dxa"/>
          <w:left w:w="70" w:type="dxa"/>
          <w:bottom w:w="70" w:type="dxa"/>
          <w:right w:w="70" w:type="dxa"/>
        </w:tblCellMar>
      </w:tblPr>
      <w:tblGrid>
        <w:gridCol w:w="1984"/>
        <w:gridCol w:w="2835"/>
        <w:gridCol w:w="4535"/>
        <w:gridCol w:w="2268"/>
        <w:gridCol w:w="4535"/>
      </w:tblGrid>
      <w:tr w14:paraId="652CB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70" w:type="dxa"/>
            <w:left w:w="70" w:type="dxa"/>
            <w:bottom w:w="70" w:type="dxa"/>
            <w:right w:w="70" w:type="dxa"/>
          </w:tblCellMar>
        </w:tblPrEx>
        <w:trPr>
          <w:cantSplit/>
          <w:tblHeader/>
          <w:jc w:val="center"/>
        </w:trPr>
        <w:tc>
          <w:tcPr>
            <w:tcW w:w="1984" w:type="dxa"/>
            <w:shd w:val="clear" w:color="auto" w:fill="auto"/>
            <w:vAlign w:val="center"/>
          </w:tcPr>
          <w:p w14:paraId="61ACD6E6">
            <w:pPr>
              <w:spacing w:after="0" w:line="240" w:lineRule="auto"/>
              <w:jc w:val="center"/>
              <w:rPr>
                <w:rFonts w:hint="default" w:ascii="Times New Roman" w:hAnsi="Times New Roman" w:cs="Times New Roman"/>
                <w:sz w:val="21"/>
                <w:szCs w:val="21"/>
              </w:rPr>
            </w:pPr>
            <w:r>
              <w:rPr>
                <w:rFonts w:hint="default" w:ascii="Times New Roman" w:hAnsi="Times New Roman" w:cs="Times New Roman"/>
                <w:b/>
                <w:sz w:val="21"/>
                <w:szCs w:val="21"/>
              </w:rPr>
              <w:t>Item</w:t>
            </w:r>
          </w:p>
        </w:tc>
        <w:tc>
          <w:tcPr>
            <w:tcW w:w="2835" w:type="dxa"/>
            <w:shd w:val="clear" w:color="auto" w:fill="auto"/>
            <w:vAlign w:val="center"/>
          </w:tcPr>
          <w:p w14:paraId="5609D2DB">
            <w:pPr>
              <w:spacing w:after="0" w:line="240" w:lineRule="auto"/>
              <w:jc w:val="center"/>
              <w:rPr>
                <w:rFonts w:hint="default" w:ascii="Times New Roman" w:hAnsi="Times New Roman" w:cs="Times New Roman"/>
                <w:sz w:val="21"/>
                <w:szCs w:val="21"/>
              </w:rPr>
            </w:pPr>
            <w:r>
              <w:rPr>
                <w:rFonts w:hint="default" w:ascii="Times New Roman" w:hAnsi="Times New Roman" w:cs="Times New Roman"/>
                <w:b/>
                <w:sz w:val="21"/>
                <w:szCs w:val="21"/>
              </w:rPr>
              <w:t>Registered approach</w:t>
            </w:r>
          </w:p>
        </w:tc>
        <w:tc>
          <w:tcPr>
            <w:tcW w:w="4535" w:type="dxa"/>
            <w:shd w:val="clear" w:color="auto" w:fill="auto"/>
            <w:vAlign w:val="center"/>
          </w:tcPr>
          <w:p w14:paraId="2E081C61">
            <w:pPr>
              <w:spacing w:after="0" w:line="240" w:lineRule="auto"/>
              <w:jc w:val="center"/>
              <w:rPr>
                <w:rFonts w:hint="default" w:ascii="Times New Roman" w:hAnsi="Times New Roman" w:cs="Times New Roman"/>
                <w:sz w:val="21"/>
                <w:szCs w:val="21"/>
              </w:rPr>
            </w:pPr>
            <w:r>
              <w:rPr>
                <w:rFonts w:hint="default" w:ascii="Times New Roman" w:hAnsi="Times New Roman" w:cs="Times New Roman"/>
                <w:b/>
                <w:sz w:val="21"/>
                <w:szCs w:val="21"/>
              </w:rPr>
              <w:t>Final approach</w:t>
            </w:r>
          </w:p>
        </w:tc>
        <w:tc>
          <w:tcPr>
            <w:tcW w:w="2268" w:type="dxa"/>
            <w:shd w:val="clear" w:color="auto" w:fill="auto"/>
            <w:vAlign w:val="center"/>
          </w:tcPr>
          <w:p w14:paraId="174AE036">
            <w:pPr>
              <w:spacing w:after="0" w:line="240" w:lineRule="auto"/>
              <w:jc w:val="center"/>
              <w:rPr>
                <w:rFonts w:hint="default" w:ascii="Times New Roman" w:hAnsi="Times New Roman" w:cs="Times New Roman"/>
                <w:sz w:val="21"/>
                <w:szCs w:val="21"/>
              </w:rPr>
            </w:pPr>
            <w:r>
              <w:rPr>
                <w:rFonts w:hint="default" w:ascii="Times New Roman" w:hAnsi="Times New Roman" w:cs="Times New Roman"/>
                <w:b/>
                <w:sz w:val="21"/>
                <w:szCs w:val="21"/>
              </w:rPr>
              <w:t>Timing</w:t>
            </w:r>
          </w:p>
        </w:tc>
        <w:tc>
          <w:tcPr>
            <w:tcW w:w="4535" w:type="dxa"/>
            <w:shd w:val="clear" w:color="auto" w:fill="auto"/>
            <w:vAlign w:val="center"/>
          </w:tcPr>
          <w:p w14:paraId="3A6C06D2">
            <w:pPr>
              <w:spacing w:after="0" w:line="240" w:lineRule="auto"/>
              <w:jc w:val="center"/>
              <w:rPr>
                <w:rFonts w:hint="default" w:ascii="Times New Roman" w:hAnsi="Times New Roman" w:cs="Times New Roman"/>
                <w:sz w:val="21"/>
                <w:szCs w:val="21"/>
              </w:rPr>
            </w:pPr>
            <w:r>
              <w:rPr>
                <w:rFonts w:hint="default" w:ascii="Times New Roman" w:hAnsi="Times New Roman" w:cs="Times New Roman"/>
                <w:b/>
                <w:sz w:val="21"/>
                <w:szCs w:val="21"/>
              </w:rPr>
              <w:t>Rationale</w:t>
            </w:r>
          </w:p>
        </w:tc>
      </w:tr>
      <w:tr w14:paraId="36708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70" w:type="dxa"/>
            <w:left w:w="70" w:type="dxa"/>
            <w:bottom w:w="70" w:type="dxa"/>
            <w:right w:w="70" w:type="dxa"/>
          </w:tblCellMar>
        </w:tblPrEx>
        <w:trPr>
          <w:cantSplit/>
          <w:jc w:val="center"/>
        </w:trPr>
        <w:tc>
          <w:tcPr>
            <w:tcW w:w="1984" w:type="dxa"/>
            <w:shd w:val="clear" w:color="auto" w:fill="auto"/>
            <w:vAlign w:val="top"/>
          </w:tcPr>
          <w:p w14:paraId="5A9F9D70">
            <w:pPr>
              <w:spacing w:after="0" w:line="240" w:lineRule="auto"/>
              <w:jc w:val="left"/>
              <w:rPr>
                <w:rFonts w:hint="default" w:ascii="Times New Roman" w:hAnsi="Times New Roman" w:cs="Times New Roman"/>
                <w:sz w:val="21"/>
                <w:szCs w:val="21"/>
              </w:rPr>
            </w:pPr>
            <w:r>
              <w:rPr>
                <w:rFonts w:hint="default" w:ascii="Times New Roman" w:hAnsi="Times New Roman" w:cs="Times New Roman"/>
                <w:b/>
                <w:sz w:val="21"/>
                <w:szCs w:val="21"/>
              </w:rPr>
              <w:t>Primary meta-analytic model</w:t>
            </w:r>
          </w:p>
        </w:tc>
        <w:tc>
          <w:tcPr>
            <w:tcW w:w="2835" w:type="dxa"/>
            <w:shd w:val="clear" w:color="auto" w:fill="auto"/>
            <w:vAlign w:val="top"/>
          </w:tcPr>
          <w:p w14:paraId="50590F68">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Fixed-effect models were planned when I² was ≤50%, with random-effects models used when I² was &gt;50%.</w:t>
            </w:r>
          </w:p>
        </w:tc>
        <w:tc>
          <w:tcPr>
            <w:tcW w:w="4535" w:type="dxa"/>
            <w:shd w:val="clear" w:color="auto" w:fill="auto"/>
            <w:vAlign w:val="top"/>
          </w:tcPr>
          <w:p w14:paraId="0DBFD95C">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Random-effects models were used for all primary quantitative syntheses, with between-study variance (τ²) estimated by restricted maximum likelihood (REML). Fixed-effect models were retained as sensitivity analyses.</w:t>
            </w:r>
          </w:p>
        </w:tc>
        <w:tc>
          <w:tcPr>
            <w:tcW w:w="2268" w:type="dxa"/>
            <w:shd w:val="clear" w:color="auto" w:fill="auto"/>
            <w:vAlign w:val="top"/>
          </w:tcPr>
          <w:p w14:paraId="7B3E9568">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Before the primary quantitative synthesis.</w:t>
            </w:r>
          </w:p>
        </w:tc>
        <w:tc>
          <w:tcPr>
            <w:tcW w:w="4535" w:type="dxa"/>
            <w:shd w:val="clear" w:color="auto" w:fill="auto"/>
            <w:vAlign w:val="top"/>
          </w:tcPr>
          <w:p w14:paraId="205DEE40">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Clinical and methodological heterogeneity was expected across populations, interventions, comparators, outcome measures, and assessment timing. A common random-effects estimand was therefore considered more appropriate than switching models according to the observed I² value.</w:t>
            </w:r>
          </w:p>
        </w:tc>
      </w:tr>
      <w:tr w14:paraId="1643C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70" w:type="dxa"/>
            <w:left w:w="70" w:type="dxa"/>
            <w:bottom w:w="70" w:type="dxa"/>
            <w:right w:w="70" w:type="dxa"/>
          </w:tblCellMar>
        </w:tblPrEx>
        <w:trPr>
          <w:cantSplit/>
          <w:jc w:val="center"/>
        </w:trPr>
        <w:tc>
          <w:tcPr>
            <w:tcW w:w="1984" w:type="dxa"/>
            <w:shd w:val="clear" w:color="auto" w:fill="auto"/>
            <w:vAlign w:val="top"/>
          </w:tcPr>
          <w:p w14:paraId="528A62AF">
            <w:pPr>
              <w:spacing w:after="0" w:line="240" w:lineRule="auto"/>
              <w:jc w:val="left"/>
              <w:rPr>
                <w:rFonts w:hint="default" w:ascii="Times New Roman" w:hAnsi="Times New Roman" w:cs="Times New Roman"/>
                <w:sz w:val="21"/>
                <w:szCs w:val="21"/>
              </w:rPr>
            </w:pPr>
            <w:r>
              <w:rPr>
                <w:rFonts w:hint="default" w:ascii="Times New Roman" w:hAnsi="Times New Roman" w:cs="Times New Roman"/>
                <w:b/>
                <w:sz w:val="21"/>
                <w:szCs w:val="21"/>
              </w:rPr>
              <w:t>Age-restricted sensitivity analysis</w:t>
            </w:r>
          </w:p>
        </w:tc>
        <w:tc>
          <w:tcPr>
            <w:tcW w:w="2835" w:type="dxa"/>
            <w:shd w:val="clear" w:color="auto" w:fill="auto"/>
            <w:vAlign w:val="top"/>
          </w:tcPr>
          <w:p w14:paraId="17CE8869">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Not prespecified in PROSPERO.</w:t>
            </w:r>
          </w:p>
        </w:tc>
        <w:tc>
          <w:tcPr>
            <w:tcW w:w="4535" w:type="dxa"/>
            <w:shd w:val="clear" w:color="auto" w:fill="auto"/>
            <w:vAlign w:val="top"/>
          </w:tcPr>
          <w:p w14:paraId="0F6F2047">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A post hoc sensitivity analysis restricted the evidence base to studies in which the reported overall mean or median age was ≥60 years; when only group-specific age summaries were available, both groups were required to meet the ≥60-year threshold; studies explicitly recruiting participants aged ≥60 years were also included.</w:t>
            </w:r>
          </w:p>
        </w:tc>
        <w:tc>
          <w:tcPr>
            <w:tcW w:w="2268" w:type="dxa"/>
            <w:shd w:val="clear" w:color="auto" w:fill="auto"/>
            <w:vAlign w:val="top"/>
          </w:tcPr>
          <w:p w14:paraId="7A55AEAF">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Added during first-round peer review (August 2026), after the primary analyses.</w:t>
            </w:r>
          </w:p>
        </w:tc>
        <w:tc>
          <w:tcPr>
            <w:tcW w:w="4535" w:type="dxa"/>
            <w:shd w:val="clear" w:color="auto" w:fill="auto"/>
            <w:vAlign w:val="top"/>
          </w:tcPr>
          <w:p w14:paraId="6C6D2249">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To examine whether pooled findings were materially influenced by studies including younger middle-aged samples and to clarify applicability to older adults. This analysis did not alter the registered ≥45-year study-level eligibility criterion or replace the primary analysis.</w:t>
            </w:r>
          </w:p>
        </w:tc>
      </w:tr>
      <w:tr w14:paraId="2FEE0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70" w:type="dxa"/>
            <w:left w:w="70" w:type="dxa"/>
            <w:bottom w:w="70" w:type="dxa"/>
            <w:right w:w="70" w:type="dxa"/>
          </w:tblCellMar>
        </w:tblPrEx>
        <w:trPr>
          <w:cantSplit/>
          <w:jc w:val="center"/>
        </w:trPr>
        <w:tc>
          <w:tcPr>
            <w:tcW w:w="1984" w:type="dxa"/>
            <w:shd w:val="clear" w:color="auto" w:fill="auto"/>
            <w:vAlign w:val="top"/>
          </w:tcPr>
          <w:p w14:paraId="1D33CB18">
            <w:pPr>
              <w:spacing w:after="0" w:line="240" w:lineRule="auto"/>
              <w:jc w:val="left"/>
              <w:rPr>
                <w:rFonts w:hint="default" w:ascii="Times New Roman" w:hAnsi="Times New Roman" w:cs="Times New Roman"/>
                <w:sz w:val="21"/>
                <w:szCs w:val="21"/>
              </w:rPr>
            </w:pPr>
            <w:r>
              <w:rPr>
                <w:rFonts w:hint="default" w:ascii="Times New Roman" w:hAnsi="Times New Roman" w:cs="Times New Roman"/>
                <w:b/>
                <w:sz w:val="21"/>
                <w:szCs w:val="21"/>
              </w:rPr>
              <w:t>Sensitivity analysis excluding academic theses/dissertations</w:t>
            </w:r>
          </w:p>
        </w:tc>
        <w:tc>
          <w:tcPr>
            <w:tcW w:w="2835" w:type="dxa"/>
            <w:shd w:val="clear" w:color="auto" w:fill="auto"/>
            <w:vAlign w:val="top"/>
          </w:tcPr>
          <w:p w14:paraId="229F8908">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Academic theses/dissertations with extractable quantitative data were eligible; no publication-type exclusion sensitivity analysis was prespecified.</w:t>
            </w:r>
          </w:p>
        </w:tc>
        <w:tc>
          <w:tcPr>
            <w:tcW w:w="4535" w:type="dxa"/>
            <w:shd w:val="clear" w:color="auto" w:fill="auto"/>
            <w:vAlign w:val="top"/>
          </w:tcPr>
          <w:p w14:paraId="76B54A05">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Post hoc sensitivity analyses excluded academic theses/dissertations from the outcomes to which they contributed.</w:t>
            </w:r>
          </w:p>
        </w:tc>
        <w:tc>
          <w:tcPr>
            <w:tcW w:w="2268" w:type="dxa"/>
            <w:shd w:val="clear" w:color="auto" w:fill="auto"/>
            <w:vAlign w:val="top"/>
          </w:tcPr>
          <w:p w14:paraId="715A8CAC">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Added during first-round peer review (August 2026), after verification of publication-type eligibility.</w:t>
            </w:r>
          </w:p>
        </w:tc>
        <w:tc>
          <w:tcPr>
            <w:tcW w:w="4535" w:type="dxa"/>
            <w:shd w:val="clear" w:color="auto" w:fill="auto"/>
            <w:vAlign w:val="top"/>
          </w:tcPr>
          <w:p w14:paraId="6719E5D7">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To examine the robustness of pooled estimates to inclusion of grey academic reports while retaining the registered eligibility criteria. No study was removed from the systematic review on the basis of publication type.</w:t>
            </w:r>
          </w:p>
        </w:tc>
      </w:tr>
      <w:tr w14:paraId="4675E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70" w:type="dxa"/>
            <w:left w:w="70" w:type="dxa"/>
            <w:bottom w:w="70" w:type="dxa"/>
            <w:right w:w="70" w:type="dxa"/>
          </w:tblCellMar>
        </w:tblPrEx>
        <w:trPr>
          <w:cantSplit/>
          <w:jc w:val="center"/>
        </w:trPr>
        <w:tc>
          <w:tcPr>
            <w:tcW w:w="1984" w:type="dxa"/>
            <w:shd w:val="clear" w:color="auto" w:fill="auto"/>
            <w:vAlign w:val="top"/>
          </w:tcPr>
          <w:p w14:paraId="10A02F4F">
            <w:pPr>
              <w:spacing w:after="0" w:line="240" w:lineRule="auto"/>
              <w:jc w:val="left"/>
              <w:rPr>
                <w:rFonts w:hint="default" w:ascii="Times New Roman" w:hAnsi="Times New Roman" w:cs="Times New Roman"/>
                <w:sz w:val="21"/>
                <w:szCs w:val="21"/>
              </w:rPr>
            </w:pPr>
            <w:r>
              <w:rPr>
                <w:rFonts w:hint="default" w:ascii="Times New Roman" w:hAnsi="Times New Roman" w:cs="Times New Roman"/>
                <w:b/>
                <w:sz w:val="21"/>
                <w:szCs w:val="21"/>
              </w:rPr>
              <w:t>Outcome-specific measurement-choice sensitivity analyses</w:t>
            </w:r>
          </w:p>
        </w:tc>
        <w:tc>
          <w:tcPr>
            <w:tcW w:w="2835" w:type="dxa"/>
            <w:shd w:val="clear" w:color="auto" w:fill="auto"/>
            <w:vAlign w:val="top"/>
          </w:tcPr>
          <w:p w14:paraId="69085C8F">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Not prespecified in PROSPERO.</w:t>
            </w:r>
          </w:p>
        </w:tc>
        <w:tc>
          <w:tcPr>
            <w:tcW w:w="4535" w:type="dxa"/>
            <w:shd w:val="clear" w:color="auto" w:fill="auto"/>
            <w:vAlign w:val="top"/>
          </w:tcPr>
          <w:p w14:paraId="08B02051">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Additional exploratory sensitivity analyses excluded the stress result measured using a visual analogue scale (VAS) and the mindfulness result measured using the Mindful Attention Awareness Scale (MAAS).</w:t>
            </w:r>
          </w:p>
        </w:tc>
        <w:tc>
          <w:tcPr>
            <w:tcW w:w="2268" w:type="dxa"/>
            <w:shd w:val="clear" w:color="auto" w:fill="auto"/>
            <w:vAlign w:val="top"/>
          </w:tcPr>
          <w:p w14:paraId="2D14C65D">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Added during first-round peer review (August 2026), after data extraction and the primary analyses.</w:t>
            </w:r>
          </w:p>
        </w:tc>
        <w:tc>
          <w:tcPr>
            <w:tcW w:w="4535" w:type="dxa"/>
            <w:shd w:val="clear" w:color="auto" w:fill="auto"/>
            <w:vAlign w:val="top"/>
          </w:tcPr>
          <w:p w14:paraId="1F00D371">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To examine whether pooled findings were sensitive to measurement choice within outcome domains. These analyses were treated as secondary robustness checks and did not modify the primary outcome definitions.</w:t>
            </w:r>
          </w:p>
        </w:tc>
      </w:tr>
      <w:tr w14:paraId="08D0F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70" w:type="dxa"/>
            <w:left w:w="70" w:type="dxa"/>
            <w:bottom w:w="70" w:type="dxa"/>
            <w:right w:w="70" w:type="dxa"/>
          </w:tblCellMar>
        </w:tblPrEx>
        <w:trPr>
          <w:cantSplit/>
          <w:jc w:val="center"/>
        </w:trPr>
        <w:tc>
          <w:tcPr>
            <w:tcW w:w="1984" w:type="dxa"/>
            <w:shd w:val="clear" w:color="auto" w:fill="auto"/>
            <w:vAlign w:val="top"/>
          </w:tcPr>
          <w:p w14:paraId="48BE6C6E">
            <w:pPr>
              <w:spacing w:after="0" w:line="240" w:lineRule="auto"/>
              <w:jc w:val="left"/>
              <w:rPr>
                <w:rFonts w:hint="default" w:ascii="Times New Roman" w:hAnsi="Times New Roman" w:cs="Times New Roman"/>
                <w:sz w:val="21"/>
                <w:szCs w:val="21"/>
              </w:rPr>
            </w:pPr>
            <w:r>
              <w:rPr>
                <w:rFonts w:hint="default" w:ascii="Times New Roman" w:hAnsi="Times New Roman" w:cs="Times New Roman"/>
                <w:b/>
                <w:sz w:val="21"/>
                <w:szCs w:val="21"/>
              </w:rPr>
              <w:t>Search-strategy refinement and rerun</w:t>
            </w:r>
          </w:p>
        </w:tc>
        <w:tc>
          <w:tcPr>
            <w:tcW w:w="2835" w:type="dxa"/>
            <w:shd w:val="clear" w:color="auto" w:fill="auto"/>
            <w:vAlign w:val="top"/>
          </w:tcPr>
          <w:p w14:paraId="0DAA9B0D">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The registered review targeted middle-aged/older adults and included guided imagery and biofeedback-assisted self-regulation as eligible intervention components; the original electronic search did not operationalize all of these concepts with explicit free-text terms.</w:t>
            </w:r>
          </w:p>
        </w:tc>
        <w:tc>
          <w:tcPr>
            <w:tcW w:w="4535" w:type="dxa"/>
            <w:shd w:val="clear" w:color="auto" w:fill="auto"/>
            <w:vAlign w:val="top"/>
          </w:tcPr>
          <w:p w14:paraId="785990F7">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Explicit middle-aged terminology and guided imagery/biofeedback-related terms were added to the database-specific search strategies. All database searches were rerun and the screening set and analyses were updated accordingly.</w:t>
            </w:r>
          </w:p>
        </w:tc>
        <w:tc>
          <w:tcPr>
            <w:tcW w:w="2268" w:type="dxa"/>
            <w:shd w:val="clear" w:color="auto" w:fill="auto"/>
            <w:vAlign w:val="top"/>
          </w:tcPr>
          <w:p w14:paraId="7D752588">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Second-round peer review (August–September 2026), before final analyses and reporting were completed.</w:t>
            </w:r>
          </w:p>
        </w:tc>
        <w:tc>
          <w:tcPr>
            <w:tcW w:w="4535" w:type="dxa"/>
            <w:shd w:val="clear" w:color="auto" w:fill="auto"/>
            <w:vAlign w:val="top"/>
          </w:tcPr>
          <w:p w14:paraId="13064E51">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To improve search sensitivity and ensure closer alignment between the registered eligibility criteria and the electronic search strategy in response to reviewer comments. The underlying eligibility criteria were unchanged.</w:t>
            </w:r>
          </w:p>
        </w:tc>
      </w:tr>
      <w:tr w14:paraId="6384C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70" w:type="dxa"/>
            <w:left w:w="70" w:type="dxa"/>
            <w:bottom w:w="70" w:type="dxa"/>
            <w:right w:w="70" w:type="dxa"/>
          </w:tblCellMar>
        </w:tblPrEx>
        <w:trPr>
          <w:cantSplit/>
          <w:jc w:val="center"/>
        </w:trPr>
        <w:tc>
          <w:tcPr>
            <w:tcW w:w="1984" w:type="dxa"/>
            <w:shd w:val="clear" w:color="auto" w:fill="auto"/>
            <w:vAlign w:val="top"/>
          </w:tcPr>
          <w:p w14:paraId="7977247B">
            <w:pPr>
              <w:spacing w:after="0" w:line="240" w:lineRule="auto"/>
              <w:jc w:val="left"/>
              <w:rPr>
                <w:rFonts w:hint="default" w:ascii="Times New Roman" w:hAnsi="Times New Roman" w:cs="Times New Roman"/>
                <w:sz w:val="21"/>
                <w:szCs w:val="21"/>
              </w:rPr>
            </w:pPr>
            <w:r>
              <w:rPr>
                <w:rFonts w:hint="default" w:ascii="Times New Roman" w:hAnsi="Times New Roman" w:cs="Times New Roman"/>
                <w:b/>
                <w:sz w:val="21"/>
                <w:szCs w:val="21"/>
              </w:rPr>
              <w:t>Anxiety assessment-context sensitivity analysis</w:t>
            </w:r>
          </w:p>
        </w:tc>
        <w:tc>
          <w:tcPr>
            <w:tcW w:w="2835" w:type="dxa"/>
            <w:shd w:val="clear" w:color="auto" w:fill="auto"/>
            <w:vAlign w:val="top"/>
          </w:tcPr>
          <w:p w14:paraId="7CAA21BE">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Not prespecified in PROSPERO.</w:t>
            </w:r>
          </w:p>
        </w:tc>
        <w:tc>
          <w:tcPr>
            <w:tcW w:w="4535" w:type="dxa"/>
            <w:shd w:val="clear" w:color="auto" w:fill="auto"/>
            <w:vAlign w:val="top"/>
          </w:tcPr>
          <w:p w14:paraId="03425D95">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A post hoc subgroup analysis compared acute/discrete-session with program-end/multi</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rPr>
              <w:t>session anxiety assessments, and a complementary sensitivity analysis restricted the synthesis to program-end assessments only.</w:t>
            </w:r>
          </w:p>
        </w:tc>
        <w:tc>
          <w:tcPr>
            <w:tcW w:w="2268" w:type="dxa"/>
            <w:shd w:val="clear" w:color="auto" w:fill="auto"/>
            <w:vAlign w:val="top"/>
          </w:tcPr>
          <w:p w14:paraId="7EF410E1">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Added during second-round peer review (September 2026), after the primary anxiety synthesis.</w:t>
            </w:r>
          </w:p>
        </w:tc>
        <w:tc>
          <w:tcPr>
            <w:tcW w:w="4535" w:type="dxa"/>
            <w:shd w:val="clear" w:color="auto" w:fill="auto"/>
            <w:vAlign w:val="top"/>
          </w:tcPr>
          <w:p w14:paraId="218C228F">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To examine whether the pooled anxiety estimate was driven predominantly by transient state-anxiety responses rather than by outcomes assessed at the end of multi</w:t>
            </w:r>
            <w:r>
              <w:rPr>
                <w:rFonts w:hint="eastAsia" w:ascii="Times New Roman" w:hAnsi="Times New Roman" w:cs="Times New Roman"/>
                <w:sz w:val="21"/>
                <w:szCs w:val="21"/>
                <w:lang w:val="en-US" w:eastAsia="zh-CN"/>
              </w:rPr>
              <w:t>-</w:t>
            </w:r>
            <w:r>
              <w:rPr>
                <w:rFonts w:hint="default" w:ascii="Times New Roman" w:hAnsi="Times New Roman" w:cs="Times New Roman"/>
                <w:sz w:val="21"/>
                <w:szCs w:val="21"/>
              </w:rPr>
              <w:t>session programs. The primary study-level endpoint-selection rules were unchanged.</w:t>
            </w:r>
          </w:p>
        </w:tc>
      </w:tr>
      <w:tr w14:paraId="5BCFB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70" w:type="dxa"/>
            <w:left w:w="70" w:type="dxa"/>
            <w:bottom w:w="70" w:type="dxa"/>
            <w:right w:w="70" w:type="dxa"/>
          </w:tblCellMar>
        </w:tblPrEx>
        <w:trPr>
          <w:cantSplit/>
          <w:jc w:val="center"/>
        </w:trPr>
        <w:tc>
          <w:tcPr>
            <w:tcW w:w="1984" w:type="dxa"/>
            <w:shd w:val="clear" w:color="auto" w:fill="auto"/>
            <w:vAlign w:val="top"/>
          </w:tcPr>
          <w:p w14:paraId="5713AE5F">
            <w:pPr>
              <w:spacing w:after="0" w:line="240" w:lineRule="auto"/>
              <w:jc w:val="left"/>
              <w:rPr>
                <w:rFonts w:hint="default" w:ascii="Times New Roman" w:hAnsi="Times New Roman" w:cs="Times New Roman"/>
                <w:sz w:val="21"/>
                <w:szCs w:val="21"/>
              </w:rPr>
            </w:pPr>
            <w:r>
              <w:rPr>
                <w:rFonts w:hint="default" w:ascii="Times New Roman" w:hAnsi="Times New Roman" w:cs="Times New Roman"/>
                <w:b/>
                <w:sz w:val="21"/>
                <w:szCs w:val="21"/>
              </w:rPr>
              <w:t>Targeted investigator contact for non-pooled RCTs</w:t>
            </w:r>
          </w:p>
        </w:tc>
        <w:tc>
          <w:tcPr>
            <w:tcW w:w="2835" w:type="dxa"/>
            <w:shd w:val="clear" w:color="auto" w:fill="auto"/>
            <w:vAlign w:val="top"/>
          </w:tcPr>
          <w:p w14:paraId="6E985549">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Routine author contact was not planned in the data-extraction field of the registration; the record separately allowed investigator contact when required information was unclear or unavailable.</w:t>
            </w:r>
          </w:p>
        </w:tc>
        <w:tc>
          <w:tcPr>
            <w:tcW w:w="4535" w:type="dxa"/>
            <w:shd w:val="clear" w:color="auto" w:fill="auto"/>
            <w:vAlign w:val="top"/>
          </w:tcPr>
          <w:p w14:paraId="3FF81966">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Investigators of the five otherwise eligible RCTs that could not be quantitatively synthesized were contacted to request missing summary statistics needed for a directly comparable endpoint effect estimate.</w:t>
            </w:r>
          </w:p>
        </w:tc>
        <w:tc>
          <w:tcPr>
            <w:tcW w:w="2268" w:type="dxa"/>
            <w:shd w:val="clear" w:color="auto" w:fill="auto"/>
            <w:vAlign w:val="top"/>
          </w:tcPr>
          <w:p w14:paraId="109A5747">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During revision (August 2026), before the final narrative synthesis was completed.</w:t>
            </w:r>
          </w:p>
        </w:tc>
        <w:tc>
          <w:tcPr>
            <w:tcW w:w="4535" w:type="dxa"/>
            <w:shd w:val="clear" w:color="auto" w:fill="auto"/>
            <w:vAlign w:val="top"/>
          </w:tcPr>
          <w:p w14:paraId="57BE9281">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To reduce avoidable exclusion from quantitative synthesis and to document attempts to obtain missing data. Non-equivalent effect estimates were not substituted into the primary endpoint-based meta-analysis.</w:t>
            </w:r>
          </w:p>
        </w:tc>
      </w:tr>
      <w:tr w14:paraId="34672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70" w:type="dxa"/>
            <w:left w:w="70" w:type="dxa"/>
            <w:bottom w:w="70" w:type="dxa"/>
            <w:right w:w="70" w:type="dxa"/>
          </w:tblCellMar>
        </w:tblPrEx>
        <w:trPr>
          <w:cantSplit/>
          <w:jc w:val="center"/>
        </w:trPr>
        <w:tc>
          <w:tcPr>
            <w:tcW w:w="1984" w:type="dxa"/>
            <w:shd w:val="clear" w:color="auto" w:fill="auto"/>
            <w:vAlign w:val="top"/>
          </w:tcPr>
          <w:p w14:paraId="720C4E7F">
            <w:pPr>
              <w:spacing w:after="0" w:line="240" w:lineRule="auto"/>
              <w:jc w:val="left"/>
              <w:rPr>
                <w:rFonts w:hint="default" w:ascii="Times New Roman" w:hAnsi="Times New Roman" w:cs="Times New Roman"/>
                <w:sz w:val="21"/>
                <w:szCs w:val="21"/>
              </w:rPr>
            </w:pPr>
            <w:r>
              <w:rPr>
                <w:rFonts w:hint="default" w:ascii="Times New Roman" w:hAnsi="Times New Roman" w:cs="Times New Roman"/>
                <w:b/>
                <w:sz w:val="21"/>
                <w:szCs w:val="21"/>
              </w:rPr>
              <w:t>Small-k random-effects inference</w:t>
            </w:r>
          </w:p>
        </w:tc>
        <w:tc>
          <w:tcPr>
            <w:tcW w:w="2835" w:type="dxa"/>
            <w:shd w:val="clear" w:color="auto" w:fill="auto"/>
            <w:vAlign w:val="top"/>
          </w:tcPr>
          <w:p w14:paraId="1DDE6913">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Standardized mean differences with 95% confidence intervals were planned; no specific small-k confidence-interval method was prespecified.</w:t>
            </w:r>
          </w:p>
        </w:tc>
        <w:tc>
          <w:tcPr>
            <w:tcW w:w="4535" w:type="dxa"/>
            <w:shd w:val="clear" w:color="auto" w:fill="auto"/>
            <w:vAlign w:val="top"/>
          </w:tcPr>
          <w:p w14:paraId="748F22BC">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REML random-effects estimates with Knapp–Hartung-adjusted confidence intervals and tests were used for primary inference. Conventional normal-approximation results were retained as sensitivity analyses.</w:t>
            </w:r>
          </w:p>
        </w:tc>
        <w:tc>
          <w:tcPr>
            <w:tcW w:w="2268" w:type="dxa"/>
            <w:shd w:val="clear" w:color="auto" w:fill="auto"/>
            <w:vAlign w:val="top"/>
          </w:tcPr>
          <w:p w14:paraId="376FA74C">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Added during second-round peer review (September 2026), before final statistical reporting.</w:t>
            </w:r>
          </w:p>
        </w:tc>
        <w:tc>
          <w:tcPr>
            <w:tcW w:w="4535" w:type="dxa"/>
            <w:shd w:val="clear" w:color="auto" w:fill="auto"/>
            <w:vAlign w:val="top"/>
          </w:tcPr>
          <w:p w14:paraId="3F8461A1">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To provide more conservative uncertainty estimation when several outcome syntheses contained few studies and to reduce the risk of overconfident inference from conventional normal-approximation intervals.</w:t>
            </w:r>
          </w:p>
        </w:tc>
      </w:tr>
      <w:tr w14:paraId="35DC5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jc w:val="center"/>
        </w:trPr>
        <w:tc>
          <w:tcPr>
            <w:tcW w:w="1984" w:type="dxa"/>
            <w:shd w:val="clear" w:color="auto" w:fill="auto"/>
            <w:vAlign w:val="top"/>
          </w:tcPr>
          <w:p w14:paraId="437D3738">
            <w:pPr>
              <w:spacing w:after="0" w:line="240" w:lineRule="auto"/>
              <w:jc w:val="left"/>
              <w:rPr>
                <w:rFonts w:hint="default" w:ascii="Times New Roman" w:hAnsi="Times New Roman" w:cs="Times New Roman"/>
                <w:sz w:val="21"/>
                <w:szCs w:val="21"/>
              </w:rPr>
            </w:pPr>
            <w:r>
              <w:rPr>
                <w:rFonts w:hint="default" w:ascii="Times New Roman" w:hAnsi="Times New Roman" w:cs="Times New Roman"/>
                <w:b/>
                <w:sz w:val="21"/>
                <w:szCs w:val="21"/>
              </w:rPr>
              <w:t>Heterogeneity reporting</w:t>
            </w:r>
          </w:p>
        </w:tc>
        <w:tc>
          <w:tcPr>
            <w:tcW w:w="2835" w:type="dxa"/>
            <w:shd w:val="clear" w:color="auto" w:fill="auto"/>
            <w:vAlign w:val="top"/>
          </w:tcPr>
          <w:p w14:paraId="29A6A4A0">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 xml:space="preserve">Cochran’s </w:t>
            </w:r>
            <w:r>
              <w:rPr>
                <w:rFonts w:hint="default" w:ascii="Times New Roman" w:hAnsi="Times New Roman" w:cs="Times New Roman"/>
                <w:i/>
                <w:iCs/>
                <w:sz w:val="21"/>
                <w:szCs w:val="21"/>
              </w:rPr>
              <w:t>Q</w:t>
            </w:r>
            <w:r>
              <w:rPr>
                <w:rFonts w:hint="default" w:ascii="Times New Roman" w:hAnsi="Times New Roman" w:cs="Times New Roman"/>
                <w:sz w:val="21"/>
                <w:szCs w:val="21"/>
              </w:rPr>
              <w:t xml:space="preserve"> and </w:t>
            </w:r>
            <w:r>
              <w:rPr>
                <w:rFonts w:hint="default" w:ascii="Times New Roman" w:hAnsi="Times New Roman" w:cs="Times New Roman"/>
                <w:i/>
                <w:iCs/>
                <w:sz w:val="21"/>
                <w:szCs w:val="21"/>
              </w:rPr>
              <w:t>I</w:t>
            </w:r>
            <w:r>
              <w:rPr>
                <w:rFonts w:hint="default" w:ascii="Times New Roman" w:hAnsi="Times New Roman" w:cs="Times New Roman"/>
                <w:sz w:val="21"/>
                <w:szCs w:val="21"/>
              </w:rPr>
              <w:t xml:space="preserve">² were prespecified for assessment of heterogeneity; </w:t>
            </w:r>
            <w:r>
              <w:rPr>
                <w:rFonts w:hint="default" w:ascii="Times New Roman" w:hAnsi="Times New Roman" w:cs="Times New Roman"/>
                <w:i/>
                <w:iCs/>
                <w:sz w:val="21"/>
                <w:szCs w:val="21"/>
              </w:rPr>
              <w:t>τ</w:t>
            </w:r>
            <w:r>
              <w:rPr>
                <w:rFonts w:hint="default" w:ascii="Times New Roman" w:hAnsi="Times New Roman" w:cs="Times New Roman"/>
                <w:sz w:val="21"/>
                <w:szCs w:val="21"/>
              </w:rPr>
              <w:t>² and prediction intervals were not explicitly specified.</w:t>
            </w:r>
          </w:p>
        </w:tc>
        <w:tc>
          <w:tcPr>
            <w:tcW w:w="4535" w:type="dxa"/>
            <w:shd w:val="clear" w:color="auto" w:fill="auto"/>
            <w:vAlign w:val="top"/>
          </w:tcPr>
          <w:p w14:paraId="40790DE6">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τ² was reported alongside I² for random-effects syntheses, and 95% prediction intervals were added where estimable.</w:t>
            </w:r>
          </w:p>
        </w:tc>
        <w:tc>
          <w:tcPr>
            <w:tcW w:w="2268" w:type="dxa"/>
            <w:shd w:val="clear" w:color="auto" w:fill="auto"/>
            <w:vAlign w:val="top"/>
          </w:tcPr>
          <w:p w14:paraId="28A01260">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Added during second-round peer review (September 2026).</w:t>
            </w:r>
          </w:p>
        </w:tc>
        <w:tc>
          <w:tcPr>
            <w:tcW w:w="4535" w:type="dxa"/>
            <w:shd w:val="clear" w:color="auto" w:fill="auto"/>
            <w:vAlign w:val="top"/>
          </w:tcPr>
          <w:p w14:paraId="3A11D9A2">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To provide a more informative description of between-study heterogeneity and the plausible range of effects that may be observed in future comparable settings.</w:t>
            </w:r>
          </w:p>
        </w:tc>
      </w:tr>
      <w:tr w14:paraId="4180F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70" w:type="dxa"/>
            <w:left w:w="70" w:type="dxa"/>
            <w:bottom w:w="70" w:type="dxa"/>
            <w:right w:w="70" w:type="dxa"/>
          </w:tblCellMar>
        </w:tblPrEx>
        <w:trPr>
          <w:cantSplit/>
          <w:jc w:val="center"/>
        </w:trPr>
        <w:tc>
          <w:tcPr>
            <w:tcW w:w="1984" w:type="dxa"/>
            <w:shd w:val="clear" w:color="auto" w:fill="auto"/>
            <w:vAlign w:val="top"/>
          </w:tcPr>
          <w:p w14:paraId="1D698D49">
            <w:pPr>
              <w:spacing w:after="0" w:line="240" w:lineRule="auto"/>
              <w:jc w:val="left"/>
              <w:rPr>
                <w:rFonts w:hint="default" w:ascii="Times New Roman" w:hAnsi="Times New Roman" w:cs="Times New Roman"/>
                <w:sz w:val="21"/>
                <w:szCs w:val="21"/>
              </w:rPr>
            </w:pPr>
            <w:r>
              <w:rPr>
                <w:rFonts w:hint="default" w:ascii="Times New Roman" w:hAnsi="Times New Roman" w:cs="Times New Roman"/>
                <w:b/>
                <w:sz w:val="21"/>
                <w:szCs w:val="21"/>
              </w:rPr>
              <w:t>GRADE imprecision criteria</w:t>
            </w:r>
          </w:p>
        </w:tc>
        <w:tc>
          <w:tcPr>
            <w:tcW w:w="2835" w:type="dxa"/>
            <w:shd w:val="clear" w:color="auto" w:fill="auto"/>
            <w:vAlign w:val="top"/>
          </w:tcPr>
          <w:p w14:paraId="4D7DE043">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GRADE assessment across risk of bias, inconsistency, indirectness, imprecision, and publication bias was prespecified, but no explicit operational rule for imprecision was registered.</w:t>
            </w:r>
          </w:p>
        </w:tc>
        <w:tc>
          <w:tcPr>
            <w:tcW w:w="4535" w:type="dxa"/>
            <w:shd w:val="clear" w:color="auto" w:fill="auto"/>
            <w:vAlign w:val="top"/>
          </w:tcPr>
          <w:p w14:paraId="69D0B93E">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Imprecision judgments were based on the primary Knapp–Hartung 95% confidence interval together with an OIS of approximately 800 participants for standardized continuous outcomes. Because no defensible cross-scale minimally important difference was available, an absolute standardized mean difference of 0.20 was used as a pragmatic numerical threshold of interest for the GRADE imprecision assessment, but not as a patient-level minimally important difference or a threshold for clinically meaningful benefit. Evidence was downgraded when the confidence interval crossed the outcome-directional threshold corresponding to |SMD|=0.20 and/or the accumulated information size did not meet the OIS; downgrading by two levels was considered when the information size was markedly below the OIS and the interval encompassed effects exceeding the operational threshold in both directions.</w:t>
            </w:r>
          </w:p>
        </w:tc>
        <w:tc>
          <w:tcPr>
            <w:tcW w:w="2268" w:type="dxa"/>
            <w:shd w:val="clear" w:color="auto" w:fill="auto"/>
            <w:vAlign w:val="top"/>
          </w:tcPr>
          <w:p w14:paraId="690FA0B7">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Operationalized during second-round peer review (September 2026), before final GRADE ratings were reported.</w:t>
            </w:r>
          </w:p>
        </w:tc>
        <w:tc>
          <w:tcPr>
            <w:tcW w:w="4535" w:type="dxa"/>
            <w:shd w:val="clear" w:color="auto" w:fill="auto"/>
            <w:vAlign w:val="top"/>
          </w:tcPr>
          <w:p w14:paraId="4F9021A4">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To make GRADE judgments explicit and auditable and to avoid treating statistical significance or exclusion of the null value as sufficient evidence of adequate precision or clinical importance.</w:t>
            </w:r>
          </w:p>
        </w:tc>
      </w:tr>
      <w:tr w14:paraId="1407F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70" w:type="dxa"/>
            <w:left w:w="70" w:type="dxa"/>
            <w:bottom w:w="70" w:type="dxa"/>
            <w:right w:w="70" w:type="dxa"/>
          </w:tblCellMar>
        </w:tblPrEx>
        <w:trPr>
          <w:cantSplit/>
          <w:jc w:val="center"/>
        </w:trPr>
        <w:tc>
          <w:tcPr>
            <w:tcW w:w="1984" w:type="dxa"/>
            <w:shd w:val="clear" w:color="auto" w:fill="auto"/>
            <w:vAlign w:val="top"/>
          </w:tcPr>
          <w:p w14:paraId="43002688">
            <w:pPr>
              <w:spacing w:after="0" w:line="240" w:lineRule="auto"/>
              <w:jc w:val="left"/>
              <w:rPr>
                <w:rFonts w:hint="default" w:ascii="Times New Roman" w:hAnsi="Times New Roman" w:cs="Times New Roman"/>
                <w:sz w:val="21"/>
                <w:szCs w:val="21"/>
              </w:rPr>
            </w:pPr>
            <w:r>
              <w:rPr>
                <w:rFonts w:hint="default" w:ascii="Times New Roman" w:hAnsi="Times New Roman" w:cs="Times New Roman"/>
                <w:b/>
                <w:sz w:val="21"/>
                <w:szCs w:val="21"/>
              </w:rPr>
              <w:t>Structured synthesis of non-pooled studies</w:t>
            </w:r>
          </w:p>
        </w:tc>
        <w:tc>
          <w:tcPr>
            <w:tcW w:w="2835" w:type="dxa"/>
            <w:shd w:val="clear" w:color="auto" w:fill="auto"/>
            <w:vAlign w:val="top"/>
          </w:tcPr>
          <w:p w14:paraId="08EF0FE6">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Narrative synthesis was planned when meta-analysis was not feasible; the registration did not prespecify a detailed synthesis framework.</w:t>
            </w:r>
          </w:p>
        </w:tc>
        <w:tc>
          <w:tcPr>
            <w:tcW w:w="4535" w:type="dxa"/>
            <w:shd w:val="clear" w:color="auto" w:fill="auto"/>
            <w:vAlign w:val="top"/>
          </w:tcPr>
          <w:p w14:paraId="18492A25">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The five non-pooled RCTs were summarized using a structured synthesis incorporating effect direction, available precision, sample size, result-level risk of bias, clinical context, and the reason quantitative pooling was not possible.</w:t>
            </w:r>
          </w:p>
        </w:tc>
        <w:tc>
          <w:tcPr>
            <w:tcW w:w="2268" w:type="dxa"/>
            <w:shd w:val="clear" w:color="auto" w:fill="auto"/>
            <w:vAlign w:val="top"/>
          </w:tcPr>
          <w:p w14:paraId="0E44F660">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Added during second-round peer review (September 2026), before final Results and supplementary reporting.</w:t>
            </w:r>
          </w:p>
        </w:tc>
        <w:tc>
          <w:tcPr>
            <w:tcW w:w="4535" w:type="dxa"/>
            <w:shd w:val="clear" w:color="auto" w:fill="auto"/>
            <w:vAlign w:val="top"/>
          </w:tcPr>
          <w:p w14:paraId="70393BF7">
            <w:pPr>
              <w:spacing w:after="0" w:line="240" w:lineRule="auto"/>
              <w:jc w:val="left"/>
              <w:rPr>
                <w:rFonts w:hint="default" w:ascii="Times New Roman" w:hAnsi="Times New Roman" w:cs="Times New Roman"/>
                <w:sz w:val="21"/>
                <w:szCs w:val="21"/>
              </w:rPr>
            </w:pPr>
            <w:r>
              <w:rPr>
                <w:rFonts w:hint="default" w:ascii="Times New Roman" w:hAnsi="Times New Roman" w:cs="Times New Roman"/>
                <w:sz w:val="21"/>
                <w:szCs w:val="21"/>
              </w:rPr>
              <w:t>To avoid significance-based vote counting and to provide a more transparent synthesis of otherwise eligible evidence that could not contribute to the endpoint-based meta-analysis.</w:t>
            </w:r>
          </w:p>
        </w:tc>
      </w:tr>
    </w:tbl>
    <w:p w14:paraId="27F0BB28">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both"/>
        <w:textAlignment w:val="auto"/>
        <w:rPr>
          <w:rFonts w:hint="default" w:ascii="Times New Roman" w:hAnsi="Times New Roman" w:cs="Times New Roman"/>
          <w:color w:val="auto"/>
          <w:sz w:val="24"/>
          <w:szCs w:val="24"/>
          <w:lang w:val="en-US" w:eastAsia="zh-CN"/>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r>
        <w:rPr>
          <w:rFonts w:hint="eastAsia" w:cs="Times New Roman"/>
          <w:i/>
          <w:iCs/>
          <w:color w:val="auto"/>
          <w:sz w:val="24"/>
          <w:szCs w:val="24"/>
          <w:lang w:val="en-US" w:eastAsia="zh-CN"/>
        </w:rPr>
        <w:t xml:space="preserve">Note: </w:t>
      </w:r>
      <w:r>
        <w:rPr>
          <w:rFonts w:hint="default" w:ascii="Times New Roman" w:hAnsi="Times New Roman" w:cs="Times New Roman"/>
          <w:color w:val="auto"/>
          <w:sz w:val="24"/>
          <w:szCs w:val="24"/>
          <w:lang w:val="en-US" w:eastAsia="zh-CN"/>
        </w:rPr>
        <w:t>The registered approach refers to PROSPERO CRD420261395296, version 1.0, published 19 May 2026. “Post hoc” denotes analyses or procedures added after the review had begun and not explicitly prespecified in the registration. These additions were used for sensitivity, exploratory, transparency, or reporting purposes and did not redefine the registered population threshold, intervention eligibility framework, or primary outcome domains</w:t>
      </w:r>
      <w:r>
        <w:rPr>
          <w:rFonts w:hint="eastAsia" w:ascii="Times New Roman" w:hAnsi="Times New Roman" w:cs="Times New Roman"/>
          <w:color w:val="auto"/>
          <w:sz w:val="24"/>
          <w:szCs w:val="24"/>
          <w:lang w:val="en-US" w:eastAsia="zh-CN"/>
        </w:rPr>
        <w:t>.</w:t>
      </w:r>
    </w:p>
    <w:p w14:paraId="001B050B">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center"/>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drawing>
          <wp:anchor distT="0" distB="0" distL="114300" distR="114300" simplePos="0" relativeHeight="251659264" behindDoc="0" locked="0" layoutInCell="1" allowOverlap="1">
            <wp:simplePos x="0" y="0"/>
            <wp:positionH relativeFrom="column">
              <wp:posOffset>-62865</wp:posOffset>
            </wp:positionH>
            <wp:positionV relativeFrom="page">
              <wp:posOffset>945515</wp:posOffset>
            </wp:positionV>
            <wp:extent cx="5400040" cy="2219325"/>
            <wp:effectExtent l="0" t="0" r="10160" b="5715"/>
            <wp:wrapTopAndBottom/>
            <wp:docPr id="1" name="图片 1" descr="Stress_primary_fo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tress_primary_forest"/>
                    <pic:cNvPicPr>
                      <a:picLocks noChangeAspect="1"/>
                    </pic:cNvPicPr>
                  </pic:nvPicPr>
                  <pic:blipFill>
                    <a:blip r:embed="rId5"/>
                    <a:srcRect t="6305"/>
                    <a:stretch>
                      <a:fillRect/>
                    </a:stretch>
                  </pic:blipFill>
                  <pic:spPr>
                    <a:xfrm>
                      <a:off x="0" y="0"/>
                      <a:ext cx="5400040" cy="2219325"/>
                    </a:xfrm>
                    <a:prstGeom prst="rect">
                      <a:avLst/>
                    </a:prstGeom>
                  </pic:spPr>
                </pic:pic>
              </a:graphicData>
            </a:graphic>
          </wp:anchor>
        </w:drawing>
      </w:r>
      <w:r>
        <w:rPr>
          <w:rFonts w:hint="default" w:ascii="Times New Roman" w:hAnsi="Times New Roman" w:cs="Times New Roman"/>
          <w:b/>
          <w:bCs/>
          <w:color w:val="auto"/>
          <w:sz w:val="24"/>
          <w:szCs w:val="24"/>
          <w:highlight w:val="none"/>
          <w:lang w:val="en-US" w:eastAsia="zh-CN"/>
        </w:rPr>
        <w:t>Figure S1.</w:t>
      </w:r>
      <w:r>
        <w:rPr>
          <w:rFonts w:hint="default" w:ascii="Times New Roman" w:hAnsi="Times New Roman" w:cs="Times New Roman"/>
          <w:b w:val="0"/>
          <w:bCs w:val="0"/>
          <w:color w:val="auto"/>
          <w:sz w:val="24"/>
          <w:szCs w:val="24"/>
          <w:highlight w:val="none"/>
          <w:lang w:val="en-US" w:eastAsia="zh-CN"/>
        </w:rPr>
        <w:t xml:space="preserve"> Forest plot for stress meta-analysis</w:t>
      </w:r>
    </w:p>
    <w:p w14:paraId="2AC9798D">
      <w:pPr>
        <w:spacing w:beforeLines="0" w:afterLines="0" w:line="360" w:lineRule="auto"/>
        <w:jc w:val="center"/>
        <w:rPr>
          <w:rFonts w:hint="default" w:ascii="Times New Roman" w:hAnsi="Times New Roman" w:cs="Times New Roman"/>
          <w:b w:val="0"/>
          <w:bCs w:val="0"/>
          <w:color w:val="auto"/>
          <w:sz w:val="22"/>
          <w:szCs w:val="22"/>
          <w:highlight w:val="none"/>
          <w:lang w:val="en-US" w:eastAsia="zh-CN"/>
        </w:rPr>
      </w:pPr>
      <w:r>
        <w:rPr>
          <w:rFonts w:hint="default" w:ascii="Times New Roman" w:hAnsi="Times New Roman" w:cs="Times New Roman"/>
          <w:b/>
          <w:bCs/>
          <w:color w:val="auto"/>
          <w:sz w:val="24"/>
          <w:szCs w:val="24"/>
          <w:highlight w:val="none"/>
          <w:lang w:val="en-US" w:eastAsia="zh-CN"/>
        </w:rPr>
        <w:t>Figure S2.</w:t>
      </w:r>
      <w:r>
        <w:rPr>
          <w:rFonts w:hint="default" w:ascii="Times New Roman" w:hAnsi="Times New Roman" w:cs="Times New Roman"/>
          <w:b w:val="0"/>
          <w:bCs w:val="0"/>
          <w:color w:val="auto"/>
          <w:sz w:val="24"/>
          <w:szCs w:val="24"/>
          <w:highlight w:val="none"/>
          <w:lang w:val="en-US" w:eastAsia="zh-CN"/>
        </w:rPr>
        <w:t xml:space="preserve"> Forest plot for mindfulness meta-analysis</w:t>
      </w:r>
    </w:p>
    <w:p w14:paraId="4981A997">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center"/>
        <w:textAlignment w:val="auto"/>
        <w:rPr>
          <w:rFonts w:hint="default" w:ascii="Times New Roman" w:hAnsi="Times New Roman" w:cs="Times New Roman"/>
          <w:b w:val="0"/>
          <w:bCs w:val="0"/>
          <w:color w:val="auto"/>
          <w:sz w:val="24"/>
          <w:szCs w:val="24"/>
          <w:highlight w:val="none"/>
          <w:lang w:val="en-US" w:eastAsia="zh-CN"/>
        </w:rPr>
      </w:pPr>
      <w:r>
        <w:rPr>
          <w:rFonts w:hint="default" w:ascii="Times New Roman" w:hAnsi="Times New Roman" w:cs="Times New Roman"/>
          <w:b w:val="0"/>
          <w:bCs w:val="0"/>
          <w:color w:val="auto"/>
          <w:sz w:val="24"/>
          <w:szCs w:val="24"/>
          <w:highlight w:val="none"/>
          <w:lang w:val="en-US" w:eastAsia="zh-CN"/>
        </w:rPr>
        <w:drawing>
          <wp:anchor distT="0" distB="0" distL="114300" distR="114300" simplePos="0" relativeHeight="251660288" behindDoc="0" locked="0" layoutInCell="1" allowOverlap="1">
            <wp:simplePos x="0" y="0"/>
            <wp:positionH relativeFrom="column">
              <wp:posOffset>-83185</wp:posOffset>
            </wp:positionH>
            <wp:positionV relativeFrom="page">
              <wp:posOffset>3677285</wp:posOffset>
            </wp:positionV>
            <wp:extent cx="5400040" cy="2131060"/>
            <wp:effectExtent l="0" t="0" r="10160" b="2540"/>
            <wp:wrapTopAndBottom/>
            <wp:docPr id="2" name="图片 2" descr="Mindfulness_primary_fo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Mindfulness_primary_forest"/>
                    <pic:cNvPicPr>
                      <a:picLocks noChangeAspect="1"/>
                    </pic:cNvPicPr>
                  </pic:nvPicPr>
                  <pic:blipFill>
                    <a:blip r:embed="rId6"/>
                    <a:srcRect t="7918"/>
                    <a:stretch>
                      <a:fillRect/>
                    </a:stretch>
                  </pic:blipFill>
                  <pic:spPr>
                    <a:xfrm>
                      <a:off x="0" y="0"/>
                      <a:ext cx="5400040" cy="2131060"/>
                    </a:xfrm>
                    <a:prstGeom prst="rect">
                      <a:avLst/>
                    </a:prstGeom>
                  </pic:spPr>
                </pic:pic>
              </a:graphicData>
            </a:graphic>
          </wp:anchor>
        </w:drawing>
      </w:r>
    </w:p>
    <w:p w14:paraId="6452773D">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center"/>
        <w:textAlignment w:val="auto"/>
        <w:rPr>
          <w:rFonts w:hint="default" w:ascii="Times New Roman" w:hAnsi="Times New Roman" w:cs="Times New Roman"/>
          <w:b w:val="0"/>
          <w:bCs w:val="0"/>
          <w:color w:val="auto"/>
          <w:sz w:val="24"/>
          <w:szCs w:val="24"/>
          <w:highlight w:val="none"/>
          <w:lang w:val="en-US" w:eastAsia="zh-CN"/>
        </w:rPr>
      </w:pPr>
    </w:p>
    <w:p w14:paraId="5336F904">
      <w:pPr>
        <w:pStyle w:val="9"/>
        <w:keepNext w:val="0"/>
        <w:keepLines w:val="0"/>
        <w:pageBreakBefore w:val="0"/>
        <w:widowControl w:val="0"/>
        <w:numPr>
          <w:ilvl w:val="0"/>
          <w:numId w:val="0"/>
        </w:numPr>
        <w:kinsoku/>
        <w:wordWrap/>
        <w:overflowPunct/>
        <w:topLinePunct w:val="0"/>
        <w:autoSpaceDE/>
        <w:autoSpaceDN/>
        <w:bidi w:val="0"/>
        <w:adjustRightInd w:val="0"/>
        <w:snapToGrid/>
        <w:spacing w:line="360" w:lineRule="auto"/>
        <w:jc w:val="center"/>
        <w:textAlignment w:val="auto"/>
        <w:rPr>
          <w:rFonts w:hint="default" w:ascii="Times New Roman" w:hAnsi="Times New Roman" w:cs="Times New Roman"/>
          <w:b w:val="0"/>
          <w:bCs w:val="0"/>
          <w:color w:val="auto"/>
          <w:sz w:val="24"/>
          <w:szCs w:val="24"/>
          <w:highlight w:val="none"/>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Georgia">
    <w:panose1 w:val="02040502050405020303"/>
    <w:charset w:val="00"/>
    <w:family w:val="auto"/>
    <w:pitch w:val="default"/>
    <w:sig w:usb0="00000287" w:usb1="00000000" w:usb2="00000000" w:usb3="00000000" w:csb0="2000009F" w:csb1="00000000"/>
  </w:font>
  <w:font w:name="楷体">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等线">
    <w:panose1 w:val="02010600030101010101"/>
    <w:charset w:val="86"/>
    <w:family w:val="auto"/>
    <w:pitch w:val="default"/>
    <w:sig w:usb0="A00002BF" w:usb1="38CF7CFA" w:usb2="00000016" w:usb3="00000000" w:csb0="0004000F" w:csb1="00000000"/>
  </w:font>
  <w:font w:name="HYSinMyeongJo-Medium">
    <w:altName w:val="Malgun Gothic"/>
    <w:panose1 w:val="02030600000101010101"/>
    <w:charset w:val="81"/>
    <w:family w:val="roman"/>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56222">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8A251C">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428A251C">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D6784B"/>
    <w:rsid w:val="002E1F6F"/>
    <w:rsid w:val="005D2854"/>
    <w:rsid w:val="00780DBC"/>
    <w:rsid w:val="00A03414"/>
    <w:rsid w:val="00BF706B"/>
    <w:rsid w:val="00DF3DA4"/>
    <w:rsid w:val="010B405F"/>
    <w:rsid w:val="013F77F9"/>
    <w:rsid w:val="01422674"/>
    <w:rsid w:val="015500B5"/>
    <w:rsid w:val="015C48BA"/>
    <w:rsid w:val="01692E5D"/>
    <w:rsid w:val="01A3073B"/>
    <w:rsid w:val="01EF43BB"/>
    <w:rsid w:val="021E7911"/>
    <w:rsid w:val="024C2B81"/>
    <w:rsid w:val="02781BC8"/>
    <w:rsid w:val="029562D6"/>
    <w:rsid w:val="02A76009"/>
    <w:rsid w:val="02E1776D"/>
    <w:rsid w:val="03174F3D"/>
    <w:rsid w:val="03195159"/>
    <w:rsid w:val="03212322"/>
    <w:rsid w:val="03404493"/>
    <w:rsid w:val="035E700F"/>
    <w:rsid w:val="0371289F"/>
    <w:rsid w:val="03B10EED"/>
    <w:rsid w:val="03B66504"/>
    <w:rsid w:val="03D67F82"/>
    <w:rsid w:val="03EA08A3"/>
    <w:rsid w:val="040A2CF3"/>
    <w:rsid w:val="04770389"/>
    <w:rsid w:val="04974587"/>
    <w:rsid w:val="04BD1688"/>
    <w:rsid w:val="04DF7CDC"/>
    <w:rsid w:val="04F3135D"/>
    <w:rsid w:val="051F79A0"/>
    <w:rsid w:val="052D0A47"/>
    <w:rsid w:val="053B5ED5"/>
    <w:rsid w:val="055135C6"/>
    <w:rsid w:val="05580EB7"/>
    <w:rsid w:val="05740424"/>
    <w:rsid w:val="05771B25"/>
    <w:rsid w:val="058D14E6"/>
    <w:rsid w:val="05A80BF4"/>
    <w:rsid w:val="05E82BC0"/>
    <w:rsid w:val="06085010"/>
    <w:rsid w:val="06587D46"/>
    <w:rsid w:val="066C37F1"/>
    <w:rsid w:val="069778EF"/>
    <w:rsid w:val="06FA0DFD"/>
    <w:rsid w:val="07B94814"/>
    <w:rsid w:val="08096ED2"/>
    <w:rsid w:val="08852948"/>
    <w:rsid w:val="08A16908"/>
    <w:rsid w:val="08FA6E92"/>
    <w:rsid w:val="094E5430"/>
    <w:rsid w:val="095567BF"/>
    <w:rsid w:val="09750C0F"/>
    <w:rsid w:val="09866978"/>
    <w:rsid w:val="099A2423"/>
    <w:rsid w:val="09C474A0"/>
    <w:rsid w:val="09CC05CB"/>
    <w:rsid w:val="0A0009B5"/>
    <w:rsid w:val="0A032908"/>
    <w:rsid w:val="0A1E5D92"/>
    <w:rsid w:val="0A375EC4"/>
    <w:rsid w:val="0A546CFD"/>
    <w:rsid w:val="0A960E3D"/>
    <w:rsid w:val="0ADD4CBE"/>
    <w:rsid w:val="0B1B4548"/>
    <w:rsid w:val="0B59720D"/>
    <w:rsid w:val="0B846A84"/>
    <w:rsid w:val="0B867FFD"/>
    <w:rsid w:val="0B891CA7"/>
    <w:rsid w:val="0B925AA8"/>
    <w:rsid w:val="0BC55E7E"/>
    <w:rsid w:val="0BC81BCE"/>
    <w:rsid w:val="0C131DE7"/>
    <w:rsid w:val="0C191D25"/>
    <w:rsid w:val="0C3112D8"/>
    <w:rsid w:val="0C375F99"/>
    <w:rsid w:val="0C580AA0"/>
    <w:rsid w:val="0C6C454B"/>
    <w:rsid w:val="0C803B53"/>
    <w:rsid w:val="0CB657C6"/>
    <w:rsid w:val="0CB87790"/>
    <w:rsid w:val="0CC53C5B"/>
    <w:rsid w:val="0CE560AB"/>
    <w:rsid w:val="0D29128D"/>
    <w:rsid w:val="0D405202"/>
    <w:rsid w:val="0D5B011C"/>
    <w:rsid w:val="0D5B2F4D"/>
    <w:rsid w:val="0D674D12"/>
    <w:rsid w:val="0D933D59"/>
    <w:rsid w:val="0DA6583B"/>
    <w:rsid w:val="0DF330A7"/>
    <w:rsid w:val="0DF77E44"/>
    <w:rsid w:val="0E17372E"/>
    <w:rsid w:val="0E176739"/>
    <w:rsid w:val="0E796AAB"/>
    <w:rsid w:val="0E833DCE"/>
    <w:rsid w:val="0EB42135"/>
    <w:rsid w:val="0EC95C85"/>
    <w:rsid w:val="0EF44384"/>
    <w:rsid w:val="0F052A35"/>
    <w:rsid w:val="0F2E5AE8"/>
    <w:rsid w:val="0F733789"/>
    <w:rsid w:val="0F9F69E6"/>
    <w:rsid w:val="0FD348E1"/>
    <w:rsid w:val="0FE200C5"/>
    <w:rsid w:val="100B3384"/>
    <w:rsid w:val="100D7DF3"/>
    <w:rsid w:val="105D79DE"/>
    <w:rsid w:val="10611EED"/>
    <w:rsid w:val="10D64689"/>
    <w:rsid w:val="10DE709A"/>
    <w:rsid w:val="111F3680"/>
    <w:rsid w:val="11223004"/>
    <w:rsid w:val="113C371A"/>
    <w:rsid w:val="1148196C"/>
    <w:rsid w:val="11513029"/>
    <w:rsid w:val="117D4B05"/>
    <w:rsid w:val="117F262B"/>
    <w:rsid w:val="119B31DD"/>
    <w:rsid w:val="11BD13A5"/>
    <w:rsid w:val="11D54941"/>
    <w:rsid w:val="11F12DFD"/>
    <w:rsid w:val="121E62E8"/>
    <w:rsid w:val="124318AA"/>
    <w:rsid w:val="12977E48"/>
    <w:rsid w:val="12EF3EDA"/>
    <w:rsid w:val="12FB03D7"/>
    <w:rsid w:val="12FB746A"/>
    <w:rsid w:val="13135720"/>
    <w:rsid w:val="134358DA"/>
    <w:rsid w:val="1367781A"/>
    <w:rsid w:val="140212F1"/>
    <w:rsid w:val="140D5ACB"/>
    <w:rsid w:val="14425B91"/>
    <w:rsid w:val="144B0EEA"/>
    <w:rsid w:val="145C6C53"/>
    <w:rsid w:val="147C72F5"/>
    <w:rsid w:val="14CF1B1B"/>
    <w:rsid w:val="151668A7"/>
    <w:rsid w:val="152534E9"/>
    <w:rsid w:val="15267261"/>
    <w:rsid w:val="15802E15"/>
    <w:rsid w:val="15F44823"/>
    <w:rsid w:val="16021CAC"/>
    <w:rsid w:val="16414353"/>
    <w:rsid w:val="164E081E"/>
    <w:rsid w:val="1666025D"/>
    <w:rsid w:val="16C62AAA"/>
    <w:rsid w:val="16F47617"/>
    <w:rsid w:val="1711679D"/>
    <w:rsid w:val="17150358"/>
    <w:rsid w:val="173914CE"/>
    <w:rsid w:val="17A50911"/>
    <w:rsid w:val="17B0596B"/>
    <w:rsid w:val="17D80CE7"/>
    <w:rsid w:val="17F906B8"/>
    <w:rsid w:val="17FB49D5"/>
    <w:rsid w:val="180715CC"/>
    <w:rsid w:val="18226406"/>
    <w:rsid w:val="18624641"/>
    <w:rsid w:val="1892089D"/>
    <w:rsid w:val="18980476"/>
    <w:rsid w:val="18B2778A"/>
    <w:rsid w:val="18DE496E"/>
    <w:rsid w:val="18F27B86"/>
    <w:rsid w:val="18FA4C8D"/>
    <w:rsid w:val="190F0738"/>
    <w:rsid w:val="193C7057"/>
    <w:rsid w:val="19AF7825"/>
    <w:rsid w:val="19C22E49"/>
    <w:rsid w:val="19DF6A36"/>
    <w:rsid w:val="19EA67AC"/>
    <w:rsid w:val="1A051B3B"/>
    <w:rsid w:val="1A153E67"/>
    <w:rsid w:val="1A1F2BFD"/>
    <w:rsid w:val="1A206975"/>
    <w:rsid w:val="1A4408B5"/>
    <w:rsid w:val="1A514D80"/>
    <w:rsid w:val="1A626F8D"/>
    <w:rsid w:val="1A765A93"/>
    <w:rsid w:val="1A8C7B66"/>
    <w:rsid w:val="1ABB4669"/>
    <w:rsid w:val="1AC11F06"/>
    <w:rsid w:val="1AED4B38"/>
    <w:rsid w:val="1AF776D6"/>
    <w:rsid w:val="1B423FAF"/>
    <w:rsid w:val="1B5E7755"/>
    <w:rsid w:val="1B851185"/>
    <w:rsid w:val="1BAE10CC"/>
    <w:rsid w:val="1BFD3B34"/>
    <w:rsid w:val="1C252021"/>
    <w:rsid w:val="1C2F4C4D"/>
    <w:rsid w:val="1C35495A"/>
    <w:rsid w:val="1CB533A4"/>
    <w:rsid w:val="1CBA09BB"/>
    <w:rsid w:val="1CD04682"/>
    <w:rsid w:val="1CD252D3"/>
    <w:rsid w:val="1D0E51AB"/>
    <w:rsid w:val="1D230C56"/>
    <w:rsid w:val="1D232A04"/>
    <w:rsid w:val="1D265984"/>
    <w:rsid w:val="1D2D73DF"/>
    <w:rsid w:val="1D8611E5"/>
    <w:rsid w:val="1DCF66E8"/>
    <w:rsid w:val="1DF93765"/>
    <w:rsid w:val="1E401394"/>
    <w:rsid w:val="1E4F15D7"/>
    <w:rsid w:val="1E594203"/>
    <w:rsid w:val="1E5E5B8F"/>
    <w:rsid w:val="1EA53EFE"/>
    <w:rsid w:val="1EAC07D7"/>
    <w:rsid w:val="1EFB0FDF"/>
    <w:rsid w:val="1F1D7927"/>
    <w:rsid w:val="1F1F740F"/>
    <w:rsid w:val="1F2E743E"/>
    <w:rsid w:val="1F5C052B"/>
    <w:rsid w:val="1FA45952"/>
    <w:rsid w:val="1FBE6A14"/>
    <w:rsid w:val="1FFC62A9"/>
    <w:rsid w:val="20045E15"/>
    <w:rsid w:val="200603BB"/>
    <w:rsid w:val="20084133"/>
    <w:rsid w:val="206A6B9C"/>
    <w:rsid w:val="20AE4CDA"/>
    <w:rsid w:val="20CC5161"/>
    <w:rsid w:val="20E97AC1"/>
    <w:rsid w:val="212E7BC9"/>
    <w:rsid w:val="215108D1"/>
    <w:rsid w:val="21614F5F"/>
    <w:rsid w:val="216B481E"/>
    <w:rsid w:val="21BC78A2"/>
    <w:rsid w:val="22325497"/>
    <w:rsid w:val="22941CAE"/>
    <w:rsid w:val="22AD72BA"/>
    <w:rsid w:val="22BC4191"/>
    <w:rsid w:val="23041092"/>
    <w:rsid w:val="231F5D4E"/>
    <w:rsid w:val="23294AEC"/>
    <w:rsid w:val="232F0909"/>
    <w:rsid w:val="23377209"/>
    <w:rsid w:val="234B49EE"/>
    <w:rsid w:val="235651B5"/>
    <w:rsid w:val="237327CB"/>
    <w:rsid w:val="23E51EC3"/>
    <w:rsid w:val="23F92711"/>
    <w:rsid w:val="2412732E"/>
    <w:rsid w:val="24361BE1"/>
    <w:rsid w:val="2452748C"/>
    <w:rsid w:val="245A4A6F"/>
    <w:rsid w:val="246F29D3"/>
    <w:rsid w:val="24C50845"/>
    <w:rsid w:val="25381017"/>
    <w:rsid w:val="255A0F8D"/>
    <w:rsid w:val="256B319A"/>
    <w:rsid w:val="256E4A38"/>
    <w:rsid w:val="25A4045A"/>
    <w:rsid w:val="25B95C6A"/>
    <w:rsid w:val="25C96113"/>
    <w:rsid w:val="25D725DE"/>
    <w:rsid w:val="25FC0BA2"/>
    <w:rsid w:val="261A1F8F"/>
    <w:rsid w:val="26354676"/>
    <w:rsid w:val="264B4D7A"/>
    <w:rsid w:val="26543C2E"/>
    <w:rsid w:val="26881B2A"/>
    <w:rsid w:val="26AA5F44"/>
    <w:rsid w:val="26B02E2F"/>
    <w:rsid w:val="26BB3CAD"/>
    <w:rsid w:val="26C009EF"/>
    <w:rsid w:val="26C62652"/>
    <w:rsid w:val="27027B2E"/>
    <w:rsid w:val="2728014B"/>
    <w:rsid w:val="2734580E"/>
    <w:rsid w:val="27930786"/>
    <w:rsid w:val="27987F08"/>
    <w:rsid w:val="27A504B9"/>
    <w:rsid w:val="27B5694E"/>
    <w:rsid w:val="27BD3A55"/>
    <w:rsid w:val="28461C9C"/>
    <w:rsid w:val="284B1061"/>
    <w:rsid w:val="28553C8E"/>
    <w:rsid w:val="288C6300"/>
    <w:rsid w:val="28920A3E"/>
    <w:rsid w:val="289522DC"/>
    <w:rsid w:val="29361D11"/>
    <w:rsid w:val="29475CCC"/>
    <w:rsid w:val="299F1664"/>
    <w:rsid w:val="29A841FB"/>
    <w:rsid w:val="2A187669"/>
    <w:rsid w:val="2A3235C6"/>
    <w:rsid w:val="2A470A00"/>
    <w:rsid w:val="2A83307B"/>
    <w:rsid w:val="2A994FFC"/>
    <w:rsid w:val="2AC84BEB"/>
    <w:rsid w:val="2AD6784B"/>
    <w:rsid w:val="2B0C0F7B"/>
    <w:rsid w:val="2B481888"/>
    <w:rsid w:val="2B987A16"/>
    <w:rsid w:val="2B9F687E"/>
    <w:rsid w:val="2BA95EBC"/>
    <w:rsid w:val="2BC51EC5"/>
    <w:rsid w:val="2BCC24B9"/>
    <w:rsid w:val="2BD975DB"/>
    <w:rsid w:val="2BF0173C"/>
    <w:rsid w:val="2C460E87"/>
    <w:rsid w:val="2C574478"/>
    <w:rsid w:val="2C844B41"/>
    <w:rsid w:val="2CC94C4A"/>
    <w:rsid w:val="2CE738D7"/>
    <w:rsid w:val="2CF256AD"/>
    <w:rsid w:val="2D087D0F"/>
    <w:rsid w:val="2D2768A0"/>
    <w:rsid w:val="2D31727E"/>
    <w:rsid w:val="2D597D7C"/>
    <w:rsid w:val="2DC20777"/>
    <w:rsid w:val="2DE0049D"/>
    <w:rsid w:val="2DE06617"/>
    <w:rsid w:val="2E04418C"/>
    <w:rsid w:val="2E505623"/>
    <w:rsid w:val="2E5F13C2"/>
    <w:rsid w:val="2EA351F1"/>
    <w:rsid w:val="2EF42085"/>
    <w:rsid w:val="2F184319"/>
    <w:rsid w:val="2F3A042F"/>
    <w:rsid w:val="2F8A6913"/>
    <w:rsid w:val="2F9432ED"/>
    <w:rsid w:val="2F9A6D97"/>
    <w:rsid w:val="2F9C21A2"/>
    <w:rsid w:val="2FB5690A"/>
    <w:rsid w:val="2FC5794B"/>
    <w:rsid w:val="2FD656B4"/>
    <w:rsid w:val="300B7231"/>
    <w:rsid w:val="301461DC"/>
    <w:rsid w:val="30227AED"/>
    <w:rsid w:val="30463E1E"/>
    <w:rsid w:val="304F5466"/>
    <w:rsid w:val="30527FB2"/>
    <w:rsid w:val="305E56A9"/>
    <w:rsid w:val="30790319"/>
    <w:rsid w:val="307D1FD3"/>
    <w:rsid w:val="30DF4A3C"/>
    <w:rsid w:val="311A3CC6"/>
    <w:rsid w:val="316118F5"/>
    <w:rsid w:val="3181001F"/>
    <w:rsid w:val="31C43A5C"/>
    <w:rsid w:val="31E367AE"/>
    <w:rsid w:val="31E651EC"/>
    <w:rsid w:val="31F6203D"/>
    <w:rsid w:val="31FF0314"/>
    <w:rsid w:val="3207424B"/>
    <w:rsid w:val="32333292"/>
    <w:rsid w:val="324A05DB"/>
    <w:rsid w:val="325A6A70"/>
    <w:rsid w:val="32935ADE"/>
    <w:rsid w:val="32DD144F"/>
    <w:rsid w:val="32EA26C8"/>
    <w:rsid w:val="33067842"/>
    <w:rsid w:val="333429AC"/>
    <w:rsid w:val="333A23FE"/>
    <w:rsid w:val="3381002D"/>
    <w:rsid w:val="33811DDB"/>
    <w:rsid w:val="33A651CD"/>
    <w:rsid w:val="33E902D9"/>
    <w:rsid w:val="340842AA"/>
    <w:rsid w:val="3417273F"/>
    <w:rsid w:val="34826533"/>
    <w:rsid w:val="349B3370"/>
    <w:rsid w:val="34B232D3"/>
    <w:rsid w:val="34BC5E70"/>
    <w:rsid w:val="34C518B3"/>
    <w:rsid w:val="34C603ED"/>
    <w:rsid w:val="34FF38FF"/>
    <w:rsid w:val="35845BB2"/>
    <w:rsid w:val="35963460"/>
    <w:rsid w:val="35C97A69"/>
    <w:rsid w:val="35CD57AB"/>
    <w:rsid w:val="35F920FC"/>
    <w:rsid w:val="36183502"/>
    <w:rsid w:val="36460094"/>
    <w:rsid w:val="366636F6"/>
    <w:rsid w:val="36DD1A1E"/>
    <w:rsid w:val="37054AD1"/>
    <w:rsid w:val="3709636F"/>
    <w:rsid w:val="37203A52"/>
    <w:rsid w:val="37465815"/>
    <w:rsid w:val="375F35B5"/>
    <w:rsid w:val="38060B00"/>
    <w:rsid w:val="381C0324"/>
    <w:rsid w:val="3821204D"/>
    <w:rsid w:val="382A0D6E"/>
    <w:rsid w:val="3837515E"/>
    <w:rsid w:val="3839365C"/>
    <w:rsid w:val="389B393F"/>
    <w:rsid w:val="38A50319"/>
    <w:rsid w:val="38BB7B3D"/>
    <w:rsid w:val="38C509BB"/>
    <w:rsid w:val="393A3157"/>
    <w:rsid w:val="393D0552"/>
    <w:rsid w:val="395F4958"/>
    <w:rsid w:val="396106E4"/>
    <w:rsid w:val="39A948E5"/>
    <w:rsid w:val="39B403E3"/>
    <w:rsid w:val="39D4535A"/>
    <w:rsid w:val="39D866E1"/>
    <w:rsid w:val="3A1E0383"/>
    <w:rsid w:val="3A726636"/>
    <w:rsid w:val="3A742699"/>
    <w:rsid w:val="3A79557E"/>
    <w:rsid w:val="3A8C165E"/>
    <w:rsid w:val="3AAA60BB"/>
    <w:rsid w:val="3AE3337B"/>
    <w:rsid w:val="3B3140E6"/>
    <w:rsid w:val="3B643E7F"/>
    <w:rsid w:val="3B6444BC"/>
    <w:rsid w:val="3B8941BE"/>
    <w:rsid w:val="3B9C1C00"/>
    <w:rsid w:val="3BA03887"/>
    <w:rsid w:val="3BED565D"/>
    <w:rsid w:val="3C011D0B"/>
    <w:rsid w:val="3C0B1989"/>
    <w:rsid w:val="3C0E4317"/>
    <w:rsid w:val="3C3C71E7"/>
    <w:rsid w:val="3C5E53AF"/>
    <w:rsid w:val="3C9012E0"/>
    <w:rsid w:val="3CBE0C38"/>
    <w:rsid w:val="3D05582A"/>
    <w:rsid w:val="3D06102C"/>
    <w:rsid w:val="3D197528"/>
    <w:rsid w:val="3D404AB5"/>
    <w:rsid w:val="3D420661"/>
    <w:rsid w:val="3D580050"/>
    <w:rsid w:val="3D5D11C3"/>
    <w:rsid w:val="3D791D75"/>
    <w:rsid w:val="3D8449A1"/>
    <w:rsid w:val="3DC92CFC"/>
    <w:rsid w:val="3DD0408A"/>
    <w:rsid w:val="3DED6027"/>
    <w:rsid w:val="3DF64F0C"/>
    <w:rsid w:val="3E630A5B"/>
    <w:rsid w:val="3E686071"/>
    <w:rsid w:val="3EBF7C5B"/>
    <w:rsid w:val="3EF1214D"/>
    <w:rsid w:val="3F520ACF"/>
    <w:rsid w:val="3F6F342F"/>
    <w:rsid w:val="3F78302F"/>
    <w:rsid w:val="3F997E37"/>
    <w:rsid w:val="3FE96238"/>
    <w:rsid w:val="400718BA"/>
    <w:rsid w:val="40273D0A"/>
    <w:rsid w:val="40316936"/>
    <w:rsid w:val="40542B45"/>
    <w:rsid w:val="407C22A8"/>
    <w:rsid w:val="409C2F74"/>
    <w:rsid w:val="40F51626"/>
    <w:rsid w:val="41044576"/>
    <w:rsid w:val="410C362B"/>
    <w:rsid w:val="41354204"/>
    <w:rsid w:val="41456B3D"/>
    <w:rsid w:val="419A2DBD"/>
    <w:rsid w:val="41AF0188"/>
    <w:rsid w:val="421D6850"/>
    <w:rsid w:val="422E5823"/>
    <w:rsid w:val="42360234"/>
    <w:rsid w:val="428216CB"/>
    <w:rsid w:val="428E0470"/>
    <w:rsid w:val="42E20147"/>
    <w:rsid w:val="42F857BF"/>
    <w:rsid w:val="42FB6DBC"/>
    <w:rsid w:val="43016A94"/>
    <w:rsid w:val="430610F8"/>
    <w:rsid w:val="43170066"/>
    <w:rsid w:val="432D5ADB"/>
    <w:rsid w:val="433D6A1A"/>
    <w:rsid w:val="434D3A87"/>
    <w:rsid w:val="436332AB"/>
    <w:rsid w:val="43737B67"/>
    <w:rsid w:val="438003D7"/>
    <w:rsid w:val="439719DF"/>
    <w:rsid w:val="439C4B3A"/>
    <w:rsid w:val="43C875B2"/>
    <w:rsid w:val="43D674C5"/>
    <w:rsid w:val="43D9531B"/>
    <w:rsid w:val="43F7001B"/>
    <w:rsid w:val="44450C02"/>
    <w:rsid w:val="444A2B59"/>
    <w:rsid w:val="447514E8"/>
    <w:rsid w:val="44782D86"/>
    <w:rsid w:val="44B26298"/>
    <w:rsid w:val="44EB3AD2"/>
    <w:rsid w:val="4520206A"/>
    <w:rsid w:val="4541761C"/>
    <w:rsid w:val="45765517"/>
    <w:rsid w:val="460D5750"/>
    <w:rsid w:val="461214CC"/>
    <w:rsid w:val="461D5993"/>
    <w:rsid w:val="46BF4C9C"/>
    <w:rsid w:val="46CE1383"/>
    <w:rsid w:val="46E666CD"/>
    <w:rsid w:val="46F5246C"/>
    <w:rsid w:val="47264D1B"/>
    <w:rsid w:val="47A52E22"/>
    <w:rsid w:val="47C52001"/>
    <w:rsid w:val="47CA1B4A"/>
    <w:rsid w:val="47FC07BE"/>
    <w:rsid w:val="480212E4"/>
    <w:rsid w:val="48465345"/>
    <w:rsid w:val="489363E0"/>
    <w:rsid w:val="48EB1D78"/>
    <w:rsid w:val="48EC789E"/>
    <w:rsid w:val="491F5EC6"/>
    <w:rsid w:val="49595BC3"/>
    <w:rsid w:val="49725FF6"/>
    <w:rsid w:val="4977185E"/>
    <w:rsid w:val="49813323"/>
    <w:rsid w:val="49973CAE"/>
    <w:rsid w:val="49A26BC9"/>
    <w:rsid w:val="49B93C25"/>
    <w:rsid w:val="49D56585"/>
    <w:rsid w:val="4A0B7969"/>
    <w:rsid w:val="4A235542"/>
    <w:rsid w:val="4AB368C6"/>
    <w:rsid w:val="4AB80380"/>
    <w:rsid w:val="4ABD7744"/>
    <w:rsid w:val="4AC705C3"/>
    <w:rsid w:val="4AD52CE0"/>
    <w:rsid w:val="4ADF76BB"/>
    <w:rsid w:val="4B682903"/>
    <w:rsid w:val="4B75781C"/>
    <w:rsid w:val="4BF058F8"/>
    <w:rsid w:val="4BFE1DC3"/>
    <w:rsid w:val="4C237A7B"/>
    <w:rsid w:val="4C69244A"/>
    <w:rsid w:val="4CAA1F4A"/>
    <w:rsid w:val="4CCA439B"/>
    <w:rsid w:val="4CF341B4"/>
    <w:rsid w:val="4D112219"/>
    <w:rsid w:val="4D2A5042"/>
    <w:rsid w:val="4D52234C"/>
    <w:rsid w:val="4DB766CD"/>
    <w:rsid w:val="4DE03227"/>
    <w:rsid w:val="4DED20EF"/>
    <w:rsid w:val="4DF571F5"/>
    <w:rsid w:val="4EBC7D13"/>
    <w:rsid w:val="4EDB288F"/>
    <w:rsid w:val="4F431266"/>
    <w:rsid w:val="4F4669C7"/>
    <w:rsid w:val="4FBA24A4"/>
    <w:rsid w:val="4FC155E1"/>
    <w:rsid w:val="503C6D48"/>
    <w:rsid w:val="503E1327"/>
    <w:rsid w:val="505C17AE"/>
    <w:rsid w:val="506B379F"/>
    <w:rsid w:val="50760AC1"/>
    <w:rsid w:val="507F724A"/>
    <w:rsid w:val="50901EE7"/>
    <w:rsid w:val="509C3084"/>
    <w:rsid w:val="50B43398"/>
    <w:rsid w:val="50B67110"/>
    <w:rsid w:val="50D60C20"/>
    <w:rsid w:val="51840FBC"/>
    <w:rsid w:val="51EB2652"/>
    <w:rsid w:val="52224331"/>
    <w:rsid w:val="522B768A"/>
    <w:rsid w:val="52416EAD"/>
    <w:rsid w:val="5264494A"/>
    <w:rsid w:val="52B8297E"/>
    <w:rsid w:val="532F4F57"/>
    <w:rsid w:val="533407C0"/>
    <w:rsid w:val="533C1422"/>
    <w:rsid w:val="53566988"/>
    <w:rsid w:val="535D3B69"/>
    <w:rsid w:val="5386726D"/>
    <w:rsid w:val="53A70F92"/>
    <w:rsid w:val="53B813F1"/>
    <w:rsid w:val="53FA3633"/>
    <w:rsid w:val="543E18F6"/>
    <w:rsid w:val="546D5D37"/>
    <w:rsid w:val="549F173E"/>
    <w:rsid w:val="54E56216"/>
    <w:rsid w:val="55653867"/>
    <w:rsid w:val="55690BF5"/>
    <w:rsid w:val="55713605"/>
    <w:rsid w:val="55985036"/>
    <w:rsid w:val="55A06BCC"/>
    <w:rsid w:val="55A1027C"/>
    <w:rsid w:val="55AA6650"/>
    <w:rsid w:val="55BB2AD2"/>
    <w:rsid w:val="55D3606E"/>
    <w:rsid w:val="55EC5382"/>
    <w:rsid w:val="55F127EE"/>
    <w:rsid w:val="55F30742"/>
    <w:rsid w:val="56091A90"/>
    <w:rsid w:val="563961FB"/>
    <w:rsid w:val="56731B2D"/>
    <w:rsid w:val="56A93273"/>
    <w:rsid w:val="56BA722E"/>
    <w:rsid w:val="56E803BD"/>
    <w:rsid w:val="570B7A8A"/>
    <w:rsid w:val="57C06AC6"/>
    <w:rsid w:val="57D460CD"/>
    <w:rsid w:val="58201313"/>
    <w:rsid w:val="582E1C82"/>
    <w:rsid w:val="58337298"/>
    <w:rsid w:val="588B70D4"/>
    <w:rsid w:val="58932672"/>
    <w:rsid w:val="58BD4DB3"/>
    <w:rsid w:val="5914119B"/>
    <w:rsid w:val="59367B5C"/>
    <w:rsid w:val="593B28A8"/>
    <w:rsid w:val="598558D1"/>
    <w:rsid w:val="59973856"/>
    <w:rsid w:val="59C2148F"/>
    <w:rsid w:val="59C42A07"/>
    <w:rsid w:val="59DB7BE7"/>
    <w:rsid w:val="59FA28A1"/>
    <w:rsid w:val="5A032C9A"/>
    <w:rsid w:val="5A113935"/>
    <w:rsid w:val="5A274BDA"/>
    <w:rsid w:val="5A4A7EAC"/>
    <w:rsid w:val="5A766C6C"/>
    <w:rsid w:val="5AA61FA3"/>
    <w:rsid w:val="5AA82B94"/>
    <w:rsid w:val="5AB6779D"/>
    <w:rsid w:val="5AF56A87"/>
    <w:rsid w:val="5B231846"/>
    <w:rsid w:val="5B4F58A4"/>
    <w:rsid w:val="5BD3501A"/>
    <w:rsid w:val="5BFE5E0F"/>
    <w:rsid w:val="5C0B2795"/>
    <w:rsid w:val="5C225659"/>
    <w:rsid w:val="5C4557EC"/>
    <w:rsid w:val="5C5305C6"/>
    <w:rsid w:val="5C776F19"/>
    <w:rsid w:val="5C950521"/>
    <w:rsid w:val="5CB0535B"/>
    <w:rsid w:val="5CB97A26"/>
    <w:rsid w:val="5CCB7A9F"/>
    <w:rsid w:val="5D577585"/>
    <w:rsid w:val="5D972077"/>
    <w:rsid w:val="5D99435E"/>
    <w:rsid w:val="5DB744C7"/>
    <w:rsid w:val="5E1E62F4"/>
    <w:rsid w:val="5E4749DA"/>
    <w:rsid w:val="5E897C12"/>
    <w:rsid w:val="5EA467FA"/>
    <w:rsid w:val="5EAA5DDA"/>
    <w:rsid w:val="5F0C439F"/>
    <w:rsid w:val="5F577D10"/>
    <w:rsid w:val="5F6812A3"/>
    <w:rsid w:val="5F7E303B"/>
    <w:rsid w:val="5F9F1338"/>
    <w:rsid w:val="5FC559AE"/>
    <w:rsid w:val="608A7C71"/>
    <w:rsid w:val="60AC5E39"/>
    <w:rsid w:val="60B066A7"/>
    <w:rsid w:val="611807AB"/>
    <w:rsid w:val="61265BEC"/>
    <w:rsid w:val="619208DB"/>
    <w:rsid w:val="61A91D7E"/>
    <w:rsid w:val="61DC274E"/>
    <w:rsid w:val="61EE7024"/>
    <w:rsid w:val="61F950AE"/>
    <w:rsid w:val="62126170"/>
    <w:rsid w:val="62562501"/>
    <w:rsid w:val="6256396B"/>
    <w:rsid w:val="626A5FAC"/>
    <w:rsid w:val="62C84A81"/>
    <w:rsid w:val="62CA6A4B"/>
    <w:rsid w:val="63057A83"/>
    <w:rsid w:val="632357AE"/>
    <w:rsid w:val="63273E9D"/>
    <w:rsid w:val="633B5253"/>
    <w:rsid w:val="63584057"/>
    <w:rsid w:val="637328AD"/>
    <w:rsid w:val="63780255"/>
    <w:rsid w:val="639A2821"/>
    <w:rsid w:val="63BC45E5"/>
    <w:rsid w:val="63FE69AC"/>
    <w:rsid w:val="641E704E"/>
    <w:rsid w:val="64294B00"/>
    <w:rsid w:val="64460353"/>
    <w:rsid w:val="645962D8"/>
    <w:rsid w:val="64AA2690"/>
    <w:rsid w:val="652A62A9"/>
    <w:rsid w:val="653E102A"/>
    <w:rsid w:val="65705687"/>
    <w:rsid w:val="65820B9F"/>
    <w:rsid w:val="6582360D"/>
    <w:rsid w:val="65DE4CE7"/>
    <w:rsid w:val="66091638"/>
    <w:rsid w:val="662D4566"/>
    <w:rsid w:val="66660838"/>
    <w:rsid w:val="668F2A3A"/>
    <w:rsid w:val="66F75934"/>
    <w:rsid w:val="672A6364"/>
    <w:rsid w:val="672A7AB8"/>
    <w:rsid w:val="676610B4"/>
    <w:rsid w:val="678E4891"/>
    <w:rsid w:val="679D472E"/>
    <w:rsid w:val="67AC4971"/>
    <w:rsid w:val="67D31EFE"/>
    <w:rsid w:val="67F105D6"/>
    <w:rsid w:val="682E182A"/>
    <w:rsid w:val="6838538E"/>
    <w:rsid w:val="68437083"/>
    <w:rsid w:val="6852376A"/>
    <w:rsid w:val="68556DB7"/>
    <w:rsid w:val="68A613C0"/>
    <w:rsid w:val="68CF43EA"/>
    <w:rsid w:val="691722BE"/>
    <w:rsid w:val="69320303"/>
    <w:rsid w:val="6933534A"/>
    <w:rsid w:val="69401815"/>
    <w:rsid w:val="69692B1A"/>
    <w:rsid w:val="696C260A"/>
    <w:rsid w:val="69AA3132"/>
    <w:rsid w:val="69C064B2"/>
    <w:rsid w:val="69C73CE4"/>
    <w:rsid w:val="6A440E91"/>
    <w:rsid w:val="6A4946F9"/>
    <w:rsid w:val="6A5E63F6"/>
    <w:rsid w:val="6A5F3F1C"/>
    <w:rsid w:val="6A8614A9"/>
    <w:rsid w:val="6A9E67F3"/>
    <w:rsid w:val="6ADE12E5"/>
    <w:rsid w:val="6B080110"/>
    <w:rsid w:val="6B4218B2"/>
    <w:rsid w:val="6B781BDB"/>
    <w:rsid w:val="6B9D6AAA"/>
    <w:rsid w:val="6BBC4972"/>
    <w:rsid w:val="6BC163CA"/>
    <w:rsid w:val="6BC93D43"/>
    <w:rsid w:val="6BC95AF1"/>
    <w:rsid w:val="6BF23936"/>
    <w:rsid w:val="6C117498"/>
    <w:rsid w:val="6C3367E9"/>
    <w:rsid w:val="6C364E1E"/>
    <w:rsid w:val="6C4909E0"/>
    <w:rsid w:val="6C64734B"/>
    <w:rsid w:val="6C6972D4"/>
    <w:rsid w:val="6C7A6DEC"/>
    <w:rsid w:val="6C890A01"/>
    <w:rsid w:val="6CED3FF7"/>
    <w:rsid w:val="6D125276"/>
    <w:rsid w:val="6D1B5B49"/>
    <w:rsid w:val="6D3C22F3"/>
    <w:rsid w:val="6D4F2026"/>
    <w:rsid w:val="6D745F31"/>
    <w:rsid w:val="6DAD1516"/>
    <w:rsid w:val="6DDE15FC"/>
    <w:rsid w:val="6E39049D"/>
    <w:rsid w:val="6E3A0F28"/>
    <w:rsid w:val="6E6715F2"/>
    <w:rsid w:val="6E6B2E90"/>
    <w:rsid w:val="6E804461"/>
    <w:rsid w:val="6E9E14B7"/>
    <w:rsid w:val="6EA145F3"/>
    <w:rsid w:val="6EAE0FCF"/>
    <w:rsid w:val="6EC64674"/>
    <w:rsid w:val="6EE80984"/>
    <w:rsid w:val="6F7E27B4"/>
    <w:rsid w:val="6F850C14"/>
    <w:rsid w:val="6FAD1EDF"/>
    <w:rsid w:val="6FCA62DC"/>
    <w:rsid w:val="700E4448"/>
    <w:rsid w:val="701E3F32"/>
    <w:rsid w:val="706A53C9"/>
    <w:rsid w:val="706F0B3B"/>
    <w:rsid w:val="70982959"/>
    <w:rsid w:val="70E1438C"/>
    <w:rsid w:val="70F640AA"/>
    <w:rsid w:val="71107458"/>
    <w:rsid w:val="71184DC4"/>
    <w:rsid w:val="711E068D"/>
    <w:rsid w:val="71211F2C"/>
    <w:rsid w:val="71290DE0"/>
    <w:rsid w:val="713E488C"/>
    <w:rsid w:val="715220E5"/>
    <w:rsid w:val="716B13F9"/>
    <w:rsid w:val="71744751"/>
    <w:rsid w:val="719E300E"/>
    <w:rsid w:val="71C650B7"/>
    <w:rsid w:val="71F604DA"/>
    <w:rsid w:val="72005FE5"/>
    <w:rsid w:val="720B6E95"/>
    <w:rsid w:val="726F6CC7"/>
    <w:rsid w:val="72760858"/>
    <w:rsid w:val="72B875F5"/>
    <w:rsid w:val="72BF19FC"/>
    <w:rsid w:val="72E43211"/>
    <w:rsid w:val="72FF44EF"/>
    <w:rsid w:val="73013DC3"/>
    <w:rsid w:val="73045661"/>
    <w:rsid w:val="73263829"/>
    <w:rsid w:val="73A02941"/>
    <w:rsid w:val="73CC2623"/>
    <w:rsid w:val="73D1419C"/>
    <w:rsid w:val="74000DE6"/>
    <w:rsid w:val="7407365B"/>
    <w:rsid w:val="7424513C"/>
    <w:rsid w:val="7487654A"/>
    <w:rsid w:val="748D0748"/>
    <w:rsid w:val="74A40E40"/>
    <w:rsid w:val="74B23D8F"/>
    <w:rsid w:val="74B530B7"/>
    <w:rsid w:val="74B60BDD"/>
    <w:rsid w:val="74CC0400"/>
    <w:rsid w:val="74D01DF4"/>
    <w:rsid w:val="75114065"/>
    <w:rsid w:val="75752846"/>
    <w:rsid w:val="75D27C98"/>
    <w:rsid w:val="762871C3"/>
    <w:rsid w:val="762D19E3"/>
    <w:rsid w:val="76522B87"/>
    <w:rsid w:val="767E397C"/>
    <w:rsid w:val="768E1E11"/>
    <w:rsid w:val="76D2655D"/>
    <w:rsid w:val="76EE32A7"/>
    <w:rsid w:val="772B7660"/>
    <w:rsid w:val="77472401"/>
    <w:rsid w:val="7758241F"/>
    <w:rsid w:val="7768078A"/>
    <w:rsid w:val="77756B2D"/>
    <w:rsid w:val="77E4568D"/>
    <w:rsid w:val="77E65C7D"/>
    <w:rsid w:val="77E93077"/>
    <w:rsid w:val="77ED2B68"/>
    <w:rsid w:val="783F0EE9"/>
    <w:rsid w:val="786756B9"/>
    <w:rsid w:val="788A03B6"/>
    <w:rsid w:val="789470BD"/>
    <w:rsid w:val="78BC51F0"/>
    <w:rsid w:val="78BE2756"/>
    <w:rsid w:val="79116D2A"/>
    <w:rsid w:val="792C76C0"/>
    <w:rsid w:val="7956298E"/>
    <w:rsid w:val="797D7F1B"/>
    <w:rsid w:val="7991107F"/>
    <w:rsid w:val="79C618C2"/>
    <w:rsid w:val="79E47F9A"/>
    <w:rsid w:val="79F24465"/>
    <w:rsid w:val="7A170370"/>
    <w:rsid w:val="7A965738"/>
    <w:rsid w:val="7AB23BF5"/>
    <w:rsid w:val="7ADC6EC3"/>
    <w:rsid w:val="7B0E1773"/>
    <w:rsid w:val="7B0E17E2"/>
    <w:rsid w:val="7B2F5245"/>
    <w:rsid w:val="7B411303"/>
    <w:rsid w:val="7B452CBB"/>
    <w:rsid w:val="7B4A02D1"/>
    <w:rsid w:val="7B615B89"/>
    <w:rsid w:val="7BA4716E"/>
    <w:rsid w:val="7BA75723"/>
    <w:rsid w:val="7BAB0D70"/>
    <w:rsid w:val="7BD74E83"/>
    <w:rsid w:val="7C0B7A60"/>
    <w:rsid w:val="7C1740C1"/>
    <w:rsid w:val="7C262AEC"/>
    <w:rsid w:val="7C30396B"/>
    <w:rsid w:val="7C32323F"/>
    <w:rsid w:val="7C596A1E"/>
    <w:rsid w:val="7C6A0C2B"/>
    <w:rsid w:val="7CAD0B17"/>
    <w:rsid w:val="7CBC6FAC"/>
    <w:rsid w:val="7D1B1B29"/>
    <w:rsid w:val="7D4545BE"/>
    <w:rsid w:val="7D495510"/>
    <w:rsid w:val="7D4A0A5C"/>
    <w:rsid w:val="7D957F29"/>
    <w:rsid w:val="7DAC69B0"/>
    <w:rsid w:val="7E4159BB"/>
    <w:rsid w:val="7E520CE5"/>
    <w:rsid w:val="7E891110"/>
    <w:rsid w:val="7F0F354E"/>
    <w:rsid w:val="7F405C73"/>
    <w:rsid w:val="7F607170"/>
    <w:rsid w:val="7FB641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WPSOffice手动目录 1"/>
    <w:autoRedefine/>
    <w:qFormat/>
    <w:uiPriority w:val="0"/>
    <w:rPr>
      <w:rFonts w:ascii="Times New Roman" w:hAnsi="Times New Roman" w:eastAsia="宋体" w:cs="Times New Roman"/>
      <w:lang w:val="en-US" w:eastAsia="zh-CN" w:bidi="ar-SA"/>
    </w:rPr>
  </w:style>
  <w:style w:type="character" w:customStyle="1" w:styleId="10">
    <w:name w:val="font01"/>
    <w:basedOn w:val="8"/>
    <w:qFormat/>
    <w:uiPriority w:val="0"/>
    <w:rPr>
      <w:rFonts w:hint="eastAsia" w:ascii="宋体" w:hAnsi="宋体" w:eastAsia="宋体" w:cs="宋体"/>
      <w:color w:val="000000"/>
      <w:sz w:val="22"/>
      <w:szCs w:val="22"/>
      <w:u w:val="none"/>
    </w:rPr>
  </w:style>
  <w:style w:type="character" w:customStyle="1" w:styleId="11">
    <w:name w:val="font11"/>
    <w:basedOn w:val="8"/>
    <w:qFormat/>
    <w:uiPriority w:val="0"/>
    <w:rPr>
      <w:rFonts w:hint="default" w:ascii="Times New Roman" w:hAnsi="Times New Roman" w:cs="Times New Roman"/>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60</Pages>
  <Words>285</Words>
  <Characters>1736</Characters>
  <Lines>0</Lines>
  <Paragraphs>0</Paragraphs>
  <TotalTime>3</TotalTime>
  <ScaleCrop>false</ScaleCrop>
  <LinksUpToDate>false</LinksUpToDate>
  <CharactersWithSpaces>2007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2026-05-05T06:58:00Z</dcterms:created>
  <dc:creator>Hope</dc:creator>
  <cp:lastModifiedBy>顾娟</cp:lastModifiedBy>
  <dcterms:modified xsi:type="dcterms:W3CDTF">2026-09-09T05:22:50Z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1B3A44E2F76F4295BD9B8BD716921E36_11</vt:lpwstr>
  </property>
  <property fmtid="{D5CDD505-2E9C-101B-9397-08002B2CF9AE}" pid="4" name="KSOTemplateDocerSaveRecord">
    <vt:lpwstr>eyJoZGlkIjoiNTg4NDg0NGZlNWUxZmYwYWM5MzE1OTVlZTY2Njk4YTEiLCJ1c2VySWQiOiIxMTI3OTUzOTM4In0=</vt:lpwstr>
  </property>
</Properties>
</file>