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852C9" w14:textId="77777777" w:rsidR="00CD2160" w:rsidRDefault="00000000">
      <w:pPr>
        <w:pStyle w:val="Cmsor1"/>
        <w:jc w:val="center"/>
      </w:pPr>
      <w:r>
        <w:t>Supplementary Material 2</w:t>
      </w:r>
    </w:p>
    <w:p w14:paraId="615CC04F" w14:textId="77777777" w:rsidR="00CD2160" w:rsidRDefault="00000000" w:rsidP="00A31B0F">
      <w:pPr>
        <w:pStyle w:val="Cmsor2"/>
        <w:jc w:val="center"/>
      </w:pPr>
      <w:r>
        <w:t>Comparison of the Original Frequency-Based and Modified Agreement-Based Response Formats of the Hungarian CASP-19</w:t>
      </w:r>
    </w:p>
    <w:p w14:paraId="11BF38A8" w14:textId="77777777" w:rsidR="00A31B0F" w:rsidRPr="00A31B0F" w:rsidRDefault="00A31B0F" w:rsidP="00A31B0F"/>
    <w:p w14:paraId="3E4A87FE" w14:textId="77777777" w:rsidR="00CD2160" w:rsidRDefault="00000000" w:rsidP="00A31B0F">
      <w:pPr>
        <w:spacing w:line="360" w:lineRule="auto"/>
        <w:jc w:val="both"/>
      </w:pPr>
      <w:r>
        <w:t>During the Hungarian adaptation process of the CASP-19 questionnaire, the original frequency-based response structure was modified into a simplified agreement-based format in order to improve response clarity and reduce potential semantic ambiguity in older respondents. The modified response format preserved the original four-point ordinal scaling logic of the questionnaire.</w:t>
      </w:r>
    </w:p>
    <w:p w14:paraId="4C4FE753" w14:textId="77777777" w:rsidR="00CD2160" w:rsidRDefault="00000000">
      <w:pPr>
        <w:pStyle w:val="Cmsor3"/>
      </w:pPr>
      <w:r>
        <w:t>Response Format Comparison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158"/>
        <w:gridCol w:w="2157"/>
        <w:gridCol w:w="2158"/>
        <w:gridCol w:w="2157"/>
      </w:tblGrid>
      <w:tr w:rsidR="00CD2160" w14:paraId="28991612" w14:textId="77777777">
        <w:trPr>
          <w:jc w:val="center"/>
        </w:trPr>
        <w:tc>
          <w:tcPr>
            <w:tcW w:w="2160" w:type="dxa"/>
          </w:tcPr>
          <w:p w14:paraId="306A4301" w14:textId="77777777" w:rsidR="00CD2160" w:rsidRDefault="00000000">
            <w:r>
              <w:rPr>
                <w:sz w:val="20"/>
              </w:rPr>
              <w:t>Response category</w:t>
            </w:r>
          </w:p>
        </w:tc>
        <w:tc>
          <w:tcPr>
            <w:tcW w:w="2160" w:type="dxa"/>
          </w:tcPr>
          <w:p w14:paraId="77994DC2" w14:textId="77777777" w:rsidR="00CD2160" w:rsidRDefault="00000000">
            <w:r>
              <w:rPr>
                <w:sz w:val="20"/>
              </w:rPr>
              <w:t>Original CASP-19 format</w:t>
            </w:r>
          </w:p>
        </w:tc>
        <w:tc>
          <w:tcPr>
            <w:tcW w:w="2160" w:type="dxa"/>
          </w:tcPr>
          <w:p w14:paraId="4F4907DB" w14:textId="77777777" w:rsidR="00CD2160" w:rsidRDefault="00000000">
            <w:r>
              <w:t>Approximate Hungarian frequency translation</w:t>
            </w:r>
          </w:p>
        </w:tc>
        <w:tc>
          <w:tcPr>
            <w:tcW w:w="2160" w:type="dxa"/>
          </w:tcPr>
          <w:p w14:paraId="3FBF4A7B" w14:textId="77777777" w:rsidR="00CD2160" w:rsidRDefault="00000000">
            <w:r>
              <w:rPr>
                <w:sz w:val="20"/>
              </w:rPr>
              <w:t>Hungarian modified format</w:t>
            </w:r>
          </w:p>
        </w:tc>
      </w:tr>
      <w:tr w:rsidR="00CD2160" w14:paraId="2669619A" w14:textId="77777777">
        <w:trPr>
          <w:jc w:val="center"/>
        </w:trPr>
        <w:tc>
          <w:tcPr>
            <w:tcW w:w="2160" w:type="dxa"/>
          </w:tcPr>
          <w:p w14:paraId="13F06BA9" w14:textId="77777777" w:rsidR="00CD2160" w:rsidRDefault="00000000">
            <w:r>
              <w:rPr>
                <w:sz w:val="20"/>
              </w:rPr>
              <w:t>1</w:t>
            </w:r>
          </w:p>
        </w:tc>
        <w:tc>
          <w:tcPr>
            <w:tcW w:w="2160" w:type="dxa"/>
          </w:tcPr>
          <w:p w14:paraId="095EF1F0" w14:textId="77777777" w:rsidR="00CD2160" w:rsidRDefault="00000000">
            <w:r>
              <w:rPr>
                <w:sz w:val="20"/>
              </w:rPr>
              <w:t>Often</w:t>
            </w:r>
          </w:p>
        </w:tc>
        <w:tc>
          <w:tcPr>
            <w:tcW w:w="2160" w:type="dxa"/>
          </w:tcPr>
          <w:p w14:paraId="1A7438DD" w14:textId="77777777" w:rsidR="00CD2160" w:rsidRDefault="00000000">
            <w:r>
              <w:rPr>
                <w:sz w:val="20"/>
              </w:rPr>
              <w:t>gyakran</w:t>
            </w:r>
          </w:p>
        </w:tc>
        <w:tc>
          <w:tcPr>
            <w:tcW w:w="2160" w:type="dxa"/>
          </w:tcPr>
          <w:p w14:paraId="77B6445B" w14:textId="77777777" w:rsidR="00CD2160" w:rsidRDefault="00000000">
            <w:r>
              <w:rPr>
                <w:sz w:val="20"/>
              </w:rPr>
              <w:t>igen</w:t>
            </w:r>
          </w:p>
        </w:tc>
      </w:tr>
      <w:tr w:rsidR="00CD2160" w14:paraId="2941DA7E" w14:textId="77777777">
        <w:trPr>
          <w:jc w:val="center"/>
        </w:trPr>
        <w:tc>
          <w:tcPr>
            <w:tcW w:w="2160" w:type="dxa"/>
          </w:tcPr>
          <w:p w14:paraId="33D2253E" w14:textId="77777777" w:rsidR="00CD2160" w:rsidRDefault="00000000">
            <w:r>
              <w:rPr>
                <w:sz w:val="20"/>
              </w:rPr>
              <w:t>2</w:t>
            </w:r>
          </w:p>
        </w:tc>
        <w:tc>
          <w:tcPr>
            <w:tcW w:w="2160" w:type="dxa"/>
          </w:tcPr>
          <w:p w14:paraId="1FEB7C44" w14:textId="77777777" w:rsidR="00CD2160" w:rsidRDefault="00000000">
            <w:r>
              <w:rPr>
                <w:sz w:val="20"/>
              </w:rPr>
              <w:t>Sometimes</w:t>
            </w:r>
          </w:p>
        </w:tc>
        <w:tc>
          <w:tcPr>
            <w:tcW w:w="2160" w:type="dxa"/>
          </w:tcPr>
          <w:p w14:paraId="280AEDC8" w14:textId="77777777" w:rsidR="00CD2160" w:rsidRDefault="00000000">
            <w:r>
              <w:rPr>
                <w:sz w:val="20"/>
              </w:rPr>
              <w:t>néha</w:t>
            </w:r>
          </w:p>
        </w:tc>
        <w:tc>
          <w:tcPr>
            <w:tcW w:w="2160" w:type="dxa"/>
          </w:tcPr>
          <w:p w14:paraId="4650EA85" w14:textId="77777777" w:rsidR="00CD2160" w:rsidRDefault="00000000">
            <w:r>
              <w:rPr>
                <w:sz w:val="20"/>
              </w:rPr>
              <w:t>inkább igen</w:t>
            </w:r>
          </w:p>
        </w:tc>
      </w:tr>
      <w:tr w:rsidR="00CD2160" w14:paraId="15FE75A5" w14:textId="77777777">
        <w:trPr>
          <w:jc w:val="center"/>
        </w:trPr>
        <w:tc>
          <w:tcPr>
            <w:tcW w:w="2160" w:type="dxa"/>
          </w:tcPr>
          <w:p w14:paraId="5E67D602" w14:textId="77777777" w:rsidR="00CD2160" w:rsidRDefault="00000000">
            <w:r>
              <w:rPr>
                <w:sz w:val="20"/>
              </w:rPr>
              <w:t>3</w:t>
            </w:r>
          </w:p>
        </w:tc>
        <w:tc>
          <w:tcPr>
            <w:tcW w:w="2160" w:type="dxa"/>
          </w:tcPr>
          <w:p w14:paraId="5089FA72" w14:textId="77777777" w:rsidR="00CD2160" w:rsidRDefault="00000000">
            <w:r>
              <w:rPr>
                <w:sz w:val="20"/>
              </w:rPr>
              <w:t>Not often</w:t>
            </w:r>
          </w:p>
        </w:tc>
        <w:tc>
          <w:tcPr>
            <w:tcW w:w="2160" w:type="dxa"/>
          </w:tcPr>
          <w:p w14:paraId="5859BA95" w14:textId="77777777" w:rsidR="00CD2160" w:rsidRDefault="00000000">
            <w:r>
              <w:t>ritkán</w:t>
            </w:r>
          </w:p>
        </w:tc>
        <w:tc>
          <w:tcPr>
            <w:tcW w:w="2160" w:type="dxa"/>
          </w:tcPr>
          <w:p w14:paraId="0557D7CD" w14:textId="77777777" w:rsidR="00CD2160" w:rsidRDefault="00000000">
            <w:r>
              <w:rPr>
                <w:sz w:val="20"/>
              </w:rPr>
              <w:t>inkább nem</w:t>
            </w:r>
          </w:p>
        </w:tc>
      </w:tr>
      <w:tr w:rsidR="00CD2160" w14:paraId="3CFFD874" w14:textId="77777777">
        <w:trPr>
          <w:jc w:val="center"/>
        </w:trPr>
        <w:tc>
          <w:tcPr>
            <w:tcW w:w="2160" w:type="dxa"/>
          </w:tcPr>
          <w:p w14:paraId="5DF3E7D2" w14:textId="77777777" w:rsidR="00CD2160" w:rsidRDefault="00000000">
            <w:r>
              <w:rPr>
                <w:sz w:val="20"/>
              </w:rPr>
              <w:t>4</w:t>
            </w:r>
          </w:p>
        </w:tc>
        <w:tc>
          <w:tcPr>
            <w:tcW w:w="2160" w:type="dxa"/>
          </w:tcPr>
          <w:p w14:paraId="71115BEC" w14:textId="77777777" w:rsidR="00CD2160" w:rsidRDefault="00000000">
            <w:r>
              <w:rPr>
                <w:sz w:val="20"/>
              </w:rPr>
              <w:t>Never</w:t>
            </w:r>
          </w:p>
        </w:tc>
        <w:tc>
          <w:tcPr>
            <w:tcW w:w="2160" w:type="dxa"/>
          </w:tcPr>
          <w:p w14:paraId="42005782" w14:textId="77777777" w:rsidR="00CD2160" w:rsidRDefault="00000000">
            <w:r>
              <w:rPr>
                <w:sz w:val="20"/>
              </w:rPr>
              <w:t>soha</w:t>
            </w:r>
          </w:p>
        </w:tc>
        <w:tc>
          <w:tcPr>
            <w:tcW w:w="2160" w:type="dxa"/>
          </w:tcPr>
          <w:p w14:paraId="2229E9EC" w14:textId="77777777" w:rsidR="00CD2160" w:rsidRDefault="00000000">
            <w:r>
              <w:rPr>
                <w:sz w:val="20"/>
              </w:rPr>
              <w:t>nem</w:t>
            </w:r>
          </w:p>
        </w:tc>
      </w:tr>
    </w:tbl>
    <w:p w14:paraId="78E06ECA" w14:textId="77777777" w:rsidR="00A31B0F" w:rsidRDefault="00A31B0F" w:rsidP="00A31B0F">
      <w:pPr>
        <w:spacing w:line="360" w:lineRule="auto"/>
        <w:jc w:val="both"/>
      </w:pPr>
    </w:p>
    <w:p w14:paraId="3E1FAC30" w14:textId="6B56B812" w:rsidR="00CD2160" w:rsidRDefault="00000000" w:rsidP="00A31B0F">
      <w:pPr>
        <w:spacing w:line="360" w:lineRule="auto"/>
        <w:jc w:val="both"/>
      </w:pPr>
      <w:r>
        <w:t>The adaptation aimed to preserve conceptual rather than literal response equivalence, with the rationale that endorsement-based response categories may more appropriately reflect underlying psychosocial evaluations in older Hungarian respondents.</w:t>
      </w:r>
    </w:p>
    <w:p w14:paraId="601D834E" w14:textId="01681DFA" w:rsidR="00CD2160" w:rsidRDefault="0098185F" w:rsidP="0098185F">
      <w:pPr>
        <w:spacing w:line="360" w:lineRule="auto"/>
        <w:jc w:val="both"/>
      </w:pPr>
      <w:r w:rsidRPr="0098185F">
        <w:t>The modified format preserves the four-point ordinal scoring range of the original CASP-19 (0–57). However, because agreement-based and frequency-based response scales differ in the judgement they require of the respondent, direct comparison of raw scores with studies using the original format should be made with caution.</w:t>
      </w:r>
    </w:p>
    <w:sectPr w:rsidR="00CD216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81402237">
    <w:abstractNumId w:val="8"/>
  </w:num>
  <w:num w:numId="2" w16cid:durableId="1614627232">
    <w:abstractNumId w:val="6"/>
  </w:num>
  <w:num w:numId="3" w16cid:durableId="811019080">
    <w:abstractNumId w:val="5"/>
  </w:num>
  <w:num w:numId="4" w16cid:durableId="2074698602">
    <w:abstractNumId w:val="4"/>
  </w:num>
  <w:num w:numId="5" w16cid:durableId="1651442447">
    <w:abstractNumId w:val="7"/>
  </w:num>
  <w:num w:numId="6" w16cid:durableId="1738088431">
    <w:abstractNumId w:val="3"/>
  </w:num>
  <w:num w:numId="7" w16cid:durableId="106003713">
    <w:abstractNumId w:val="2"/>
  </w:num>
  <w:num w:numId="8" w16cid:durableId="1296762691">
    <w:abstractNumId w:val="1"/>
  </w:num>
  <w:num w:numId="9" w16cid:durableId="646201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95F95"/>
    <w:rsid w:val="0098185F"/>
    <w:rsid w:val="009B7533"/>
    <w:rsid w:val="00A31B0F"/>
    <w:rsid w:val="00AA1D8D"/>
    <w:rsid w:val="00B47730"/>
    <w:rsid w:val="00CB0664"/>
    <w:rsid w:val="00CD216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F0BA1B"/>
  <w14:defaultImageDpi w14:val="300"/>
  <w15:docId w15:val="{D5B6C78A-FABE-4777-A380-A6FA9C1AF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Lajkó Patricia</cp:lastModifiedBy>
  <cp:revision>3</cp:revision>
  <dcterms:created xsi:type="dcterms:W3CDTF">2026-05-26T21:04:00Z</dcterms:created>
  <dcterms:modified xsi:type="dcterms:W3CDTF">2026-07-24T21:22:00Z</dcterms:modified>
  <cp:category/>
</cp:coreProperties>
</file>