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1"/>
        <w:jc w:val="both"/>
        <w:rPr>
          <w:rFonts w:hint="default" w:ascii="Times New Roman Bold" w:hAnsi="Times New Roman Bold" w:cs="Times New Roman Bold"/>
          <w:b/>
          <w:bCs/>
          <w:color w:val="auto"/>
        </w:rPr>
      </w:pPr>
      <w:r>
        <w:rPr>
          <w:rFonts w:hint="default" w:ascii="Times New Roman Bold" w:hAnsi="Times New Roman Bold" w:cs="Times New Roman Bold"/>
          <w:b/>
          <w:bCs/>
          <w:color w:val="auto"/>
        </w:rPr>
        <w:t>Additional file 1</w:t>
      </w:r>
    </w:p>
    <w:p>
      <w:pPr>
        <w:pStyle w:val="4"/>
        <w:jc w:val="both"/>
        <w:rPr>
          <w:rFonts w:hint="default" w:ascii="Times New Roman Regular" w:hAnsi="Times New Roman Regular" w:cs="Times New Roman Regular"/>
          <w:color w:val="auto"/>
        </w:rPr>
      </w:pPr>
      <w:bookmarkStart w:id="0" w:name="_GoBack"/>
      <w:bookmarkEnd w:id="0"/>
      <w:r>
        <w:rPr>
          <w:rFonts w:hint="default" w:ascii="Times New Roman Regular" w:hAnsi="Times New Roman Regular" w:cs="Times New Roman Regular"/>
          <w:color w:val="auto"/>
        </w:rPr>
        <w:t>Table S1 Primary random effects and convergence</w:t>
      </w:r>
    </w:p>
    <w:tbl>
      <w:tblPr>
        <w:tblStyle w:val="32"/>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4"/>
        <w:gridCol w:w="1152"/>
        <w:gridCol w:w="1368"/>
        <w:gridCol w:w="1584"/>
        <w:gridCol w:w="1584"/>
        <w:gridCol w:w="1584"/>
        <w:gridCol w:w="1584"/>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rPr>
          <w:tblHeader/>
        </w:trPr>
        <w:tc>
          <w:tcPr>
            <w:tcW w:w="12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Outcome</w:t>
            </w:r>
          </w:p>
        </w:tc>
        <w:tc>
          <w:tcPr>
            <w:tcW w:w="1152"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6"/>
              </w:rPr>
              <w:t>Converged</w:t>
            </w:r>
          </w:p>
        </w:tc>
        <w:tc>
          <w:tcPr>
            <w:tcW w:w="136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Intercept SD</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MSRAE slope SD</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PosAff slope SD</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NegAff slope SD</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Fatigue slope SD</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2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152"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True</w:t>
            </w:r>
          </w:p>
        </w:tc>
        <w:tc>
          <w:tcPr>
            <w:tcW w:w="136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0.057</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0.041</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0.019</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0.086</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2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152"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True</w:t>
            </w:r>
          </w:p>
        </w:tc>
        <w:tc>
          <w:tcPr>
            <w:tcW w:w="136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0.061</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0.114</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0.069</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2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152"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True</w:t>
            </w:r>
          </w:p>
        </w:tc>
        <w:tc>
          <w:tcPr>
            <w:tcW w:w="136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0.115</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2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152"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True</w:t>
            </w:r>
          </w:p>
        </w:tc>
        <w:tc>
          <w:tcPr>
            <w:tcW w:w="136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0.111</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0.084</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0.105</w:t>
            </w:r>
          </w:p>
        </w:tc>
      </w:tr>
    </w:tbl>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lang w:val="en-US"/>
        </w:rPr>
        <w:t>N</w:t>
      </w:r>
      <w:r>
        <w:rPr>
          <w:rFonts w:hint="default" w:ascii="Times New Roman Italic" w:hAnsi="Times New Roman Italic" w:eastAsia="宋体" w:cs="Times New Roman Italic"/>
          <w:i/>
          <w:iCs/>
          <w:color w:val="auto"/>
          <w:sz w:val="18"/>
          <w:lang w:val="en-US" w:eastAsia="zh-CN"/>
        </w:rPr>
        <w:t xml:space="preserve">ote. </w:t>
      </w:r>
      <w:r>
        <w:rPr>
          <w:rFonts w:hint="default" w:ascii="Times New Roman Italic" w:hAnsi="Times New Roman Italic" w:cs="Times New Roman Italic"/>
          <w:i/>
          <w:iCs/>
          <w:color w:val="auto"/>
          <w:sz w:val="18"/>
        </w:rPr>
        <w:t>REML with mutually independent participant intercept and four slopes. Variance components were optimized directly with nonnegative bounds, two starts for point estimates, and profiled fixed effects and residual variance. Exact zero variances are allowed. All revised sensitivity and moderation fits returned convergence. Bootstrap resamples refit the models, and all 1,000 draws for each of the primary and person-day analyses converged. The model_diagnostics.csv and independent_likelihood_check.csv files document numerical diagnostics; a boundary does not establish absence of heterogeneity.</w:t>
      </w:r>
    </w:p>
    <w:p>
      <w:pPr>
        <w:pStyle w:val="4"/>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t>Table S2 Raw-score descriptive statistics</w:t>
      </w:r>
    </w:p>
    <w:tbl>
      <w:tblPr>
        <w:tblStyle w:val="32"/>
        <w:tblW w:w="0" w:type="auto"/>
        <w:tblInd w:w="0" w:type="dxa"/>
        <w:tblBorders>
          <w:top w:val="single" w:color="000000" w:themeColor="text1" w:sz="6" w:space="0"/>
          <w:left w:val="none" w:color="auto" w:sz="0" w:space="0"/>
          <w:bottom w:val="single" w:color="000000" w:themeColor="text1" w:sz="6"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16"/>
        <w:gridCol w:w="2736"/>
        <w:gridCol w:w="2736"/>
        <w:gridCol w:w="2592"/>
      </w:tblGrid>
      <w:tr>
        <w:tblPrEx>
          <w:tblBorders>
            <w:top w:val="single" w:color="000000" w:themeColor="text1" w:sz="6" w:space="0"/>
            <w:left w:val="none" w:color="auto" w:sz="0" w:space="0"/>
            <w:bottom w:val="single" w:color="000000" w:themeColor="text1" w:sz="6" w:space="0"/>
            <w:right w:val="none" w:color="auto" w:sz="0" w:space="0"/>
            <w:insideH w:val="none" w:color="auto" w:sz="0" w:space="0"/>
            <w:insideV w:val="none" w:color="auto" w:sz="0" w:space="0"/>
          </w:tblBorders>
          <w:shd w:val="clear" w:color="auto" w:fill="auto"/>
        </w:tblPrEx>
        <w:trPr>
          <w:tblHeader/>
        </w:trPr>
        <w:tc>
          <w:tcPr>
            <w:tcW w:w="2016"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Variable</w:t>
            </w:r>
          </w:p>
        </w:tc>
        <w:tc>
          <w:tcPr>
            <w:tcW w:w="2736"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Assessment mean</w:t>
            </w:r>
          </w:p>
        </w:tc>
        <w:tc>
          <w:tcPr>
            <w:tcW w:w="2736"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Assessment SD</w:t>
            </w:r>
          </w:p>
        </w:tc>
        <w:tc>
          <w:tcPr>
            <w:tcW w:w="2592"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ICC</w:t>
            </w:r>
          </w:p>
        </w:tc>
      </w:tr>
      <w:tr>
        <w:tblPrEx>
          <w:tblBorders>
            <w:top w:val="single" w:color="000000" w:themeColor="text1" w:sz="6" w:space="0"/>
            <w:left w:val="none" w:color="auto" w:sz="0" w:space="0"/>
            <w:bottom w:val="single" w:color="000000" w:themeColor="text1" w:sz="6" w:space="0"/>
            <w:right w:val="none" w:color="auto" w:sz="0" w:space="0"/>
            <w:insideH w:val="none" w:color="auto" w:sz="0" w:space="0"/>
            <w:insideV w:val="none" w:color="auto" w:sz="0" w:space="0"/>
          </w:tblBorders>
          <w:shd w:val="clear" w:color="auto" w:fill="auto"/>
        </w:tblPrEx>
        <w:tc>
          <w:tcPr>
            <w:tcW w:w="2016"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2736"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4.911</w:t>
            </w:r>
          </w:p>
        </w:tc>
        <w:tc>
          <w:tcPr>
            <w:tcW w:w="2736"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2.654</w:t>
            </w:r>
          </w:p>
        </w:tc>
        <w:tc>
          <w:tcPr>
            <w:tcW w:w="2592"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0.506</w:t>
            </w:r>
          </w:p>
        </w:tc>
      </w:tr>
      <w:tr>
        <w:tblPrEx>
          <w:tblBorders>
            <w:top w:val="single" w:color="000000" w:themeColor="text1" w:sz="6" w:space="0"/>
            <w:left w:val="none" w:color="auto" w:sz="0" w:space="0"/>
            <w:bottom w:val="single" w:color="000000" w:themeColor="text1" w:sz="6" w:space="0"/>
            <w:right w:val="none" w:color="auto" w:sz="0" w:space="0"/>
            <w:insideH w:val="none" w:color="auto" w:sz="0" w:space="0"/>
            <w:insideV w:val="none" w:color="auto" w:sz="0" w:space="0"/>
          </w:tblBorders>
          <w:shd w:val="clear" w:color="auto" w:fill="auto"/>
        </w:tblPrEx>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273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4.429</w:t>
            </w:r>
          </w:p>
        </w:tc>
        <w:tc>
          <w:tcPr>
            <w:tcW w:w="273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1.639</w:t>
            </w:r>
          </w:p>
        </w:tc>
        <w:tc>
          <w:tcPr>
            <w:tcW w:w="2592"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0.450</w:t>
            </w:r>
          </w:p>
        </w:tc>
      </w:tr>
      <w:tr>
        <w:tblPrEx>
          <w:tblBorders>
            <w:top w:val="single" w:color="000000" w:themeColor="text1" w:sz="6" w:space="0"/>
            <w:left w:val="none" w:color="auto" w:sz="0" w:space="0"/>
            <w:bottom w:val="single" w:color="000000" w:themeColor="text1" w:sz="6" w:space="0"/>
            <w:right w:val="none" w:color="auto" w:sz="0" w:space="0"/>
            <w:insideH w:val="none" w:color="auto" w:sz="0" w:space="0"/>
            <w:insideV w:val="none" w:color="auto" w:sz="0" w:space="0"/>
          </w:tblBorders>
          <w:shd w:val="clear" w:color="auto" w:fill="auto"/>
        </w:tblPrEx>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273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3.263</w:t>
            </w:r>
          </w:p>
        </w:tc>
        <w:tc>
          <w:tcPr>
            <w:tcW w:w="273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1.582</w:t>
            </w:r>
          </w:p>
        </w:tc>
        <w:tc>
          <w:tcPr>
            <w:tcW w:w="2592"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0.437</w:t>
            </w:r>
          </w:p>
        </w:tc>
      </w:tr>
      <w:tr>
        <w:tblPrEx>
          <w:tblBorders>
            <w:top w:val="single" w:color="000000" w:themeColor="text1" w:sz="6" w:space="0"/>
            <w:left w:val="none" w:color="auto" w:sz="0" w:space="0"/>
            <w:bottom w:val="single" w:color="000000" w:themeColor="text1" w:sz="6" w:space="0"/>
            <w:right w:val="none" w:color="auto" w:sz="0" w:space="0"/>
            <w:insideH w:val="none" w:color="auto" w:sz="0" w:space="0"/>
            <w:insideV w:val="none" w:color="auto" w:sz="0" w:space="0"/>
          </w:tblBorders>
          <w:shd w:val="clear" w:color="auto" w:fill="auto"/>
        </w:tblPrEx>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273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4.235</w:t>
            </w:r>
          </w:p>
        </w:tc>
        <w:tc>
          <w:tcPr>
            <w:tcW w:w="273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1.599</w:t>
            </w:r>
          </w:p>
        </w:tc>
        <w:tc>
          <w:tcPr>
            <w:tcW w:w="2592"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0.475</w:t>
            </w:r>
          </w:p>
        </w:tc>
      </w:tr>
    </w:tbl>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lang w:val="en-US"/>
        </w:rPr>
        <w:t>N</w:t>
      </w:r>
      <w:r>
        <w:rPr>
          <w:rFonts w:hint="default" w:ascii="Times New Roman Italic" w:hAnsi="Times New Roman Italic" w:eastAsia="宋体" w:cs="Times New Roman Italic"/>
          <w:i/>
          <w:iCs/>
          <w:color w:val="auto"/>
          <w:sz w:val="18"/>
          <w:lang w:val="en-US" w:eastAsia="zh-CN"/>
        </w:rPr>
        <w:t xml:space="preserve">ote. </w:t>
      </w:r>
      <w:r>
        <w:rPr>
          <w:rFonts w:hint="default" w:ascii="Times New Roman Italic" w:hAnsi="Times New Roman Italic" w:cs="Times New Roman Italic"/>
          <w:i/>
          <w:iCs/>
          <w:color w:val="auto"/>
          <w:sz w:val="18"/>
        </w:rPr>
        <w:t>N = 99; 5,850 valid assessments. Means and SDs pool assessments. ICC uses the raw-score one-way random-effects ANOVA estimator with the effective cluster size adjusted for unequal assessment counts. It is separate from the near-zero random intercept after within-person standardization.</w:t>
      </w:r>
    </w:p>
    <w:p>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pPr>
        <w:pStyle w:val="4"/>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t>Table S3 All temporal coefficients under sensitivity specifications</w:t>
      </w:r>
    </w:p>
    <w:tbl>
      <w:tblPr>
        <w:tblStyle w:val="32"/>
        <w:tblW w:w="0" w:type="auto"/>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60"/>
        <w:gridCol w:w="1131"/>
        <w:gridCol w:w="1131"/>
        <w:gridCol w:w="1131"/>
        <w:gridCol w:w="1131"/>
        <w:gridCol w:w="1131"/>
        <w:gridCol w:w="1131"/>
        <w:gridCol w:w="1131"/>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PrEx>
        <w:trPr>
          <w:tblHeader/>
        </w:trPr>
        <w:tc>
          <w:tcPr>
            <w:tcW w:w="2160"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Path</w:t>
            </w:r>
          </w:p>
        </w:tc>
        <w:tc>
          <w:tcPr>
            <w:tcW w:w="1131"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Primary</w:t>
            </w:r>
          </w:p>
        </w:tc>
        <w:tc>
          <w:tcPr>
            <w:tcW w:w="1131"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Exclude six</w:t>
            </w:r>
          </w:p>
        </w:tc>
        <w:tc>
          <w:tcPr>
            <w:tcW w:w="1131"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120–180 min</w:t>
            </w:r>
          </w:p>
        </w:tc>
        <w:tc>
          <w:tcPr>
            <w:tcW w:w="1131"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All intervals</w:t>
            </w:r>
          </w:p>
        </w:tc>
        <w:tc>
          <w:tcPr>
            <w:tcW w:w="1131"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Intercept only</w:t>
            </w:r>
          </w:p>
        </w:tc>
        <w:tc>
          <w:tcPr>
            <w:tcW w:w="1131"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6"/>
              </w:rPr>
              <w:t>Detrended</w:t>
            </w:r>
          </w:p>
        </w:tc>
        <w:tc>
          <w:tcPr>
            <w:tcW w:w="1131"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Person-day</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 → MSRAE</w:t>
            </w:r>
          </w:p>
        </w:tc>
        <w:tc>
          <w:tcPr>
            <w:tcW w:w="1131"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0.203</w:t>
            </w:r>
          </w:p>
        </w:tc>
        <w:tc>
          <w:tcPr>
            <w:tcW w:w="1131"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0.212</w:t>
            </w:r>
          </w:p>
        </w:tc>
        <w:tc>
          <w:tcPr>
            <w:tcW w:w="1131"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0.190</w:t>
            </w:r>
          </w:p>
        </w:tc>
        <w:tc>
          <w:tcPr>
            <w:tcW w:w="1131"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0.200</w:t>
            </w:r>
          </w:p>
        </w:tc>
        <w:tc>
          <w:tcPr>
            <w:tcW w:w="1131"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0.205</w:t>
            </w:r>
          </w:p>
        </w:tc>
        <w:tc>
          <w:tcPr>
            <w:tcW w:w="1131"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0.199</w:t>
            </w:r>
          </w:p>
        </w:tc>
        <w:tc>
          <w:tcPr>
            <w:tcW w:w="1131"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−0.121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 → PosAff</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0.162</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0.172</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0.164</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0.164</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0.164</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0.164</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 → NegAff</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−0.157</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−0.155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−0.169</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−0.157</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−0.161</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−0.074</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 → Fatigue</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0.101</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0.112</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0.072</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0.101</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0.095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0.102</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 → MSRAE</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0.118</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0.123</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0.112</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0.118</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 → PosAff</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0.197</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0.189</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0.188</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0.183</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−0.176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 → NegAff</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−0.125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−0.120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−0.137</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−0.127</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−0.125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 → Fatigue</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−0.071</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−0.090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−0.077</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−0.092</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 → MSRAE</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−0.134</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−0.129</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−0.137</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 → PosAff</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−0.179</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−0.176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−0.177</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−0.169</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−0.183</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−0.178</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−0.084</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 → NegAff</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0.211</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0.223</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0.216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0.210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0.210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0.208</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−0.154</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 → Fatigue</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0.048</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0.067</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0.066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0.049</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 → MSRAE</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−0.133</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−0.145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−0.134</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−0.131</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−0.127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 → PosAff</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−0.044</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−0.051</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−0.052</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 → NegAff</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0.047</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216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 → Fatigue</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0.176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0.195</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0.180</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0.188</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0.176</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0.169</w:t>
            </w:r>
          </w:p>
        </w:tc>
        <w:tc>
          <w:tcPr>
            <w:tcW w:w="1131"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−0.142</w:t>
            </w:r>
          </w:p>
        </w:tc>
      </w:tr>
    </w:tbl>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lang w:val="en-US"/>
        </w:rPr>
        <w:t>N</w:t>
      </w:r>
      <w:r>
        <w:rPr>
          <w:rFonts w:hint="default" w:ascii="Times New Roman Italic" w:hAnsi="Times New Roman Italic" w:eastAsia="宋体" w:cs="Times New Roman Italic"/>
          <w:i/>
          <w:iCs/>
          <w:color w:val="auto"/>
          <w:sz w:val="18"/>
          <w:lang w:val="en-US" w:eastAsia="zh-CN"/>
        </w:rPr>
        <w:t xml:space="preserve">ote. </w:t>
      </w:r>
      <w:r>
        <w:rPr>
          <w:rFonts w:hint="default" w:ascii="Times New Roman Italic" w:hAnsi="Times New Roman Italic" w:cs="Times New Roman Italic"/>
          <w:i/>
          <w:iCs/>
          <w:color w:val="auto"/>
          <w:sz w:val="18"/>
        </w:rPr>
        <w:t>Primary: 99 participants, 3,472 pairs. Exclude six: 93 participants, 3,261 pairs. Narrow window: 99 participants, 2,263 pairs. All intervals: 99 participants, 3,738 pairs, recorded range 6.9–281.5 minutes. The other columns use the primary pair set. Independent random slopes are included except in the random-intercept-only column. Detrending removes pooled splines of response clock time (5 df) and study day (3 df), plus weekend, before lag construction. Person-day demeaning changes the estimand; its intervals and all 16 tests are in person_day99.csv, with key pathways in main Table 4.</w:t>
      </w:r>
    </w:p>
    <w:p>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pPr>
        <w:pStyle w:val="4"/>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t>Table S4 Lagged predictor by interval interactions</w:t>
      </w:r>
    </w:p>
    <w:tbl>
      <w:tblPr>
        <w:tblStyle w:val="32"/>
        <w:tblW w:w="0" w:type="auto"/>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0"/>
        <w:gridCol w:w="1440"/>
        <w:gridCol w:w="1584"/>
        <w:gridCol w:w="2880"/>
        <w:gridCol w:w="1296"/>
        <w:gridCol w:w="1440"/>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PrEx>
        <w:trPr>
          <w:tblHeader/>
        </w:trPr>
        <w:tc>
          <w:tcPr>
            <w:tcW w:w="1440"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Predictor</w:t>
            </w:r>
          </w:p>
        </w:tc>
        <w:tc>
          <w:tcPr>
            <w:tcW w:w="1440"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Outcome</w:t>
            </w:r>
          </w:p>
        </w:tc>
        <w:tc>
          <w:tcPr>
            <w:tcW w:w="1584"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Interaction β</w:t>
            </w:r>
          </w:p>
        </w:tc>
        <w:tc>
          <w:tcPr>
            <w:tcW w:w="2880"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95% CI</w:t>
            </w:r>
          </w:p>
        </w:tc>
        <w:tc>
          <w:tcPr>
            <w:tcW w:w="1296"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i/>
                <w:iCs/>
                <w:color w:val="auto"/>
                <w:sz w:val="18"/>
              </w:rPr>
              <w:t>p</w:t>
            </w:r>
          </w:p>
        </w:tc>
        <w:tc>
          <w:tcPr>
            <w:tcW w:w="1440"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i/>
                <w:iCs/>
                <w:color w:val="auto"/>
                <w:sz w:val="18"/>
              </w:rPr>
              <w:t>p</w:t>
            </w:r>
            <w:r>
              <w:rPr>
                <w:rFonts w:hint="default" w:ascii="Times New Roman Regular" w:hAnsi="Times New Roman Regular" w:cs="Times New Roman Regular"/>
                <w:b/>
                <w:color w:val="auto"/>
                <w:sz w:val="18"/>
              </w:rPr>
              <w:t xml:space="preserve"> FDR</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0.013</w:t>
            </w:r>
          </w:p>
        </w:tc>
        <w:tc>
          <w:tcPr>
            <w:tcW w:w="2880"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−0.043 to 0.069</w:t>
            </w:r>
          </w:p>
        </w:tc>
        <w:tc>
          <w:tcPr>
            <w:tcW w:w="1296"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0.640</w:t>
            </w:r>
          </w:p>
        </w:tc>
        <w:tc>
          <w:tcPr>
            <w:tcW w:w="1440"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0.037</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−0.012 to 0.086</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0.136</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0.909</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−0.014</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−0.069 to 0.042</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0.626</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0.001</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−0.047 to 0.050</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0.954</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0.954</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0.014</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−0.036 to 0.064</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0.577</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−0.038</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−0.100 to 0.024</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0.227</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0.909</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−0.023</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−0.080 to 0.033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0.413</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0.006</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−0.044 to 0.057</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0.802</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−0.005</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−0.059 to 0.049</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0.849</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−0.027</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−0.084 to 0.029</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0.338</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−0.005</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−0.065 to 0.056</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0.879</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0.006</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−0.046 to 0.058</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0.823</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−0.018</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−0.082 to 0.047</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0.584</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−0.040</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−0.101 to 0.022</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0.201</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0.909</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−0.004</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−0.065 to 0.057</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0.893</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−0.044</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−0.105 to 0.016</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0.152</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0.909</w:t>
            </w:r>
          </w:p>
        </w:tc>
      </w:tr>
    </w:tbl>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lang w:val="en-US"/>
        </w:rPr>
        <w:t>N</w:t>
      </w:r>
      <w:r>
        <w:rPr>
          <w:rFonts w:hint="default" w:ascii="Times New Roman Italic" w:hAnsi="Times New Roman Italic" w:eastAsia="宋体" w:cs="Times New Roman Italic"/>
          <w:i/>
          <w:iCs/>
          <w:color w:val="auto"/>
          <w:sz w:val="18"/>
          <w:lang w:val="en-US" w:eastAsia="zh-CN"/>
        </w:rPr>
        <w:t xml:space="preserve">ote. </w:t>
      </w:r>
      <w:r>
        <w:rPr>
          <w:rFonts w:hint="default" w:ascii="Times New Roman Italic" w:hAnsi="Times New Roman Italic" w:cs="Times New Roman Italic"/>
          <w:i/>
          <w:iCs/>
          <w:color w:val="auto"/>
          <w:sz w:val="18"/>
        </w:rPr>
        <w:t>All 3,738 consecutive same-day pairs. Each OLS equation includes four lagged predictors, centered interval in hours, and their four interactions. Participant-clustered sandwich SEs use a finite-sample correction and t distribution with 98 df. BH correction spans 16 interactions. These diagnostic tests do not establish interval invariance or replace a hierarchical continuous-time model.</w:t>
      </w:r>
    </w:p>
    <w:p>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pPr>
        <w:pStyle w:val="4"/>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t>Table S5 Conditional second-response probability</w:t>
      </w:r>
    </w:p>
    <w:tbl>
      <w:tblPr>
        <w:tblStyle w:val="32"/>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64"/>
        <w:gridCol w:w="1296"/>
        <w:gridCol w:w="3024"/>
        <w:gridCol w:w="1296"/>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blHeader/>
        </w:trPr>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Term</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OR</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95% CI</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i/>
                <w:iCs/>
                <w:color w:val="auto"/>
                <w:sz w:val="18"/>
              </w:rPr>
              <w:t>p</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Intercept</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3.154</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2.543 to 3.913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C(beep_number)[T.3]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1.064</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0.866 to 1.308</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0.553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C(beep_number)[T.4]</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1.040</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0.845 to 1.280</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C(beep_number)[T.5]</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1.013</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0.809 to 1.268</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0.909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C(beep_number)[T.6]</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0.733</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0.595 to 0.904</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C(group)[T.Lower-activity]</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1.002</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0.812 to 1.235</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0.988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PA_lag</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0.996</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0.934 to 1.062</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0.905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PosAff_lag</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0.983</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0.912 to 1.060</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0.651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NegAff_lag</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0.980</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0.914 to 1.050</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0.562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Fatigue_lag</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1.078</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1.006 to 1.154</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446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dayc</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0.955</w:t>
            </w:r>
          </w:p>
        </w:tc>
        <w:tc>
          <w:tcPr>
            <w:tcW w:w="302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0.940 to 0.970</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&lt;0.001</w:t>
            </w:r>
          </w:p>
        </w:tc>
      </w:tr>
    </w:tbl>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lang w:val="en-US"/>
        </w:rPr>
        <w:t>N</w:t>
      </w:r>
      <w:r>
        <w:rPr>
          <w:rFonts w:hint="default" w:ascii="Times New Roman Italic" w:hAnsi="Times New Roman Italic" w:eastAsia="宋体" w:cs="Times New Roman Italic"/>
          <w:i/>
          <w:iCs/>
          <w:color w:val="auto"/>
          <w:sz w:val="18"/>
          <w:lang w:val="en-US" w:eastAsia="zh-CN"/>
        </w:rPr>
        <w:t xml:space="preserve">ote. </w:t>
      </w:r>
      <w:r>
        <w:rPr>
          <w:rFonts w:hint="default" w:ascii="Times New Roman Italic" w:hAnsi="Times New Roman Italic" w:cs="Times New Roman Italic"/>
          <w:i/>
          <w:iCs/>
          <w:color w:val="auto"/>
          <w:sz w:val="18"/>
        </w:rPr>
        <w:t>GEE logit model, exchangeable working correlation, participant clustering; 4,929 opportunities with the previous scheduled same-day response observed, of which 75.8% were answered. PA_lag is prior MSRAE. Day is centered at 7.5. Reference prompt is 2 (prompt 1 has no prior same-day assessment) and reference group is Higher-activity. The estimand is Pr(R_t = 1 | R_t−1 = 1, observed history), not the joint probability that both responses or a time-restricted pair are observed.</w:t>
      </w:r>
    </w:p>
    <w:p>
      <w:pPr>
        <w:pStyle w:val="4"/>
        <w:pageBreakBefore/>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t>Table S6 Conditional weighting diagnostic</w:t>
      </w:r>
    </w:p>
    <w:tbl>
      <w:tblPr>
        <w:tblStyle w:val="32"/>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28"/>
        <w:gridCol w:w="1728"/>
        <w:gridCol w:w="2304"/>
        <w:gridCol w:w="2304"/>
        <w:gridCol w:w="2016"/>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blHeader/>
        </w:trPr>
        <w:tc>
          <w:tcPr>
            <w:tcW w:w="1728"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Predictor</w:t>
            </w:r>
          </w:p>
        </w:tc>
        <w:tc>
          <w:tcPr>
            <w:tcW w:w="1728"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Outcome</w:t>
            </w:r>
          </w:p>
        </w:tc>
        <w:tc>
          <w:tcPr>
            <w:tcW w:w="2304"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Unweighted OLS</w:t>
            </w:r>
          </w:p>
        </w:tc>
        <w:tc>
          <w:tcPr>
            <w:tcW w:w="2304"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Weighted OLS</w:t>
            </w:r>
          </w:p>
        </w:tc>
        <w:tc>
          <w:tcPr>
            <w:tcW w:w="2016"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Difference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728"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2304"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0.205</w:t>
            </w:r>
          </w:p>
        </w:tc>
        <w:tc>
          <w:tcPr>
            <w:tcW w:w="2304"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0.206</w:t>
            </w:r>
          </w:p>
        </w:tc>
        <w:tc>
          <w:tcPr>
            <w:tcW w:w="2016"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0.116</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0.116</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−0.137</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−0.136</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0.0011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−0.136</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−0.136</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0.164</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0.164</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0.0007</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0.186</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0.186</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−0.183</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−0.182</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−0.050</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−0.050</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−0.161</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−0.161</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−0.0006</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−0.130</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−0.130</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0.210</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0.212</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0.0016</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0.045</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0.045</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−0.0004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0.095</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0.096</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0.0015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−0.092</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−0.093</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−0.0010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0.040</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0.037</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−0.0032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PrEx>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728"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0.176</w:t>
            </w:r>
          </w:p>
        </w:tc>
        <w:tc>
          <w:tcPr>
            <w:tcW w:w="230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0.178</w:t>
            </w:r>
          </w:p>
        </w:tc>
        <w:tc>
          <w:tcPr>
            <w:tcW w:w="201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0.0016</w:t>
            </w:r>
          </w:p>
        </w:tc>
      </w:tr>
    </w:tbl>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lang w:val="en-US"/>
        </w:rPr>
        <w:t>N</w:t>
      </w:r>
      <w:r>
        <w:rPr>
          <w:rFonts w:hint="default" w:ascii="Times New Roman Italic" w:hAnsi="Times New Roman Italic" w:eastAsia="宋体" w:cs="Times New Roman Italic"/>
          <w:i/>
          <w:iCs/>
          <w:color w:val="auto"/>
          <w:sz w:val="18"/>
          <w:lang w:val="en-US" w:eastAsia="zh-CN"/>
        </w:rPr>
        <w:t xml:space="preserve">ote. </w:t>
      </w:r>
      <w:r>
        <w:rPr>
          <w:rFonts w:hint="default" w:ascii="Times New Roman Italic" w:hAnsi="Times New Roman Italic" w:cs="Times New Roman Italic"/>
          <w:i/>
          <w:iCs/>
          <w:color w:val="auto"/>
          <w:sz w:val="18"/>
        </w:rPr>
        <w:t>Both estimators use the same 3,472 observed restricted pairs. Weights are proportional to the inverse conditional second-response probability from Table S5 and normalized to mean one (range 0.89–1.24). This comparison does not refit a weighted random-slope model. It does not correct missing first assessments, selection into the interval window, or unobserved-state-dependent response behavior. Differences are calculated as weighted minus unweighted coefficients using the unrounded estimates and are displayed to four decimal places. Each coefficient is rounded separately to three decimal places; therefore, subtracting the displayed coefficients may not reproduce the reported difference.</w:t>
      </w:r>
    </w:p>
    <w:p>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pPr>
        <w:pStyle w:val="4"/>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t>Table S7 Exploratory moderation using Continuous IPAQ-SF</w:t>
      </w:r>
    </w:p>
    <w:tbl>
      <w:tblPr>
        <w:tblStyle w:val="32"/>
        <w:tblW w:w="0" w:type="auto"/>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0"/>
        <w:gridCol w:w="1440"/>
        <w:gridCol w:w="1584"/>
        <w:gridCol w:w="2880"/>
        <w:gridCol w:w="1296"/>
        <w:gridCol w:w="1440"/>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PrEx>
        <w:trPr>
          <w:tblHeader/>
        </w:trPr>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Predictor</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Outcome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Interaction β</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95% CI</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i/>
                <w:iCs/>
                <w:color w:val="auto"/>
                <w:sz w:val="18"/>
              </w:rPr>
              <w:t>p</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i/>
                <w:iCs/>
                <w:color w:val="auto"/>
                <w:sz w:val="18"/>
              </w:rPr>
              <w:t>p</w:t>
            </w:r>
            <w:r>
              <w:rPr>
                <w:rFonts w:hint="default" w:ascii="Times New Roman Regular" w:hAnsi="Times New Roman Regular" w:cs="Times New Roman Regular"/>
                <w:b/>
                <w:color w:val="auto"/>
                <w:sz w:val="18"/>
              </w:rPr>
              <w:t xml:space="preserve"> FDR</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−0.063 to −0.002</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0.036</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0.567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0.028</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−0.002 to 0.058</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0.071</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0.567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0.024</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−0.011 to 0.059</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0.181</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0.871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−0.015</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−0.045 to 0.014</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0.309</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0.871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−0.019</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−0.056 to 0.018</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0.321</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0.871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−0.015</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−0.046 to 0.015</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0.327</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0.871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−0.017</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−0.055 to 0.021</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0.381</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0.871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−0.013</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−0.050 to 0.024</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0.494</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0.946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0.009</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−0.021 to 0.039</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0.566</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0.946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0.005</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−0.026 to 0.035</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0.771</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0.946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0.005</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−0.033 to 0.043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0.783</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0.946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−0.004</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−0.035 to 0.028</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0.817</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0.946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−0.004</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−0.036 to 0.028</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0.823</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0.946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0.004</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−0.032 to 0.040</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0.827</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0.946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−0.031 to 0.034</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0.922</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0.955</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auto"/>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−0.001</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−0.034 to 0.032</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0.955</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0.955</w:t>
            </w:r>
          </w:p>
        </w:tc>
      </w:tr>
    </w:tbl>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lang w:val="en-US"/>
        </w:rPr>
        <w:t>N</w:t>
      </w:r>
      <w:r>
        <w:rPr>
          <w:rFonts w:hint="default" w:ascii="Times New Roman Italic" w:hAnsi="Times New Roman Italic" w:eastAsia="宋体" w:cs="Times New Roman Italic"/>
          <w:i/>
          <w:iCs/>
          <w:color w:val="auto"/>
          <w:sz w:val="18"/>
          <w:lang w:val="en-US" w:eastAsia="zh-CN"/>
        </w:rPr>
        <w:t xml:space="preserve">ote. </w:t>
      </w:r>
      <w:r>
        <w:rPr>
          <w:rFonts w:hint="default" w:ascii="Times New Roman Italic" w:hAnsi="Times New Roman Italic" w:cs="Times New Roman Italic"/>
          <w:i/>
          <w:iCs/>
          <w:color w:val="auto"/>
          <w:sz w:val="18"/>
        </w:rPr>
        <w:t>All 99 participants and 3,472 restricted pairs. Each path is tested in a separate equation with all four lagged main effects, moderator main effect, one interaction, and independent random slopes for the four lagged predictors. CIs and p-values use model-based normal-reference Wald inference, with BH correction across 16 paths within this specification. These tests are exploratory and do not include bootstrap inference for interactions.</w:t>
      </w:r>
    </w:p>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rPr>
        <w:t>Continuous IPAQ-SF was standardized across 99 unique participants (mean 2,203.23, SD 2,026.36 MET-min/week), not weighted by number of pairs. No interaction survived FDR correction.</w:t>
      </w:r>
    </w:p>
    <w:p>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pPr>
        <w:pStyle w:val="4"/>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t>Table S8 Exploratory moderation using Sample-derived 1500 MET-min/week grouping</w:t>
      </w:r>
    </w:p>
    <w:tbl>
      <w:tblPr>
        <w:tblStyle w:val="32"/>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0"/>
        <w:gridCol w:w="1440"/>
        <w:gridCol w:w="1584"/>
        <w:gridCol w:w="2880"/>
        <w:gridCol w:w="1296"/>
        <w:gridCol w:w="144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blHeader/>
        </w:trPr>
        <w:tc>
          <w:tcPr>
            <w:tcW w:w="1440"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Predictor</w:t>
            </w:r>
          </w:p>
        </w:tc>
        <w:tc>
          <w:tcPr>
            <w:tcW w:w="1440"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Outcome</w:t>
            </w:r>
          </w:p>
        </w:tc>
        <w:tc>
          <w:tcPr>
            <w:tcW w:w="1584"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Interaction β</w:t>
            </w:r>
          </w:p>
        </w:tc>
        <w:tc>
          <w:tcPr>
            <w:tcW w:w="2880"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8"/>
              </w:rPr>
              <w:t>95% CI</w:t>
            </w:r>
          </w:p>
        </w:tc>
        <w:tc>
          <w:tcPr>
            <w:tcW w:w="1296"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i/>
                <w:iCs/>
                <w:color w:val="auto"/>
                <w:sz w:val="18"/>
              </w:rPr>
              <w:t>p</w:t>
            </w:r>
          </w:p>
        </w:tc>
        <w:tc>
          <w:tcPr>
            <w:tcW w:w="1440" w:type="dxa"/>
            <w:tcBorders>
              <w:bottom w:val="single" w:color="auto" w:sz="4"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i/>
                <w:iCs/>
                <w:color w:val="auto"/>
                <w:sz w:val="18"/>
              </w:rPr>
              <w:t>p</w:t>
            </w:r>
            <w:r>
              <w:rPr>
                <w:rFonts w:hint="default" w:ascii="Times New Roman Regular" w:hAnsi="Times New Roman Regular" w:cs="Times New Roman Regular"/>
                <w:b/>
                <w:color w:val="auto"/>
                <w:sz w:val="18"/>
              </w:rPr>
              <w:t xml:space="preserve"> FDR</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0.072</w:t>
            </w:r>
          </w:p>
        </w:tc>
        <w:tc>
          <w:tcPr>
            <w:tcW w:w="2880"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0.009 to 0.136</w:t>
            </w:r>
          </w:p>
        </w:tc>
        <w:tc>
          <w:tcPr>
            <w:tcW w:w="1296"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0.025</w:t>
            </w:r>
          </w:p>
        </w:tc>
        <w:tc>
          <w:tcPr>
            <w:tcW w:w="1440" w:type="dxa"/>
            <w:tcBorders>
              <w:top w:val="single" w:color="auto" w:sz="4" w:space="0"/>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0.361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−0.065</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−0.129 to −0.001</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0.045</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0.361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−0.072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−0.150 to 0.006</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0.070</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0.372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−0.054</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−0.130 to 0.023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0.168</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0.674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0.044</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−0.029 to 0.117</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0.237</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−0.096 to 0.031</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0.315</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−0.099 to 0.035</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0.350</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−0.033</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−0.110 to 0.044</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0.403</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−0.029</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−0.104 to 0.045</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0.442</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−0.084 to 0.041</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0.492</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−0.088 to 0.043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0.506</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−0.017</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−0.083 to 0.048</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0.602</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−0.021</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−0.100 to 0.059</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0.612</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0.017</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−0.052 to 0.086</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0.628</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0.012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−0.056 to 0.079</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0.737</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0.786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−0.002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−0.066 to 0.062</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0.949</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8"/>
              </w:rPr>
              <w:t>0.949</w:t>
            </w:r>
          </w:p>
        </w:tc>
      </w:tr>
    </w:tbl>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lang w:val="en-US"/>
        </w:rPr>
        <w:t>N</w:t>
      </w:r>
      <w:r>
        <w:rPr>
          <w:rFonts w:hint="default" w:ascii="Times New Roman Italic" w:hAnsi="Times New Roman Italic" w:eastAsia="宋体" w:cs="Times New Roman Italic"/>
          <w:i/>
          <w:iCs/>
          <w:color w:val="auto"/>
          <w:sz w:val="18"/>
          <w:lang w:val="en-US" w:eastAsia="zh-CN"/>
        </w:rPr>
        <w:t xml:space="preserve">ote. </w:t>
      </w:r>
      <w:r>
        <w:rPr>
          <w:rFonts w:hint="default" w:ascii="Times New Roman Italic" w:hAnsi="Times New Roman Italic" w:cs="Times New Roman Italic"/>
          <w:i/>
          <w:iCs/>
          <w:color w:val="auto"/>
          <w:sz w:val="18"/>
        </w:rPr>
        <w:t>All 99 participants and 3,472 restricted pairs. Each path is tested in a separate equation with all four lagged main effects, moderator main effect, one interaction, and independent random slopes for the four lagged predictors. CIs and p-values use model-based normal-reference Wald inference, with BH correction across 16 paths within this specification. These tests are exploratory and do not include bootstrap inference for interactions.</w:t>
      </w:r>
    </w:p>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rPr>
        <w:t>Higher = 1 for ≥1,500 MET-min/week (n = 52), lower = 0 (n = 47). The cutoff was chosen after inspection of the original sample distribution and is not a standard IPAQ category. Two interactions were nominally significant in the revised analysis; none survived FDR correction. No behavioral or fatigue-buffering mechanism is inferred.</w:t>
      </w:r>
    </w:p>
    <w:p>
      <w:pPr>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br w:type="page"/>
      </w:r>
    </w:p>
    <w:p>
      <w:pPr>
        <w:pStyle w:val="4"/>
        <w:jc w:val="both"/>
        <w:rPr>
          <w:rFonts w:hint="default" w:ascii="Times New Roman Regular" w:hAnsi="Times New Roman Regular" w:cs="Times New Roman Regular"/>
          <w:color w:val="auto"/>
        </w:rPr>
      </w:pPr>
      <w:r>
        <w:rPr>
          <w:rFonts w:hint="default" w:ascii="Times New Roman Regular" w:hAnsi="Times New Roman Regular" w:cs="Times New Roman Regular"/>
          <w:color w:val="auto"/>
        </w:rPr>
        <w:t>Table S9 Exploratory moderation using Archived standard IPAQ categories</w:t>
      </w:r>
    </w:p>
    <w:tbl>
      <w:tblPr>
        <w:tblStyle w:val="32"/>
        <w:tblW w:w="0" w:type="auto"/>
        <w:tblInd w:w="0" w:type="dxa"/>
        <w:tblBorders>
          <w:top w:val="single" w:color="auto" w:sz="6" w:space="0"/>
          <w:left w:val="none" w:color="auto" w:sz="0" w:space="0"/>
          <w:bottom w:val="single" w:color="auto" w:sz="6"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0"/>
        <w:gridCol w:w="1440"/>
        <w:gridCol w:w="1584"/>
        <w:gridCol w:w="2880"/>
        <w:gridCol w:w="1296"/>
        <w:gridCol w:w="1440"/>
      </w:tblGrid>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rPr>
          <w:tblHeader/>
        </w:trPr>
        <w:tc>
          <w:tcPr>
            <w:tcW w:w="1440" w:type="dxa"/>
            <w:tcBorders>
              <w:bottom w:val="single" w:color="auto" w:sz="2"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i w:val="0"/>
                <w:iCs w:val="0"/>
                <w:color w:val="auto"/>
                <w:sz w:val="18"/>
              </w:rPr>
              <w:t>Predictor</w:t>
            </w:r>
          </w:p>
        </w:tc>
        <w:tc>
          <w:tcPr>
            <w:tcW w:w="1440" w:type="dxa"/>
            <w:tcBorders>
              <w:bottom w:val="single" w:color="auto" w:sz="2"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i w:val="0"/>
                <w:iCs w:val="0"/>
                <w:color w:val="auto"/>
                <w:sz w:val="18"/>
              </w:rPr>
              <w:t>Outcome</w:t>
            </w:r>
          </w:p>
        </w:tc>
        <w:tc>
          <w:tcPr>
            <w:tcW w:w="1584" w:type="dxa"/>
            <w:tcBorders>
              <w:bottom w:val="single" w:color="auto" w:sz="2"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i w:val="0"/>
                <w:iCs w:val="0"/>
                <w:color w:val="auto"/>
                <w:sz w:val="18"/>
              </w:rPr>
              <w:t>Interaction β</w:t>
            </w:r>
          </w:p>
        </w:tc>
        <w:tc>
          <w:tcPr>
            <w:tcW w:w="2880" w:type="dxa"/>
            <w:tcBorders>
              <w:bottom w:val="single" w:color="auto" w:sz="2"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i w:val="0"/>
                <w:iCs w:val="0"/>
                <w:color w:val="auto"/>
                <w:sz w:val="18"/>
              </w:rPr>
              <w:t>95% CI</w:t>
            </w:r>
          </w:p>
        </w:tc>
        <w:tc>
          <w:tcPr>
            <w:tcW w:w="1296" w:type="dxa"/>
            <w:tcBorders>
              <w:bottom w:val="single" w:color="auto" w:sz="2"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i/>
                <w:iCs/>
                <w:color w:val="auto"/>
                <w:sz w:val="18"/>
              </w:rPr>
              <w:t>p</w:t>
            </w:r>
          </w:p>
        </w:tc>
        <w:tc>
          <w:tcPr>
            <w:tcW w:w="1440" w:type="dxa"/>
            <w:tcBorders>
              <w:bottom w:val="single" w:color="auto" w:sz="2" w:space="0"/>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i/>
                <w:iCs/>
                <w:color w:val="auto"/>
                <w:sz w:val="18"/>
              </w:rPr>
              <w:t>p</w:t>
            </w:r>
            <w:r>
              <w:rPr>
                <w:rFonts w:hint="default" w:ascii="Times New Roman Regular" w:hAnsi="Times New Roman Regular" w:cs="Times New Roman Regular"/>
                <w:b/>
                <w:i w:val="0"/>
                <w:iCs w:val="0"/>
                <w:color w:val="auto"/>
                <w:sz w:val="18"/>
              </w:rPr>
              <w:t xml:space="preserve"> FDR</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op w:val="single" w:color="auto" w:sz="2" w:space="0"/>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NegAff</w:t>
            </w:r>
          </w:p>
        </w:tc>
        <w:tc>
          <w:tcPr>
            <w:tcW w:w="1440" w:type="dxa"/>
            <w:tcBorders>
              <w:top w:val="single" w:color="auto" w:sz="2" w:space="0"/>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Fatigue</w:t>
            </w:r>
          </w:p>
        </w:tc>
        <w:tc>
          <w:tcPr>
            <w:tcW w:w="1584" w:type="dxa"/>
            <w:tcBorders>
              <w:top w:val="single" w:color="auto" w:sz="2" w:space="0"/>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0.072</w:t>
            </w:r>
          </w:p>
        </w:tc>
        <w:tc>
          <w:tcPr>
            <w:tcW w:w="2880" w:type="dxa"/>
            <w:tcBorders>
              <w:top w:val="single" w:color="auto" w:sz="2" w:space="0"/>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−0.020 to 0.165</w:t>
            </w:r>
          </w:p>
        </w:tc>
        <w:tc>
          <w:tcPr>
            <w:tcW w:w="1296" w:type="dxa"/>
            <w:tcBorders>
              <w:top w:val="single" w:color="auto" w:sz="2" w:space="0"/>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0.127</w:t>
            </w:r>
          </w:p>
        </w:tc>
        <w:tc>
          <w:tcPr>
            <w:tcW w:w="1440" w:type="dxa"/>
            <w:tcBorders>
              <w:top w:val="single" w:color="auto" w:sz="2" w:space="0"/>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−0.056</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−0.135 to 0.023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0.166</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0.045</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−0.053 to 0.143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0.367</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−0.036</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−0.115 to 0.043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0.376</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−0.036</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−0.118 to 0.046</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0.391</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−0.036</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−0.122 to 0.050</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0.411</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0.033</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−0.046 to 0.112</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0.415</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−0.029</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−0.112 to 0.053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0.486</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0.032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−0.059 to 0.123</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0.491</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Fatigue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0.033</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−0.066 to 0.132</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0.514</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NegAff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0.025</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−0.055 to 0.104</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0.546</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0.794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Fatigue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0.025</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−0.076 to 0.125</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0.628</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0.837</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PosAff</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0.013</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−0.086 to 0.111</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0.802</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0.984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PosAff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0.003</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−0.082 to 0.089</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0.939</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0.984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NegAff</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0.002</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−0.077 to 0.081</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0.952</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0.984</w:t>
            </w:r>
          </w:p>
        </w:tc>
      </w:tr>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PrEx>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MSRAE</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MSRAE</w:t>
            </w:r>
          </w:p>
        </w:tc>
        <w:tc>
          <w:tcPr>
            <w:tcW w:w="1584"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0.001</w:t>
            </w:r>
          </w:p>
        </w:tc>
        <w:tc>
          <w:tcPr>
            <w:tcW w:w="288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−0.084 to 0.086</w:t>
            </w:r>
          </w:p>
        </w:tc>
        <w:tc>
          <w:tcPr>
            <w:tcW w:w="1296"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0.984</w:t>
            </w:r>
          </w:p>
        </w:tc>
        <w:tc>
          <w:tcPr>
            <w:tcW w:w="1440" w:type="dxa"/>
            <w:tcBorders>
              <w:tl2br w:val="nil"/>
              <w:tr2bl w:val="nil"/>
            </w:tcBorders>
            <w:shd w:val="clear" w:color="auto" w:fill="auto"/>
            <w:vAlign w:val="center"/>
          </w:tcPr>
          <w:p>
            <w:pPr>
              <w:spacing w:before="60" w:after="60" w:line="240" w:lineRule="auto"/>
              <w:jc w:val="center"/>
              <w:rPr>
                <w:rFonts w:hint="default" w:ascii="Times New Roman Regular" w:hAnsi="Times New Roman Regular" w:cs="Times New Roman Regular"/>
                <w:i w:val="0"/>
                <w:iCs w:val="0"/>
                <w:color w:val="auto"/>
              </w:rPr>
            </w:pPr>
            <w:r>
              <w:rPr>
                <w:rFonts w:hint="default" w:ascii="Times New Roman Regular" w:hAnsi="Times New Roman Regular" w:cs="Times New Roman Regular"/>
                <w:b w:val="0"/>
                <w:i w:val="0"/>
                <w:iCs w:val="0"/>
                <w:color w:val="auto"/>
                <w:sz w:val="18"/>
              </w:rPr>
              <w:t>0.984</w:t>
            </w:r>
          </w:p>
        </w:tc>
      </w:tr>
    </w:tbl>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lang w:val="en-US"/>
        </w:rPr>
        <w:t>N</w:t>
      </w:r>
      <w:r>
        <w:rPr>
          <w:rFonts w:hint="default" w:ascii="Times New Roman Italic" w:hAnsi="Times New Roman Italic" w:eastAsia="宋体" w:cs="Times New Roman Italic"/>
          <w:i/>
          <w:iCs/>
          <w:color w:val="auto"/>
          <w:sz w:val="18"/>
          <w:lang w:val="en-US" w:eastAsia="zh-CN"/>
        </w:rPr>
        <w:t xml:space="preserve">ote. </w:t>
      </w:r>
      <w:r>
        <w:rPr>
          <w:rFonts w:hint="default" w:ascii="Times New Roman Italic" w:hAnsi="Times New Roman Italic" w:cs="Times New Roman Italic"/>
          <w:i/>
          <w:iCs/>
          <w:color w:val="auto"/>
          <w:sz w:val="18"/>
        </w:rPr>
        <w:t>All 99 participants and 3,472 restricted pairs. Each path is tested in a separate equation with all four lagged main effects, moderator main effect, one interaction, and independent random slopes for the four lagged predictors. CIs and p-values use model-based normal-reference Wald inference, with BH correction across 16 paths within this specification. These tests are exploratory and do not include bootstrap inference for interactions.</w:t>
      </w:r>
    </w:p>
    <w:p>
      <w:pPr>
        <w:spacing w:after="180"/>
        <w:jc w:val="both"/>
        <w:rPr>
          <w:rFonts w:hint="default" w:ascii="Times New Roman Italic" w:hAnsi="Times New Roman Italic" w:cs="Times New Roman Italic"/>
          <w:i/>
          <w:iCs/>
          <w:color w:val="auto"/>
        </w:rPr>
      </w:pPr>
      <w:r>
        <w:rPr>
          <w:rFonts w:hint="default" w:ascii="Times New Roman Italic" w:hAnsi="Times New Roman Italic" w:cs="Times New Roman Italic"/>
          <w:i/>
          <w:iCs/>
          <w:color w:val="auto"/>
          <w:sz w:val="18"/>
        </w:rPr>
        <w:t>High = 1 (n = 18), Low/Moderate = 0 (n = 81), using the archived category field. The available dataset does not contain the underlying IPAQ day-by-intensity items needed to independently reconstruct classification. No interaction survived FDR correction.</w:t>
      </w:r>
    </w:p>
    <w:sectPr>
      <w:footerReference r:id="rId5" w:type="default"/>
      <w:pgSz w:w="12240" w:h="15840"/>
      <w:pgMar w:top="1008" w:right="1080" w:bottom="1008" w:left="1080"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Times New Roman Regular">
    <w:panose1 w:val="02020603050405020304"/>
    <w:charset w:val="00"/>
    <w:family w:val="auto"/>
    <w:pitch w:val="default"/>
    <w:sig w:usb0="E0002AEF" w:usb1="C0007841" w:usb2="00000009" w:usb3="00000000" w:csb0="400001FF" w:csb1="FFFF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ＭＳ ゴシック">
    <w:altName w:val="苹方-简"/>
    <w:panose1 w:val="00000000000000000000"/>
    <w:charset w:val="00"/>
    <w:family w:val="auto"/>
    <w:pitch w:val="default"/>
    <w:sig w:usb0="00000000" w:usb1="00000000" w:usb2="00000000" w:usb3="00000000" w:csb0="00000000" w:csb1="00000000"/>
  </w:font>
  <w:font w:name="Times New Roman Bold Italic">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Times New Roman Italic">
    <w:panose1 w:val="02020603050405020304"/>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right"/>
    </w:pPr>
    <w:r>
      <w:t xml:space="preserve">Page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9" w:lineRule="auto"/>
      </w:pPr>
      <w:r>
        <w:separator/>
      </w:r>
    </w:p>
  </w:footnote>
  <w:footnote w:type="continuationSeparator" w:id="1">
    <w:p>
      <w:pPr>
        <w:spacing w:before="0" w:after="0" w:line="26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FDF4AE1"/>
    <w:rsid w:val="627792F4"/>
    <w:rsid w:val="6BF9ADDE"/>
    <w:rsid w:val="99E6880F"/>
    <w:rsid w:val="AFBF6C71"/>
    <w:rsid w:val="CF7500B6"/>
    <w:rsid w:val="DFFEFFA1"/>
    <w:rsid w:val="FBDD86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69" w:lineRule="auto"/>
    </w:pPr>
    <w:rPr>
      <w:rFonts w:ascii="Times New Roman" w:hAnsi="Times New Roman"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200" w:after="100"/>
      <w:outlineLvl w:val="0"/>
    </w:pPr>
    <w:rPr>
      <w:rFonts w:asciiTheme="majorHAnsi" w:hAnsiTheme="majorHAnsi" w:eastAsiaTheme="majorEastAsia" w:cstheme="majorBidi"/>
      <w:b/>
      <w:bCs/>
      <w:color w:val="000000"/>
      <w:sz w:val="26"/>
      <w:szCs w:val="28"/>
    </w:rPr>
  </w:style>
  <w:style w:type="paragraph" w:styleId="4">
    <w:name w:val="heading 2"/>
    <w:basedOn w:val="1"/>
    <w:next w:val="1"/>
    <w:link w:val="139"/>
    <w:unhideWhenUsed/>
    <w:qFormat/>
    <w:uiPriority w:val="9"/>
    <w:pPr>
      <w:keepNext/>
      <w:keepLines/>
      <w:spacing w:before="200" w:after="100"/>
      <w:outlineLvl w:val="1"/>
    </w:pPr>
    <w:rPr>
      <w:rFonts w:asciiTheme="majorHAnsi" w:hAnsiTheme="majorHAnsi" w:eastAsiaTheme="majorEastAsia" w:cstheme="majorBidi"/>
      <w:b/>
      <w:bCs/>
      <w:color w:val="000000"/>
      <w:sz w:val="22"/>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spacing w:before="200" w:after="100" w:line="240" w:lineRule="auto"/>
      <w:contextualSpacing/>
    </w:pPr>
    <w:rPr>
      <w:rFonts w:asciiTheme="majorHAnsi" w:hAnsiTheme="majorHAnsi" w:eastAsiaTheme="majorEastAsia" w:cstheme="majorBidi"/>
      <w:color w:val="000000"/>
      <w:spacing w:val="5"/>
      <w:kern w:val="28"/>
      <w:sz w:val="3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方愉</cp:lastModifiedBy>
  <dcterms:modified xsi:type="dcterms:W3CDTF">2026-10-11T08:19:55Z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60BBFD4C0C25523AB7F5C46ACF1D63F0_42</vt:lpwstr>
  </property>
</Properties>
</file>