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EE0E967">
      <w:pPr>
        <w:pStyle w:val="1_1"/>
        <w:pBdr/>
        <w:spacing/>
        <w:ind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tbl>
      <w:tblPr>
        <w:tblStyle w:val="12"/>
        <w:tblInd w:w="720" w:type="dxa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5371"/>
        <w:gridCol w:w="992"/>
        <w:gridCol w:w="1134"/>
        <w:gridCol w:w="1843"/>
        <w:gridCol w:w="992"/>
        <w:gridCol w:w="1006"/>
        <w:gridCol w:w="1890"/>
      </w:tblGrid>
      <w:tr>
        <w:trPr/>
        <w:tc>
          <w:tcPr>
            <w:gridSpan w:val="7"/>
            <w:tcBorders>
              <w:bottom w:val="single" w:color="000000" w:sz="4" w:space="0"/>
            </w:tcBorders>
            <w:tcW w:w="13228" w:type="dxa"/>
          </w:tcPr>
          <w:p w14:paraId="64A9D354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Supplementary Table S1. Exploratory Occupational Stress × Social Support Interactions Predicting Anxiety and Depressive Tendency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371" w:type="dxa"/>
          </w:tcPr>
          <w:p w14:paraId="010232D4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3"/>
            <w:tcBorders>
              <w:top w:val="single" w:color="000000" w:sz="4" w:space="0"/>
              <w:bottom w:val="single" w:color="000000" w:sz="4" w:space="0"/>
            </w:tcBorders>
            <w:tcW w:w="3969" w:type="dxa"/>
          </w:tcPr>
          <w:p w14:paraId="33707E4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Anxiety Tendency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  <w:tc>
          <w:tcPr>
            <w:gridSpan w:val="3"/>
            <w:tcBorders>
              <w:top w:val="single" w:color="000000" w:sz="4" w:space="0"/>
              <w:bottom w:val="single" w:color="000000" w:sz="4" w:space="0"/>
            </w:tcBorders>
            <w:tcW w:w="3888" w:type="dxa"/>
          </w:tcPr>
          <w:p w14:paraId="5951492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Depressive Tendency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371" w:type="dxa"/>
          </w:tcPr>
          <w:p w14:paraId="5ED6C386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308EFCA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B</w:t>
            </w: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34" w:type="dxa"/>
          </w:tcPr>
          <w:p w14:paraId="36A9110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SE</w:t>
            </w: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43" w:type="dxa"/>
          </w:tcPr>
          <w:p w14:paraId="40644DD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Holm-adjusted </w:t>
            </w: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p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508AAC1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B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6" w:type="dxa"/>
          </w:tcPr>
          <w:p w14:paraId="3C9B821A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SE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90" w:type="dxa"/>
          </w:tcPr>
          <w:p w14:paraId="6F75D9AA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Holm-adjusted </w:t>
            </w: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p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371" w:type="dxa"/>
          </w:tcPr>
          <w:p w14:paraId="45381AD9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Role Overload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27868A43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34" w:type="dxa"/>
          </w:tcPr>
          <w:p w14:paraId="5E2959CE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43" w:type="dxa"/>
          </w:tcPr>
          <w:p w14:paraId="75118D83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21F488D8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6" w:type="dxa"/>
          </w:tcPr>
          <w:p w14:paraId="2CB90D56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90" w:type="dxa"/>
          </w:tcPr>
          <w:p w14:paraId="25543BAF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5371" w:type="dxa"/>
          </w:tcPr>
          <w:p w14:paraId="34B7AEF1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Significant Others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14A2141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-1.34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134" w:type="dxa"/>
          </w:tcPr>
          <w:p w14:paraId="6B632B9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43" w:type="dxa"/>
          </w:tcPr>
          <w:p w14:paraId="1420728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0.005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22A9D176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0.46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006" w:type="dxa"/>
          </w:tcPr>
          <w:p w14:paraId="0B22896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90" w:type="dxa"/>
          </w:tcPr>
          <w:p w14:paraId="3398664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5371" w:type="dxa"/>
          </w:tcPr>
          <w:p w14:paraId="462B2E45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Family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6E7F7D4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-0.91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134" w:type="dxa"/>
          </w:tcPr>
          <w:p w14:paraId="6DA1302B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43" w:type="dxa"/>
          </w:tcPr>
          <w:p w14:paraId="4B457AA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0.243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63202F3F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-0.18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006" w:type="dxa"/>
          </w:tcPr>
          <w:p w14:paraId="7A61817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90" w:type="dxa"/>
          </w:tcPr>
          <w:p w14:paraId="4DA96B3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5371" w:type="dxa"/>
          </w:tcPr>
          <w:p w14:paraId="591B63AB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Friends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61E5BD0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-1.24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134" w:type="dxa"/>
          </w:tcPr>
          <w:p w14:paraId="3272E1E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43" w:type="dxa"/>
          </w:tcPr>
          <w:p w14:paraId="297FE43B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0.021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6D55B8C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-0.25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006" w:type="dxa"/>
          </w:tcPr>
          <w:p w14:paraId="74A2B8B6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0.41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90" w:type="dxa"/>
          </w:tcPr>
          <w:p w14:paraId="3843BFB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371" w:type="dxa"/>
          </w:tcPr>
          <w:p w14:paraId="79D687B3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Role Ambiguity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2C1345C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34" w:type="dxa"/>
          </w:tcPr>
          <w:p w14:paraId="0DD0004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43" w:type="dxa"/>
          </w:tcPr>
          <w:p w14:paraId="5E72721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4A1FAAC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6" w:type="dxa"/>
          </w:tcPr>
          <w:p w14:paraId="44F8D55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90" w:type="dxa"/>
          </w:tcPr>
          <w:p w14:paraId="260B1CD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5371" w:type="dxa"/>
          </w:tcPr>
          <w:p w14:paraId="145A27E8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Significant Others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2F808D3A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-0.99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134" w:type="dxa"/>
          </w:tcPr>
          <w:p w14:paraId="757F601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43" w:type="dxa"/>
          </w:tcPr>
          <w:p w14:paraId="7809234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0.043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262A033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-0.96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006" w:type="dxa"/>
          </w:tcPr>
          <w:p w14:paraId="1D7B401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90" w:type="dxa"/>
          </w:tcPr>
          <w:p w14:paraId="50E4629A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0.139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5371" w:type="dxa"/>
          </w:tcPr>
          <w:p w14:paraId="00A945EE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Family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2BF895D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-0.91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134" w:type="dxa"/>
          </w:tcPr>
          <w:p w14:paraId="1FE7DA1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43" w:type="dxa"/>
          </w:tcPr>
          <w:p w14:paraId="31C18CC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0.184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5726326B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006" w:type="dxa"/>
          </w:tcPr>
          <w:p w14:paraId="66A97D2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90" w:type="dxa"/>
          </w:tcPr>
          <w:p w14:paraId="5C51A7CB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5371" w:type="dxa"/>
          </w:tcPr>
          <w:p w14:paraId="7DF1732F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Friends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14E5BBDB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-0.93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134" w:type="dxa"/>
          </w:tcPr>
          <w:p w14:paraId="63CAEB1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43" w:type="dxa"/>
          </w:tcPr>
          <w:p w14:paraId="0090D3B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0.088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7E0B709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006" w:type="dxa"/>
          </w:tcPr>
          <w:p w14:paraId="38234B4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90" w:type="dxa"/>
          </w:tcPr>
          <w:p w14:paraId="586F884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0.124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371" w:type="dxa"/>
          </w:tcPr>
          <w:p w14:paraId="01A49AA3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Unprofitability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2BDB68C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34" w:type="dxa"/>
          </w:tcPr>
          <w:p w14:paraId="35F9E85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43" w:type="dxa"/>
          </w:tcPr>
          <w:p w14:paraId="1B95622A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69556A9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6" w:type="dxa"/>
          </w:tcPr>
          <w:p w14:paraId="2C9EA6E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90" w:type="dxa"/>
          </w:tcPr>
          <w:p w14:paraId="4C9EE6C6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5371" w:type="dxa"/>
          </w:tcPr>
          <w:p w14:paraId="540D115D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Significant Others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34F65CE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-0.28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134" w:type="dxa"/>
          </w:tcPr>
          <w:p w14:paraId="73F10FE6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43" w:type="dxa"/>
          </w:tcPr>
          <w:p w14:paraId="56D4394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6906DD5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-0.34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006" w:type="dxa"/>
          </w:tcPr>
          <w:p w14:paraId="28ED7B3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90" w:type="dxa"/>
          </w:tcPr>
          <w:p w14:paraId="56691C7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5371" w:type="dxa"/>
          </w:tcPr>
          <w:p w14:paraId="3610553B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Family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2BAA09B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134" w:type="dxa"/>
          </w:tcPr>
          <w:p w14:paraId="686B407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43" w:type="dxa"/>
          </w:tcPr>
          <w:p w14:paraId="29C22AF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50FD69F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-0.41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006" w:type="dxa"/>
          </w:tcPr>
          <w:p w14:paraId="2589BF2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90" w:type="dxa"/>
          </w:tcPr>
          <w:p w14:paraId="1D99E23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5371" w:type="dxa"/>
          </w:tcPr>
          <w:p w14:paraId="2625CB96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Friends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48E80E4F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-0.41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134" w:type="dxa"/>
          </w:tcPr>
          <w:p w14:paraId="12505DD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43" w:type="dxa"/>
          </w:tcPr>
          <w:p w14:paraId="040F25A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0.902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6E35145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-0.54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006" w:type="dxa"/>
          </w:tcPr>
          <w:p w14:paraId="1B5E4A2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90" w:type="dxa"/>
          </w:tcPr>
          <w:p w14:paraId="0EC1A5AB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0.606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371" w:type="dxa"/>
          </w:tcPr>
          <w:p w14:paraId="26BFA992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Strenuous Working Conditions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5A031CF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34" w:type="dxa"/>
          </w:tcPr>
          <w:p w14:paraId="4319127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43" w:type="dxa"/>
          </w:tcPr>
          <w:p w14:paraId="600F172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7DEE27B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6" w:type="dxa"/>
          </w:tcPr>
          <w:p w14:paraId="77F0B4D6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90" w:type="dxa"/>
          </w:tcPr>
          <w:p w14:paraId="6EE6CCB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5371" w:type="dxa"/>
          </w:tcPr>
          <w:p w14:paraId="63FA1137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Significant Others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7052DEC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-0.56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134" w:type="dxa"/>
          </w:tcPr>
          <w:p w14:paraId="12D8483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43" w:type="dxa"/>
          </w:tcPr>
          <w:p w14:paraId="1C9EC10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0.592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335C8CF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-0.63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006" w:type="dxa"/>
          </w:tcPr>
          <w:p w14:paraId="1B2C369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90" w:type="dxa"/>
          </w:tcPr>
          <w:p w14:paraId="126E6CB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0.602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5371" w:type="dxa"/>
          </w:tcPr>
          <w:p w14:paraId="0DE4E8C9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Family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61DB838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-0.31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134" w:type="dxa"/>
          </w:tcPr>
          <w:p w14:paraId="236286D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43" w:type="dxa"/>
          </w:tcPr>
          <w:p w14:paraId="3790395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2421BC0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-0.51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006" w:type="dxa"/>
          </w:tcPr>
          <w:p w14:paraId="5A50E06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90" w:type="dxa"/>
          </w:tcPr>
          <w:p w14:paraId="5F7C3AC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5371" w:type="dxa"/>
          </w:tcPr>
          <w:p w14:paraId="1A3CAB59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Friends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0B154DD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-0.48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134" w:type="dxa"/>
          </w:tcPr>
          <w:p w14:paraId="7E4400C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43" w:type="dxa"/>
          </w:tcPr>
          <w:p w14:paraId="35B4AB4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0.902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776E07C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-0.65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006" w:type="dxa"/>
          </w:tcPr>
          <w:p w14:paraId="596A915B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90" w:type="dxa"/>
          </w:tcPr>
          <w:p w14:paraId="2792AA7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0.575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371" w:type="dxa"/>
          </w:tcPr>
          <w:p w14:paraId="6834C6B0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Low Status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043C432A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34" w:type="dxa"/>
          </w:tcPr>
          <w:p w14:paraId="68F0EB1B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43" w:type="dxa"/>
          </w:tcPr>
          <w:p w14:paraId="1A35C3D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749A973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6" w:type="dxa"/>
          </w:tcPr>
          <w:p w14:paraId="7B61101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90" w:type="dxa"/>
          </w:tcPr>
          <w:p w14:paraId="1D4D878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5371" w:type="dxa"/>
          </w:tcPr>
          <w:p w14:paraId="315A53DE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Significant Others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0951D44A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-0.93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134" w:type="dxa"/>
          </w:tcPr>
          <w:p w14:paraId="287233A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43" w:type="dxa"/>
          </w:tcPr>
          <w:p w14:paraId="19E89BB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0.006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5F82630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-1.35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006" w:type="dxa"/>
          </w:tcPr>
          <w:p w14:paraId="38E5FD1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90" w:type="dxa"/>
          </w:tcPr>
          <w:p w14:paraId="07BFA83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&lt;0.001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5371" w:type="dxa"/>
          </w:tcPr>
          <w:p w14:paraId="0DC72BDB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Family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1CFAF69B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-0.81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134" w:type="dxa"/>
          </w:tcPr>
          <w:p w14:paraId="3FB9CD6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43" w:type="dxa"/>
          </w:tcPr>
          <w:p w14:paraId="6F26BD1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0.052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1058018B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-0.99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006" w:type="dxa"/>
          </w:tcPr>
          <w:p w14:paraId="290BAAD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90" w:type="dxa"/>
          </w:tcPr>
          <w:p w14:paraId="5C925AA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0.024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5371" w:type="dxa"/>
          </w:tcPr>
          <w:p w14:paraId="52F80B69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Friends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17AC0CFF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-0.63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134" w:type="dxa"/>
          </w:tcPr>
          <w:p w14:paraId="0C3094E6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43" w:type="dxa"/>
          </w:tcPr>
          <w:p w14:paraId="2C30330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0.312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60EB061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-1.01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006" w:type="dxa"/>
          </w:tcPr>
          <w:p w14:paraId="3A5D82C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90" w:type="dxa"/>
          </w:tcPr>
          <w:p w14:paraId="3F16DD4F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0.017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371" w:type="dxa"/>
          </w:tcPr>
          <w:p w14:paraId="05417ADC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Poor Peer Group Relations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01574DC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34" w:type="dxa"/>
          </w:tcPr>
          <w:p w14:paraId="5CE140D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43" w:type="dxa"/>
          </w:tcPr>
          <w:p w14:paraId="27536AF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1F3CDAC6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6" w:type="dxa"/>
          </w:tcPr>
          <w:p w14:paraId="1BF5E54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90" w:type="dxa"/>
          </w:tcPr>
          <w:p w14:paraId="30730686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5371" w:type="dxa"/>
          </w:tcPr>
          <w:p w14:paraId="68465BAD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Significant Others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616487B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-0.47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134" w:type="dxa"/>
          </w:tcPr>
          <w:p w14:paraId="0040F4B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43" w:type="dxa"/>
          </w:tcPr>
          <w:p w14:paraId="2CFE4426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0.902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0AF60BB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-0.87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006" w:type="dxa"/>
          </w:tcPr>
          <w:p w14:paraId="163FAFB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90" w:type="dxa"/>
          </w:tcPr>
          <w:p w14:paraId="49C2BF5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0.093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5371" w:type="dxa"/>
          </w:tcPr>
          <w:p w14:paraId="7D38E636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Family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7D9E187A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-0.74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134" w:type="dxa"/>
          </w:tcPr>
          <w:p w14:paraId="6D2ECF1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43" w:type="dxa"/>
          </w:tcPr>
          <w:p w14:paraId="323DE31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0.215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68CC2AA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-0.97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006" w:type="dxa"/>
          </w:tcPr>
          <w:p w14:paraId="7D9C9A2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90" w:type="dxa"/>
          </w:tcPr>
          <w:p w14:paraId="0FCF825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0.063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5371" w:type="dxa"/>
          </w:tcPr>
          <w:p w14:paraId="1C6A948A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Friends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6D00AFC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-0.55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134" w:type="dxa"/>
          </w:tcPr>
          <w:p w14:paraId="67532A7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43" w:type="dxa"/>
          </w:tcPr>
          <w:p w14:paraId="36BF9C6B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0.592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0B9A864A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006" w:type="dxa"/>
          </w:tcPr>
          <w:p w14:paraId="305B9C6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90" w:type="dxa"/>
          </w:tcPr>
          <w:p w14:paraId="5E4E89B6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0.17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371" w:type="dxa"/>
          </w:tcPr>
          <w:p w14:paraId="6DFD255B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Powerlessness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26EFD20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34" w:type="dxa"/>
          </w:tcPr>
          <w:p w14:paraId="79FC6C1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43" w:type="dxa"/>
          </w:tcPr>
          <w:p w14:paraId="7778DD3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1432BFE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6" w:type="dxa"/>
          </w:tcPr>
          <w:p w14:paraId="628137A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90" w:type="dxa"/>
          </w:tcPr>
          <w:p w14:paraId="45EAB82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5371" w:type="dxa"/>
          </w:tcPr>
          <w:p w14:paraId="6970E28E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Significant Others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031F436F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134" w:type="dxa"/>
          </w:tcPr>
          <w:p w14:paraId="6019AD46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43" w:type="dxa"/>
          </w:tcPr>
          <w:p w14:paraId="42A1B9D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0.793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5D70136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-0.58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006" w:type="dxa"/>
          </w:tcPr>
          <w:p w14:paraId="4838644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90" w:type="dxa"/>
          </w:tcPr>
          <w:p w14:paraId="7961FED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0.687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5371" w:type="dxa"/>
          </w:tcPr>
          <w:p w14:paraId="64497AC9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Family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69D5E18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-0.65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134" w:type="dxa"/>
          </w:tcPr>
          <w:p w14:paraId="28F0827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43" w:type="dxa"/>
          </w:tcPr>
          <w:p w14:paraId="45E8BB9F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0.422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55EF7DE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-0.71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006" w:type="dxa"/>
          </w:tcPr>
          <w:p w14:paraId="2030BFE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90" w:type="dxa"/>
          </w:tcPr>
          <w:p w14:paraId="68C8120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0.575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5371" w:type="dxa"/>
          </w:tcPr>
          <w:p w14:paraId="6CFF0DA2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Friends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09FE67F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-0.47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134" w:type="dxa"/>
          </w:tcPr>
          <w:p w14:paraId="3909093B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43" w:type="dxa"/>
          </w:tcPr>
          <w:p w14:paraId="3CB0C39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0.902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0937E1F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-0.62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006" w:type="dxa"/>
          </w:tcPr>
          <w:p w14:paraId="3838CA2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90" w:type="dxa"/>
          </w:tcPr>
          <w:p w14:paraId="19AA9BF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0.648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371" w:type="dxa"/>
          </w:tcPr>
          <w:p w14:paraId="18C7FDCB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Under Participation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7E46DD8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34" w:type="dxa"/>
          </w:tcPr>
          <w:p w14:paraId="0F95460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43" w:type="dxa"/>
          </w:tcPr>
          <w:p w14:paraId="62229D9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6E2C630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6" w:type="dxa"/>
          </w:tcPr>
          <w:p w14:paraId="416D1FF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90" w:type="dxa"/>
          </w:tcPr>
          <w:p w14:paraId="76B3F41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5371" w:type="dxa"/>
          </w:tcPr>
          <w:p w14:paraId="4A014226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Significant Others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76462D6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41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134" w:type="dxa"/>
          </w:tcPr>
          <w:p w14:paraId="03EC9D8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32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43" w:type="dxa"/>
          </w:tcPr>
          <w:p w14:paraId="6ADA7D7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2E9FA41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-0.77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006" w:type="dxa"/>
          </w:tcPr>
          <w:p w14:paraId="1FC9A7D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90" w:type="dxa"/>
          </w:tcPr>
          <w:p w14:paraId="518ECE2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0.582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5371" w:type="dxa"/>
          </w:tcPr>
          <w:p w14:paraId="26EF1FBC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Family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73BF1C7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.03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134" w:type="dxa"/>
          </w:tcPr>
          <w:p w14:paraId="39CB37C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33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43" w:type="dxa"/>
          </w:tcPr>
          <w:p w14:paraId="611CDD4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190C461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-0.57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006" w:type="dxa"/>
          </w:tcPr>
          <w:p w14:paraId="51BF3BD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90" w:type="dxa"/>
          </w:tcPr>
          <w:p w14:paraId="687E5D2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5371" w:type="dxa"/>
          </w:tcPr>
          <w:p w14:paraId="6849BC1A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Friends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1B826D8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134" w:type="dxa"/>
          </w:tcPr>
          <w:p w14:paraId="50F83486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32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43" w:type="dxa"/>
          </w:tcPr>
          <w:p w14:paraId="020BB5EB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74E1615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-0.68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006" w:type="dxa"/>
          </w:tcPr>
          <w:p w14:paraId="307E339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90" w:type="dxa"/>
          </w:tcPr>
          <w:p w14:paraId="5568291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0.703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371" w:type="dxa"/>
          </w:tcPr>
          <w:p w14:paraId="140A2044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Role Conflict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1054BD4B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34" w:type="dxa"/>
          </w:tcPr>
          <w:p w14:paraId="6CAABED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43" w:type="dxa"/>
          </w:tcPr>
          <w:p w14:paraId="0A39552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68C2E7A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6" w:type="dxa"/>
          </w:tcPr>
          <w:p w14:paraId="6450F26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90" w:type="dxa"/>
          </w:tcPr>
          <w:p w14:paraId="229DAF2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5371" w:type="dxa"/>
          </w:tcPr>
          <w:p w14:paraId="39CB9329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Significant Others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5205209F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-1.07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134" w:type="dxa"/>
          </w:tcPr>
          <w:p w14:paraId="5235DA9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43" w:type="dxa"/>
          </w:tcPr>
          <w:p w14:paraId="7869A64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&lt;0.001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3A84BF6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-0.99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006" w:type="dxa"/>
          </w:tcPr>
          <w:p w14:paraId="4DA225A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90" w:type="dxa"/>
          </w:tcPr>
          <w:p w14:paraId="67D66D7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0.007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5371" w:type="dxa"/>
          </w:tcPr>
          <w:p w14:paraId="189897A0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Family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3B65E57A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134" w:type="dxa"/>
          </w:tcPr>
          <w:p w14:paraId="04BD434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43" w:type="dxa"/>
          </w:tcPr>
          <w:p w14:paraId="65384D5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0.002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04C5624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-0.84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006" w:type="dxa"/>
          </w:tcPr>
          <w:p w14:paraId="20B9F7DB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90" w:type="dxa"/>
          </w:tcPr>
          <w:p w14:paraId="47EF653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0.075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5371" w:type="dxa"/>
          </w:tcPr>
          <w:p w14:paraId="4223A1DD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Friends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5087690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-0.98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134" w:type="dxa"/>
          </w:tcPr>
          <w:p w14:paraId="3FD325E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43" w:type="dxa"/>
          </w:tcPr>
          <w:p w14:paraId="3B5E2E1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0.002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6588129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-0.88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006" w:type="dxa"/>
          </w:tcPr>
          <w:p w14:paraId="6E77D35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90" w:type="dxa"/>
          </w:tcPr>
          <w:p w14:paraId="5C1D046A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0.034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371" w:type="dxa"/>
          </w:tcPr>
          <w:p w14:paraId="760B9ED3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Unreasonable Group and Political Pressure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7DED553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34" w:type="dxa"/>
          </w:tcPr>
          <w:p w14:paraId="635D713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43" w:type="dxa"/>
          </w:tcPr>
          <w:p w14:paraId="00AA259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7E3D2BA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6" w:type="dxa"/>
          </w:tcPr>
          <w:p w14:paraId="395591D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90" w:type="dxa"/>
          </w:tcPr>
          <w:p w14:paraId="4F182FE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5371" w:type="dxa"/>
          </w:tcPr>
          <w:p w14:paraId="55FA0F22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Significant Others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3997603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134" w:type="dxa"/>
          </w:tcPr>
          <w:p w14:paraId="71DBA7D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43" w:type="dxa"/>
          </w:tcPr>
          <w:p w14:paraId="092D54A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0.04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53E7369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-0.79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006" w:type="dxa"/>
          </w:tcPr>
          <w:p w14:paraId="6C8A309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90" w:type="dxa"/>
          </w:tcPr>
          <w:p w14:paraId="4F720D2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0.123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5371" w:type="dxa"/>
          </w:tcPr>
          <w:p w14:paraId="290E3C4A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Family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24C6E13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-0.66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134" w:type="dxa"/>
          </w:tcPr>
          <w:p w14:paraId="2003C38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43" w:type="dxa"/>
          </w:tcPr>
          <w:p w14:paraId="4AFD0D3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0.243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4A544CC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-0.61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006" w:type="dxa"/>
          </w:tcPr>
          <w:p w14:paraId="1799B3C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90" w:type="dxa"/>
          </w:tcPr>
          <w:p w14:paraId="2065C69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0.606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5371" w:type="dxa"/>
          </w:tcPr>
          <w:p w14:paraId="4663A34E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Friends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3D20549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-0.68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134" w:type="dxa"/>
          </w:tcPr>
          <w:p w14:paraId="716B723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43" w:type="dxa"/>
          </w:tcPr>
          <w:p w14:paraId="4886447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0.17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68629AC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-0.67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006" w:type="dxa"/>
          </w:tcPr>
          <w:p w14:paraId="37CF3D0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90" w:type="dxa"/>
          </w:tcPr>
          <w:p w14:paraId="51AE4EE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0.338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371" w:type="dxa"/>
          </w:tcPr>
          <w:p w14:paraId="6A680DF1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Responsibility for Persons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1589C65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34" w:type="dxa"/>
          </w:tcPr>
          <w:p w14:paraId="2AE9A99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43" w:type="dxa"/>
          </w:tcPr>
          <w:p w14:paraId="0E4FE1F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5D1D8B3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6" w:type="dxa"/>
          </w:tcPr>
          <w:p w14:paraId="2B3D2C9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90" w:type="dxa"/>
          </w:tcPr>
          <w:p w14:paraId="29C50E3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5371" w:type="dxa"/>
          </w:tcPr>
          <w:p w14:paraId="6505CC2B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Significant Others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0E51FEF6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-0.46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134" w:type="dxa"/>
          </w:tcPr>
          <w:p w14:paraId="47F636E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43" w:type="dxa"/>
          </w:tcPr>
          <w:p w14:paraId="1AA538E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0.902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639D9FDF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0.18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006" w:type="dxa"/>
          </w:tcPr>
          <w:p w14:paraId="51137E3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90" w:type="dxa"/>
          </w:tcPr>
          <w:p w14:paraId="67BC40E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5371" w:type="dxa"/>
          </w:tcPr>
          <w:p w14:paraId="0BC6106B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Family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75A11F8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134" w:type="dxa"/>
          </w:tcPr>
          <w:p w14:paraId="26B906C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43" w:type="dxa"/>
          </w:tcPr>
          <w:p w14:paraId="78B0E06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0.358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4734D8A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0.05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006" w:type="dxa"/>
          </w:tcPr>
          <w:p w14:paraId="308D905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90" w:type="dxa"/>
          </w:tcPr>
          <w:p w14:paraId="549827F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5371" w:type="dxa"/>
          </w:tcPr>
          <w:p w14:paraId="6B5A729B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Friends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4AA21C8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-0.44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134" w:type="dxa"/>
          </w:tcPr>
          <w:p w14:paraId="2803641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43" w:type="dxa"/>
          </w:tcPr>
          <w:p w14:paraId="73AFF826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0.902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17F1BE0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006" w:type="dxa"/>
          </w:tcPr>
          <w:p w14:paraId="694F52A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90" w:type="dxa"/>
          </w:tcPr>
          <w:p w14:paraId="32C0E776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371" w:type="dxa"/>
          </w:tcPr>
          <w:p w14:paraId="26F68BB9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Intrinsic Impoverishment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121AD10B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34" w:type="dxa"/>
          </w:tcPr>
          <w:p w14:paraId="6C215EC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43" w:type="dxa"/>
          </w:tcPr>
          <w:p w14:paraId="57DDF10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</w:tcPr>
          <w:p w14:paraId="65C8B10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6" w:type="dxa"/>
          </w:tcPr>
          <w:p w14:paraId="4559193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90" w:type="dxa"/>
          </w:tcPr>
          <w:p w14:paraId="6178758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5371" w:type="dxa"/>
          </w:tcPr>
          <w:p w14:paraId="04250DF2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Significant Others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2241E85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-0.82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134" w:type="dxa"/>
          </w:tcPr>
          <w:p w14:paraId="5B5DF5A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43" w:type="dxa"/>
          </w:tcPr>
          <w:p w14:paraId="4189D19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0.243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992" w:type="dxa"/>
          </w:tcPr>
          <w:p w14:paraId="6FAEABE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-1.03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006" w:type="dxa"/>
          </w:tcPr>
          <w:p w14:paraId="6E9D483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890" w:type="dxa"/>
          </w:tcPr>
          <w:p w14:paraId="6633795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0.124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5371" w:type="dxa"/>
          </w:tcPr>
          <w:p w14:paraId="125821D8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Family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44C0519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-1.23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134" w:type="dxa"/>
          </w:tcPr>
          <w:p w14:paraId="368821E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43" w:type="dxa"/>
          </w:tcPr>
          <w:p w14:paraId="3E29C34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0.04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  <w:tc>
          <w:tcPr>
            <w:tcBorders/>
            <w:tcW w:w="992" w:type="dxa"/>
          </w:tcPr>
          <w:p w14:paraId="3495BBE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-0.97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006" w:type="dxa"/>
          </w:tcPr>
          <w:p w14:paraId="3CA4508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0.43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890" w:type="dxa"/>
          </w:tcPr>
          <w:p w14:paraId="3933F50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0.494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5371" w:type="dxa"/>
          </w:tcPr>
          <w:p w14:paraId="38DA204D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x Friends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2072231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-0.89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134" w:type="dxa"/>
          </w:tcPr>
          <w:p w14:paraId="55389966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0.35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43" w:type="dxa"/>
          </w:tcPr>
          <w:p w14:paraId="76FD3AC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0.243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992" w:type="dxa"/>
          </w:tcPr>
          <w:p w14:paraId="0CAF8DB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-1.01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006" w:type="dxa"/>
          </w:tcPr>
          <w:p w14:paraId="389291B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890" w:type="dxa"/>
          </w:tcPr>
          <w:p w14:paraId="45F7C9E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0.228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gridSpan w:val="7"/>
            <w:tcBorders>
              <w:top w:val="single" w:color="000000" w:sz="4" w:space="0"/>
            </w:tcBorders>
            <w:tcW w:w="13228" w:type="dxa"/>
          </w:tcPr>
          <w:p w14:paraId="1C6857E6">
            <w:pPr>
              <w:pBdr/>
              <w:spacing/>
              <w:ind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highlight w:val="yellow"/>
              </w:rPr>
              <w:t xml:space="preserve">Note.</w:t>
            </w:r>
            <w:r>
              <w:rPr>
                <w:rFonts w:ascii="Times New Roman" w:hAnsi="Times New Roman" w:cs="Times New Roman"/>
                <w:i/>
                <w:iCs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highlight w:val="yellow"/>
              </w:rPr>
              <w:t xml:space="preserve">Eac</w:t>
            </w:r>
            <w:r>
              <w:rPr>
                <w:rFonts w:ascii="Times New Roman" w:hAnsi="Times New Roman" w:cs="Times New Roman"/>
                <w:highlight w:val="yellow"/>
              </w:rPr>
              <w:t xml:space="preserve">h interaction was tested separately by adding one mean-centered occupational stress × social support product term to the fully adjusted model containing the control variables, all 12 occupational stress dimensions, and all three sources of social support. 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  <w:p w14:paraId="7D40BC97">
            <w:pPr>
              <w:pBdr/>
              <w:spacing/>
              <w:ind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highlight w:val="yellow"/>
              </w:rPr>
              <w:t xml:space="preserve">B </w:t>
            </w:r>
            <w:r>
              <w:rPr>
                <w:rFonts w:ascii="Times New Roman" w:hAnsi="Times New Roman" w:cs="Times New Roman"/>
                <w:highlight w:val="yellow"/>
              </w:rPr>
              <w:t xml:space="preserve">= unstandardized interaction coefficient; </w:t>
            </w:r>
            <w:r>
              <w:rPr>
                <w:rFonts w:ascii="Times New Roman" w:hAnsi="Times New Roman" w:cs="Times New Roman"/>
                <w:i/>
                <w:iCs/>
                <w:highlight w:val="yellow"/>
              </w:rPr>
              <w:t xml:space="preserve">SE</w:t>
            </w:r>
            <w:r>
              <w:rPr>
                <w:rFonts w:ascii="Times New Roman" w:hAnsi="Times New Roman" w:cs="Times New Roman"/>
                <w:i/>
                <w:iCs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highlight w:val="yellow"/>
              </w:rPr>
              <w:t xml:space="preserve">= standard error. 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  <w:p w14:paraId="098E035C">
            <w:pPr>
              <w:pBdr/>
              <w:spacing/>
              <w:ind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highlight w:val="yellow"/>
              </w:rPr>
              <w:t xml:space="preserve">Holm-adjusted</w:t>
            </w:r>
            <w:r>
              <w:rPr>
                <w:rFonts w:ascii="Times New Roman" w:hAnsi="Times New Roman" w:cs="Times New Roman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highlight w:val="yellow"/>
              </w:rPr>
              <w:t xml:space="preserve">p </w:t>
            </w:r>
            <w:r>
              <w:rPr>
                <w:rFonts w:ascii="Times New Roman" w:hAnsi="Times New Roman" w:cs="Times New Roman"/>
                <w:highlight w:val="yellow"/>
              </w:rPr>
              <w:t xml:space="preserve">values control the family-wise error rate across the 36 interaction tests conducted separately for each outcome. Boldface indicates Holm-adjusted </w:t>
            </w:r>
            <w:r>
              <w:rPr>
                <w:rFonts w:ascii="Times New Roman" w:hAnsi="Times New Roman" w:cs="Times New Roman"/>
                <w:i/>
                <w:iCs/>
                <w:highlight w:val="yellow"/>
              </w:rPr>
              <w:t xml:space="preserve">p</w:t>
            </w:r>
            <w:r>
              <w:rPr>
                <w:rFonts w:ascii="Times New Roman" w:hAnsi="Times New Roman" w:cs="Times New Roman"/>
                <w:highlight w:val="yellow"/>
              </w:rPr>
              <w:t xml:space="preserve"> &lt; .05.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</w:tbl>
    <w:p w14:paraId="2CDF7ED0">
      <w:pPr>
        <w:pStyle w:val="1_1"/>
        <w:pBdr/>
        <w:spacing/>
        <w:ind w:left="720"/>
        <w:rPr>
          <w:rFonts w:ascii="Times New Roman" w:hAnsi="Times New Roman" w:cs="Times New Roman"/>
          <w:color w:val="000000"/>
        </w:rPr>
        <w:sectPr>
          <w:footnotePr/>
          <w:endnotePr/>
          <w:type w:val="nextPage"/>
          <w:pgSz w:h="11906" w:orient="landscape" w:w="16838"/>
          <w:pgMar w:top="1800" w:right="1440" w:bottom="1800" w:left="1440" w:header="709" w:footer="709" w:gutter="0"/>
          <w:cols w:num="1" w:sep="0" w:space="425" w:equalWidth="1"/>
        </w:sect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tbl>
      <w:tblPr>
        <w:tblStyle w:val="12"/>
        <w:tblInd w:w="-5" w:type="dxa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3686"/>
        <w:gridCol w:w="1110"/>
        <w:gridCol w:w="1083"/>
        <w:gridCol w:w="1195"/>
        <w:gridCol w:w="1227"/>
      </w:tblGrid>
      <w:tr>
        <w:trPr/>
        <w:tc>
          <w:tcPr>
            <w:gridSpan w:val="5"/>
            <w:tcBorders>
              <w:bottom w:val="single" w:color="000000" w:sz="4" w:space="0"/>
            </w:tcBorders>
            <w:tcW w:w="8301" w:type="dxa"/>
          </w:tcPr>
          <w:p w14:paraId="34657DBE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Supplementary Table S2. Sensitivity Analyses Excluding Occupational Stress Subscales 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With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 Reliability Estimates Below .50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3686" w:type="dxa"/>
          </w:tcPr>
          <w:p w14:paraId="6928CDF8">
            <w:pPr>
              <w:pStyle w:val="1_1"/>
              <w:pBdr/>
              <w:spacing/>
              <w:ind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Analysis/Predictor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2193" w:type="dxa"/>
          </w:tcPr>
          <w:p w14:paraId="1B00B573">
            <w:pPr>
              <w:pStyle w:val="1_1"/>
              <w:pBdr/>
              <w:spacing/>
              <w:ind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Anxiety Tendency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2422" w:type="dxa"/>
          </w:tcPr>
          <w:p w14:paraId="6985D555">
            <w:pPr>
              <w:pStyle w:val="1_1"/>
              <w:pBdr/>
              <w:spacing/>
              <w:ind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Depressive Tendency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3686" w:type="dxa"/>
          </w:tcPr>
          <w:p w14:paraId="223C6703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Main Effects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2193" w:type="dxa"/>
          </w:tcPr>
          <w:p w14:paraId="302F2BC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B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(</w:t>
            </w: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SE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2422" w:type="dxa"/>
          </w:tcPr>
          <w:p w14:paraId="674AAFA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B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(</w:t>
            </w: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SE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3686" w:type="dxa"/>
          </w:tcPr>
          <w:p w14:paraId="79A53F46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Role Overload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</w:tcBorders>
            <w:tcW w:w="2193" w:type="dxa"/>
          </w:tcPr>
          <w:p w14:paraId="3D0D556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1.49(.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46)*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*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</w:tcBorders>
            <w:tcW w:w="2422" w:type="dxa"/>
          </w:tcPr>
          <w:p w14:paraId="2BB880CA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0.75(.51)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3686" w:type="dxa"/>
          </w:tcPr>
          <w:p w14:paraId="312683C4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Role Ambiguity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193" w:type="dxa"/>
          </w:tcPr>
          <w:p w14:paraId="01FCB07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1.71(.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48)*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**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422" w:type="dxa"/>
          </w:tcPr>
          <w:p w14:paraId="5490B2F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1.67(.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52)*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*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3686" w:type="dxa"/>
          </w:tcPr>
          <w:p w14:paraId="74EECF99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Responsibility for Persons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193" w:type="dxa"/>
          </w:tcPr>
          <w:p w14:paraId="228F1A6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0.38(0.34)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422" w:type="dxa"/>
          </w:tcPr>
          <w:p w14:paraId="08E5E97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0.25(0.38)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3686" w:type="dxa"/>
          </w:tcPr>
          <w:p w14:paraId="6C405FBA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Under Participation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193" w:type="dxa"/>
          </w:tcPr>
          <w:p w14:paraId="1184A57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0.64(0.5)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422" w:type="dxa"/>
          </w:tcPr>
          <w:p w14:paraId="4ABBE7E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0.66(0.55)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3686" w:type="dxa"/>
          </w:tcPr>
          <w:p w14:paraId="2C4F0E4F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Powerlessness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193" w:type="dxa"/>
          </w:tcPr>
          <w:p w14:paraId="5779828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0.12(0.46)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422" w:type="dxa"/>
          </w:tcPr>
          <w:p w14:paraId="22101CCA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0.2(0.51)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3686" w:type="dxa"/>
          </w:tcPr>
          <w:p w14:paraId="65315FED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Poor Peer Group Relations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193" w:type="dxa"/>
          </w:tcPr>
          <w:p w14:paraId="3F559CA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0.18(0.35)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422" w:type="dxa"/>
          </w:tcPr>
          <w:p w14:paraId="483BC19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0.31(0.38)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3686" w:type="dxa"/>
          </w:tcPr>
          <w:p w14:paraId="5645DF1A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Intrinsic Impoverishment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193" w:type="dxa"/>
          </w:tcPr>
          <w:p w14:paraId="2FDBAC1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-0.39(.45)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422" w:type="dxa"/>
          </w:tcPr>
          <w:p w14:paraId="07632F5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-0.29(.49)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3686" w:type="dxa"/>
          </w:tcPr>
          <w:p w14:paraId="146BE685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Unprofitability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193" w:type="dxa"/>
          </w:tcPr>
          <w:p w14:paraId="4F3BA12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-0.08(.29)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422" w:type="dxa"/>
          </w:tcPr>
          <w:p w14:paraId="20C94DB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0.55(.32)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3686" w:type="dxa"/>
          </w:tcPr>
          <w:p w14:paraId="078CC1D7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Significant Others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193" w:type="dxa"/>
          </w:tcPr>
          <w:p w14:paraId="16357E7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-0.43(.39)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422" w:type="dxa"/>
          </w:tcPr>
          <w:p w14:paraId="1335CE9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-0.5(.43)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3686" w:type="dxa"/>
          </w:tcPr>
          <w:p w14:paraId="1F1163C4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Family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193" w:type="dxa"/>
          </w:tcPr>
          <w:p w14:paraId="0E89E76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-0.28(.4)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422" w:type="dxa"/>
          </w:tcPr>
          <w:p w14:paraId="356BD2B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-0.34(.44)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3686" w:type="dxa"/>
          </w:tcPr>
          <w:p w14:paraId="51C7EAF2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Friends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193" w:type="dxa"/>
          </w:tcPr>
          <w:p w14:paraId="132532FF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-0.25(.41)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422" w:type="dxa"/>
          </w:tcPr>
          <w:p w14:paraId="3903CC7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-0.32(0.45)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3686" w:type="dxa"/>
          </w:tcPr>
          <w:p w14:paraId="778CDF0F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R²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 after occupational stress block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193" w:type="dxa"/>
          </w:tcPr>
          <w:p w14:paraId="1A9C881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0.317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422" w:type="dxa"/>
          </w:tcPr>
          <w:p w14:paraId="2C538E1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0.299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3686" w:type="dxa"/>
          </w:tcPr>
          <w:p w14:paraId="4D0DB737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ΔR²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, occupational stress block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193" w:type="dxa"/>
          </w:tcPr>
          <w:p w14:paraId="7C966FD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0.155***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422" w:type="dxa"/>
          </w:tcPr>
          <w:p w14:paraId="5EF5D21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0.138***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3686" w:type="dxa"/>
          </w:tcPr>
          <w:p w14:paraId="5A365697">
            <w:pPr>
              <w:pStyle w:val="1_1"/>
              <w:pBdr/>
              <w:spacing/>
              <w:ind/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R²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 after social support block</w:t>
            </w: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193" w:type="dxa"/>
          </w:tcPr>
          <w:p w14:paraId="36CC35E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0.333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422" w:type="dxa"/>
          </w:tcPr>
          <w:p w14:paraId="6121C15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0.319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3686" w:type="dxa"/>
          </w:tcPr>
          <w:p w14:paraId="603D17F7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ΔR²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, social support block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193" w:type="dxa"/>
          </w:tcPr>
          <w:p w14:paraId="5071398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0.016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gridSpan w:val="2"/>
            <w:tcBorders/>
            <w:tcW w:w="2422" w:type="dxa"/>
          </w:tcPr>
          <w:p w14:paraId="3C50C0FF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0.02*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3686" w:type="dxa"/>
          </w:tcPr>
          <w:p w14:paraId="342FD235">
            <w:pPr>
              <w:pStyle w:val="1_1"/>
              <w:pBdr/>
              <w:spacing/>
              <w:ind/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Interactions surviving Holm correction</w:t>
            </w: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110" w:type="dxa"/>
          </w:tcPr>
          <w:p w14:paraId="7F778DCD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B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(</w:t>
            </w: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SE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083" w:type="dxa"/>
          </w:tcPr>
          <w:p w14:paraId="5F722CEA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Adjusted </w:t>
            </w: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p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195" w:type="dxa"/>
          </w:tcPr>
          <w:p w14:paraId="4460CCF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B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(</w:t>
            </w: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SE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227" w:type="dxa"/>
          </w:tcPr>
          <w:p w14:paraId="0950B4CB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Adjusted </w:t>
            </w:r>
            <w:r>
              <w:rPr>
                <w:rFonts w:ascii="Times New Roman" w:hAnsi="Times New Roman" w:cs="Times New Roman"/>
                <w:i/>
                <w:iCs/>
                <w:color w:val="000000"/>
                <w:highlight w:val="yellow"/>
              </w:rPr>
              <w:t xml:space="preserve">p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3686" w:type="dxa"/>
          </w:tcPr>
          <w:p w14:paraId="32B74538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Role Overload × Significant Others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110" w:type="dxa"/>
          </w:tcPr>
          <w:p w14:paraId="627F8F7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-1.34(.35)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083" w:type="dxa"/>
          </w:tcPr>
          <w:p w14:paraId="5365620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0.04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195" w:type="dxa"/>
          </w:tcPr>
          <w:p w14:paraId="7B6C744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</w:tcBorders>
            <w:tcW w:w="1227" w:type="dxa"/>
          </w:tcPr>
          <w:p w14:paraId="7769DD9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3686" w:type="dxa"/>
          </w:tcPr>
          <w:p w14:paraId="4D27FEA1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Role Overload × Friends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110" w:type="dxa"/>
          </w:tcPr>
          <w:p w14:paraId="1350F08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-1.24(.36)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083" w:type="dxa"/>
          </w:tcPr>
          <w:p w14:paraId="0601E819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0.016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  <w:tc>
          <w:tcPr>
            <w:tcBorders/>
            <w:tcW w:w="1195" w:type="dxa"/>
          </w:tcPr>
          <w:p w14:paraId="6198A7A5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227" w:type="dxa"/>
          </w:tcPr>
          <w:p w14:paraId="63A8A9F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3686" w:type="dxa"/>
          </w:tcPr>
          <w:p w14:paraId="16562F21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Role Ambiguity × Significant Others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110" w:type="dxa"/>
          </w:tcPr>
          <w:p w14:paraId="27A0D9F6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-0.99(.31)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083" w:type="dxa"/>
          </w:tcPr>
          <w:p w14:paraId="3347CE50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0.032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  <w:tc>
          <w:tcPr>
            <w:tcBorders/>
            <w:tcW w:w="1195" w:type="dxa"/>
          </w:tcPr>
          <w:p w14:paraId="096F91A2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227" w:type="dxa"/>
          </w:tcPr>
          <w:p w14:paraId="07F680D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/>
            <w:tcW w:w="3686" w:type="dxa"/>
          </w:tcPr>
          <w:p w14:paraId="156D464A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Intrinsic Impoverishment × Family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110" w:type="dxa"/>
          </w:tcPr>
          <w:p w14:paraId="69B65734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-1.23(.38)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083" w:type="dxa"/>
          </w:tcPr>
          <w:p w14:paraId="39B1B127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0.3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  <w:tc>
          <w:tcPr>
            <w:tcBorders/>
            <w:tcW w:w="1195" w:type="dxa"/>
          </w:tcPr>
          <w:p w14:paraId="0B90370C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/>
            <w:tcW w:w="1227" w:type="dxa"/>
          </w:tcPr>
          <w:p w14:paraId="111E2551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3686" w:type="dxa"/>
          </w:tcPr>
          <w:p w14:paraId="35E3D74C">
            <w:pPr>
              <w:pStyle w:val="1_1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Peer Group Relations × Family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110" w:type="dxa"/>
          </w:tcPr>
          <w:p w14:paraId="57CEABE8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083" w:type="dxa"/>
          </w:tcPr>
          <w:p w14:paraId="75A80ACE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195" w:type="dxa"/>
          </w:tcPr>
          <w:p w14:paraId="6BB796E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highlight w:val="yellow"/>
              </w:rPr>
              <w:t xml:space="preserve">-0.97(.31)</w:t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bottom w:val="single" w:color="000000" w:sz="4" w:space="0"/>
            </w:tcBorders>
            <w:tcW w:w="1227" w:type="dxa"/>
          </w:tcPr>
          <w:p w14:paraId="3076E133">
            <w:pPr>
              <w:pStyle w:val="1_1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  <w:t xml:space="preserve">.049</w:t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r>
          </w:p>
        </w:tc>
      </w:tr>
      <w:tr>
        <w:trPr/>
        <w:tc>
          <w:tcPr>
            <w:gridSpan w:val="5"/>
            <w:tcBorders>
              <w:top w:val="single" w:color="000000" w:sz="4" w:space="0"/>
            </w:tcBorders>
            <w:tcW w:w="8301" w:type="dxa"/>
          </w:tcPr>
          <w:p w14:paraId="1E03019F">
            <w:pPr>
              <w:pBdr/>
              <w:spacing/>
              <w:ind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highlight w:val="yellow"/>
              </w:rPr>
              <w:t xml:space="preserve">Note. </w:t>
            </w:r>
            <w:r>
              <w:rPr>
                <w:rFonts w:ascii="Times New Roman" w:hAnsi="Times New Roman" w:cs="Times New Roman"/>
                <w:highlight w:val="yellow"/>
              </w:rPr>
              <w:t xml:space="preserve">Sensitivity analyses excluded the four Occupational Stress Index subscales with reliability estimates below .50 in the present</w:t>
            </w:r>
            <w:r>
              <w:rPr>
                <w:rFonts w:ascii="Times New Roman" w:hAnsi="Times New Roman" w:cs="Times New Roman"/>
                <w:highlight w:val="yellow"/>
              </w:rPr>
              <w:t xml:space="preserve"> sample: role conflict, unreasonable group and political pressure, low status, and strenuous working conditions. Main-effect coefficients are from the fully adjusted model containing the control variables, the eight retained occupational stress dimensions,</w:t>
            </w:r>
            <w:r>
              <w:rPr>
                <w:rFonts w:ascii="Times New Roman" w:hAnsi="Times New Roman" w:cs="Times New Roman"/>
                <w:highlight w:val="yellow"/>
              </w:rPr>
              <w:t xml:space="preserve"> and all three sources of social support. For the moderation sensitivity analysis, Holm adjustment was reapplied separately within each outcome across the remaining 24 occupational stress × social support interactions; only interactions with Holm-adjusted </w:t>
            </w:r>
            <w:r>
              <w:rPr>
                <w:rFonts w:ascii="Times New Roman" w:hAnsi="Times New Roman" w:cs="Times New Roman"/>
                <w:i/>
                <w:iCs/>
                <w:highlight w:val="yellow"/>
              </w:rPr>
              <w:t xml:space="preserve">p </w:t>
            </w:r>
            <w:r>
              <w:rPr>
                <w:rFonts w:ascii="Times New Roman" w:hAnsi="Times New Roman" w:cs="Times New Roman"/>
                <w:highlight w:val="yellow"/>
              </w:rPr>
              <w:t xml:space="preserve">&lt; .05 are shown. B = unstandardized regression coefficient; </w:t>
            </w:r>
            <w:r>
              <w:rPr>
                <w:rFonts w:ascii="Times New Roman" w:hAnsi="Times New Roman" w:cs="Times New Roman"/>
                <w:i/>
                <w:iCs/>
                <w:highlight w:val="yellow"/>
              </w:rPr>
              <w:t xml:space="preserve">SE</w:t>
            </w:r>
            <w:r>
              <w:rPr>
                <w:rFonts w:ascii="Times New Roman" w:hAnsi="Times New Roman" w:cs="Times New Roman"/>
                <w:highlight w:val="yellow"/>
              </w:rPr>
              <w:t xml:space="preserve"> = standard error.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  <w:p w14:paraId="0D7614E5">
            <w:pPr>
              <w:pBdr/>
              <w:spacing/>
              <w:ind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iCs/>
                <w:highlight w:val="yellow"/>
              </w:rPr>
              <w:t xml:space="preserve">p </w:t>
            </w:r>
            <w:r>
              <w:rPr>
                <w:rFonts w:ascii="Times New Roman" w:hAnsi="Times New Roman" w:cs="Times New Roman"/>
                <w:highlight w:val="yellow"/>
              </w:rPr>
              <w:t xml:space="preserve">&lt; .05, </w:t>
            </w:r>
            <w:r>
              <w:rPr>
                <w:rFonts w:ascii="Times New Roman" w:hAnsi="Times New Roman" w:cs="Times New Roman"/>
                <w:i/>
                <w:iCs/>
                <w:highlight w:val="yellow"/>
              </w:rPr>
              <w:t xml:space="preserve">p </w:t>
            </w:r>
            <w:r>
              <w:rPr>
                <w:rFonts w:ascii="Times New Roman" w:hAnsi="Times New Roman" w:cs="Times New Roman"/>
                <w:highlight w:val="yellow"/>
              </w:rPr>
              <w:t xml:space="preserve"> &lt;</w:t>
            </w:r>
            <w:r>
              <w:rPr>
                <w:rFonts w:ascii="Times New Roman" w:hAnsi="Times New Roman" w:cs="Times New Roman"/>
                <w:highlight w:val="yellow"/>
              </w:rPr>
              <w:t xml:space="preserve"> .01, </w:t>
            </w:r>
            <w:r>
              <w:rPr>
                <w:rFonts w:ascii="Times New Roman" w:hAnsi="Times New Roman" w:cs="Times New Roman"/>
                <w:i/>
                <w:iCs/>
                <w:highlight w:val="yellow"/>
              </w:rPr>
              <w:t xml:space="preserve">p </w:t>
            </w:r>
            <w:r>
              <w:rPr>
                <w:rFonts w:ascii="Times New Roman" w:hAnsi="Times New Roman" w:cs="Times New Roman"/>
                <w:highlight w:val="yellow"/>
              </w:rPr>
              <w:t xml:space="preserve"> &lt;</w:t>
            </w:r>
            <w:r>
              <w:rPr>
                <w:rFonts w:ascii="Times New Roman" w:hAnsi="Times New Roman" w:cs="Times New Roman"/>
                <w:highlight w:val="yellow"/>
              </w:rPr>
              <w:t xml:space="preserve"> .001.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</w:tr>
    </w:tbl>
    <w:p w14:paraId="3B270C50">
      <w:pPr>
        <w:pStyle w:val="1_1"/>
        <w:pBdr/>
        <w:spacing/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宋体">
    <w:panose1 w:val="02010600030101010101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  <w:style w:type="paragraph" w:styleId="1_1" w:customStyle="1">
    <w:name w:val="Normal (Web)"/>
    <w:basedOn w:val="672"/>
    <w:uiPriority w:val="99"/>
    <w:unhideWhenUsed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宋体" w:hAnsi="宋体" w:eastAsia="宋体" w:cs="宋体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2026-10-16T11:00:13Z</dcterms:modified>
</cp:coreProperties>
</file>