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46B95">
      <w:pPr>
        <w:jc w:val="center"/>
        <w:rPr>
          <w:rFonts w:ascii="Times New Roman" w:hAnsi="Times New Roman" w:cs="Times New Roman"/>
          <w:b/>
          <w:bCs/>
          <w:sz w:val="36"/>
          <w:szCs w:val="40"/>
        </w:rPr>
      </w:pPr>
      <w:r>
        <w:rPr>
          <w:rFonts w:ascii="Times New Roman" w:hAnsi="Times New Roman" w:cs="Times New Roman"/>
          <w:b/>
          <w:bCs/>
          <w:sz w:val="36"/>
          <w:szCs w:val="40"/>
        </w:rPr>
        <w:t>Supplementary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40"/>
        </w:rPr>
        <w:t xml:space="preserve"> Material</w:t>
      </w:r>
      <w:r>
        <w:rPr>
          <w:rFonts w:hint="eastAsia" w:ascii="Times New Roman" w:hAnsi="Times New Roman" w:eastAsia="宋体" w:cs="Times New Roman"/>
          <w:b/>
          <w:bCs/>
          <w:sz w:val="36"/>
          <w:szCs w:val="40"/>
          <w:lang w:val="en-US" w:eastAsia="zh-CN"/>
        </w:rPr>
        <w:t xml:space="preserve"> 1</w:t>
      </w:r>
      <w:r>
        <w:rPr>
          <w:rFonts w:ascii="Times New Roman" w:hAnsi="Times New Roman" w:cs="Times New Roman"/>
          <w:b/>
          <w:bCs/>
          <w:sz w:val="36"/>
          <w:szCs w:val="40"/>
        </w:rPr>
        <w:t>: Sex-adjusted sensitivity analyses</w:t>
      </w:r>
    </w:p>
    <w:p w14:paraId="2AB2DB85">
      <w:pPr>
        <w:rPr>
          <w:rFonts w:ascii="Times New Roman" w:hAnsi="Times New Roman" w:eastAsia="宋体" w:cs="Times New Roman"/>
          <w:b/>
          <w:bCs/>
          <w:sz w:val="22"/>
          <w:szCs w:val="24"/>
          <w:lang w:eastAsia="zh-CN"/>
        </w:rPr>
      </w:pPr>
    </w:p>
    <w:p w14:paraId="15301391">
      <w:pPr>
        <w:jc w:val="both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Supplementary Methods</w:t>
      </w:r>
    </w:p>
    <w:p w14:paraId="706B4C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primary analyses remained unadjusted for demographic variables. To examine whether the main findings were affected by the unequal sex composition of the exercise-volume groups, we repeated the corresponding analyses with sex entered as a categorical between-participant predictor (female/male). The analytic sample remained unchanged (N = 60): the high-exercise-volume group included 8 female and 22 male participants, and the low-exercise-volume group included 13 female and 17 male participants. Age was not included in these sensitivity models.</w:t>
      </w:r>
    </w:p>
    <w:p w14:paraId="5F5E39F8">
      <w:pPr>
        <w:ind w:firstLine="42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participant-level outcomes with the two-level within-participant factor Valence (Positive, Negative), the sex-adjusted models included Group, Valence, sex, Group × Valence, and sex × Valence. Because Valence had two levels, the Group × Valence tests were estimated through the algebraically equivalent general linear models of the Positive − Negative difference score. The trial-level linear mixed-effects model (LMM) of reaction time (RT) retained the primary fixed-effects structure for Group × Valence × Probe congruency and the primary random-effects structure (participant random intercepts and by-participant random slopes for probe congruency, plus stimulus-pair random intercepts). Sex, sex × Valence, sex × Probe congruency, and sex × Valence × Probe congruency were added as fixed effects. No Group × sex terms were fitted because the purpose was to assess robustness to sex composition rather than sex moderation. Models were fitted in R 4.4.2 using lme4 2.0-1, lmerTest 3.2-1, and emmeans 2.0.3. All tests were two-sided with α = .05.</w:t>
      </w:r>
    </w:p>
    <w:p w14:paraId="3CE2CE5D">
      <w:pPr>
        <w:jc w:val="both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Supplementary Results</w:t>
      </w:r>
    </w:p>
    <w:p w14:paraId="6413958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Attention task</w:t>
      </w:r>
    </w:p>
    <w:p w14:paraId="5E5B80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determine whether the overall valence-related reaction-time pattern could be explained by sex composition, sex and sex × Valence were added to the participant-level model. The Group × Valence interaction was still significant after adjustment,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57) = 11.846,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.001, ηp² = .172, compared with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58) = 10.110,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.002, ηp² = .148 in the primary analysis. The adjusted difference between the low- and high-exercise-volume groups in their Positive − Negative reaction-time contrasts was 14.263 ms,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.001, 95% confidence interval (CI) [5.965, 22.561]; the direction was unchanged from the primary analysis.</w:t>
      </w:r>
    </w:p>
    <w:p w14:paraId="77542A42">
      <w:pPr>
        <w:ind w:firstLine="42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sex-adjusted trial-level LMM converged without a singular fit. The Group × Valence interaction remained significant,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4568.95) = 7.535,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.006; the planned contrast was 0.0284 on the log RT scale, 95% CI [0.0081, 0.0487]. The Group × Valence × Probe congruency interaction stayed non-significant,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4568.81) = 2.747,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.098; estimate = −0.0343, 95% CI [−0.0749, 0.0063]. These results preserved the primary distinction between a valence-related RT pattern and the absence of a statistically reliable probe-congruency-dependent interaction.</w:t>
      </w:r>
    </w:p>
    <w:p w14:paraId="72E60E59">
      <w:pPr>
        <w:ind w:firstLine="42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the neutral-baseline components, the Group × Valence interaction for the attentional vigilance index stayed non-significant,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57) = 1.823,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.182, ηp² = .031, whereas the interaction for the attentional disengagement/avoidance index remained significant,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57) = 9.275,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.004, ηp² = .140. The adjusted low-minus-high difference in the Positive − Negative attentional disengagement/avoidance contrast was 21.096 ms,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.004, 95% CI [7.225, 34.967]. After adjustment for sex, the Group × Valence interaction remained significant for the disengagement/avoidance index and nonsignificant for the vigilance index.</w:t>
      </w:r>
    </w:p>
    <w:p w14:paraId="7EC16D9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Memory task</w:t>
      </w:r>
    </w:p>
    <w:p w14:paraId="5D95D3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assess whether the valence-related recognition pattern depended on sex composition, the same adjustment was applied to recognition accuracy and recognition sensitivity (d′). The Group × Valence interaction was still significant for recognition accuracy,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57) = 7.813,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.007, ηp² = .121, and for d′,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57) = 8.265,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.006, ηp² = .127. The adjusted low-minus-high differences in the Positive − Negative contrasts were −6.139 percentage points for accuracy,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.007, 95% CI [−10.538, −1.741], and −0.381 for d′,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.006, 95% CI [−0.646, −0.116]. Both interactions showed the same directions as in the primary analyses.</w:t>
      </w:r>
    </w:p>
    <w:p w14:paraId="57E793DB">
      <w:pPr>
        <w:ind w:firstLine="42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response criterion (c), the Valence main effect was still significant after adjustment,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57) = 5.653,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.021, ηp² = .090. The adjusted Positive − Negative criterion difference was 0.132,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.021, 95% CI [0.021, 0.244], indicating a relatively more conservative (less liberal) criterion for positive than negative faces under the coding used here. The Group × Valence interaction stayed non-significant, </w:t>
      </w:r>
      <w:r>
        <w:rPr>
          <w:rFonts w:ascii="Times New Roman" w:hAnsi="Times New Roman" w:cs="Times New Roman"/>
          <w:i/>
        </w:rPr>
        <w:t>F</w:t>
      </w:r>
      <w:r>
        <w:rPr>
          <w:rFonts w:ascii="Times New Roman" w:hAnsi="Times New Roman" w:cs="Times New Roman"/>
        </w:rPr>
        <w:t xml:space="preserve">(1, 57) = 0.361,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= .550, ηp² = .006. Thus, adjustment for sex provided no evidence that the two exercise-volume groups had different valence-related response-criterion patterns.</w:t>
      </w:r>
    </w:p>
    <w:p w14:paraId="6A200EE0">
      <w:pPr>
        <w:jc w:val="both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Overall conclusion</w:t>
      </w:r>
    </w:p>
    <w:p w14:paraId="6AE78A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Adjustment for sex did not materially change any substantive conclusion concerning attention or recognition memory. Effects that were significant in the primary analyses remained significant, and effects that were non-significant stayed non-significant; the corresponding estimates kept their original directions. Accordingly, no additional simple-effect analyses were conducted in the sensitivity models because the interaction significance patterns and effect directions were unchanged.</w:t>
      </w:r>
    </w:p>
    <w:p w14:paraId="4FC4DC19">
      <w:pPr>
        <w:rPr>
          <w:rFonts w:ascii="Times New Roman" w:hAnsi="Times New Roman" w:cs="Times New Roman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576" w:footer="576" w:gutter="0"/>
          <w:cols w:space="720" w:num="1"/>
          <w:docGrid w:linePitch="360" w:charSpace="0"/>
        </w:sectPr>
      </w:pPr>
    </w:p>
    <w:p w14:paraId="1308AD31">
      <w:pPr>
        <w:jc w:val="both"/>
        <w:rPr>
          <w:rFonts w:ascii="Times New Roman" w:hAnsi="Times New Roman" w:eastAsia="宋体" w:cs="Times New Roman"/>
          <w:lang w:eastAsia="zh-CN"/>
        </w:rPr>
      </w:pPr>
    </w:p>
    <w:p w14:paraId="0428936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S1</w:t>
      </w:r>
      <w:r>
        <w:rPr>
          <w:rFonts w:hint="eastAsia" w:ascii="Times New Roman" w:hAnsi="Times New Roman" w:eastAsia="宋体" w:cs="Times New Roman"/>
          <w:b/>
          <w:bCs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sz w:val="20"/>
        </w:rPr>
        <w:t>Primary and sex-adjusted sensitivity analyses of the main outcomes</w:t>
      </w:r>
    </w:p>
    <w:tbl>
      <w:tblPr>
        <w:tblStyle w:val="32"/>
        <w:tblW w:w="144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232"/>
        <w:gridCol w:w="2520"/>
        <w:gridCol w:w="2520"/>
        <w:gridCol w:w="2880"/>
        <w:gridCol w:w="1368"/>
      </w:tblGrid>
      <w:tr w14:paraId="494CC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80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shd w:val="clear" w:color="auto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A70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t>Outcome</w:t>
            </w:r>
          </w:p>
        </w:tc>
        <w:tc>
          <w:tcPr>
            <w:tcW w:w="2232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shd w:val="clear" w:color="auto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AF0D5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t>Target effect</w:t>
            </w:r>
          </w:p>
        </w:tc>
        <w:tc>
          <w:tcPr>
            <w:tcW w:w="2520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shd w:val="clear" w:color="auto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0192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t>Primary analysis</w:t>
            </w:r>
          </w:p>
        </w:tc>
        <w:tc>
          <w:tcPr>
            <w:tcW w:w="2520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shd w:val="clear" w:color="auto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F0BB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t>Sex-adjusted analysis</w:t>
            </w:r>
          </w:p>
        </w:tc>
        <w:tc>
          <w:tcPr>
            <w:tcW w:w="2880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shd w:val="clear" w:color="auto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64D6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t>Effect estimate / 95% CI</w:t>
            </w:r>
          </w:p>
        </w:tc>
        <w:tc>
          <w:tcPr>
            <w:tcW w:w="136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shd w:val="clear" w:color="auto" w:fill="F2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3A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t>Conclusion</w:t>
            </w:r>
          </w:p>
        </w:tc>
      </w:tr>
      <w:tr w14:paraId="02A0F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0" w:type="dxa"/>
            <w:gridSpan w:val="6"/>
            <w:tcBorders>
              <w:top w:val="single" w:color="7F7F7F" w:sz="6" w:space="0"/>
              <w:left w:val="nil"/>
              <w:bottom w:val="single" w:color="7F7F7F" w:sz="6" w:space="0"/>
              <w:right w:val="nil"/>
            </w:tcBorders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266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Panel A. Attention task</w:t>
            </w:r>
          </w:p>
        </w:tc>
      </w:tr>
      <w:tr w14:paraId="5F351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330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Overall reaction time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E407B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Group × Valence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0896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58) = 10.110, p = .002, ηp² = .148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FAE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57) = 11.846, p = .001, ηp² = .172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47523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Adjusted ΔΔ = 14.263 ms, [5.965, 22.561]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29307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Remained significant</w:t>
            </w:r>
          </w:p>
        </w:tc>
      </w:tr>
      <w:tr w14:paraId="7F10F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FD1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Trial-level log RT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EA04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Group × Valence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C040A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4568.96) = 6.438, p = .011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7BED1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4568.95) = 7.535, p = .006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2DF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Adjusted ΔΔ = 0.0284 log RT, [0.0081, 0.0487]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85E78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Remained significant</w:t>
            </w:r>
          </w:p>
        </w:tc>
      </w:tr>
      <w:tr w14:paraId="30CAE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45BE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Trial-level log RT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710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Group × Valence × Probe congruency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464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4569.01) = 3.230, p = .072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230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4568.81) = 2.747, p = .098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201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Adjusted ΔΔ = −0.0343 log RT, [−0.0749, 0.0063]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DA2BB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Remained non-significant</w:t>
            </w:r>
          </w:p>
        </w:tc>
      </w:tr>
      <w:tr w14:paraId="478B0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A87C6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Attentional vigilance index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B999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Group × Valence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4061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58) = 1.133, p = .291, ηp² = .019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7801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57) = 1.823, p = .182, ηp² = .031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8F8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Adjusted ΔΔ = −7.430 ms, [−18.449, 3.590]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3A599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Remained non-significant</w:t>
            </w:r>
          </w:p>
        </w:tc>
      </w:tr>
      <w:tr w14:paraId="2EC3E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54B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Attentional disengagement/avoidance index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40F9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Group × Valence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39B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58) = 9.066, p = .004, ηp² = .135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FE45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57) = 9.275, p = .004, ηp² = .140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718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Adjusted ΔΔ = 21.096 ms, [7.225, 34.967]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5D3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Remained significant</w:t>
            </w:r>
          </w:p>
        </w:tc>
      </w:tr>
      <w:tr w14:paraId="66FC9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0" w:type="dxa"/>
            <w:gridSpan w:val="6"/>
            <w:tcBorders>
              <w:top w:val="single" w:color="7F7F7F" w:sz="6" w:space="0"/>
              <w:left w:val="nil"/>
              <w:bottom w:val="single" w:color="7F7F7F" w:sz="6" w:space="0"/>
              <w:right w:val="nil"/>
            </w:tcBorders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C043F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Panel B. Memory task</w:t>
            </w:r>
          </w:p>
        </w:tc>
      </w:tr>
      <w:tr w14:paraId="1E1B1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9BE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Recognition accuracy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B0B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Group × Valence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4CC36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58) = 8.432, p = .005, ηp² = .127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0CC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57) = 7.813, p = .007, ηp² = .121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A45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Adjusted ΔΔ = −6.139 percentage points, [−10.538, −1.741]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66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Remained significant</w:t>
            </w:r>
          </w:p>
        </w:tc>
      </w:tr>
      <w:tr w14:paraId="58394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02A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Recognition sensitivity (d′)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0C14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Group × Valence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C44C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58) = 8.935, p = .004, ηp² = .133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B257C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57) = 8.265, p = .006, ηp² = .127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DCB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Adjusted ΔΔ = −0.381, [−0.646, −0.116]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DD6A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Remained significant</w:t>
            </w:r>
          </w:p>
        </w:tc>
      </w:tr>
      <w:tr w14:paraId="3C1F1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DCFD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Response criterion (c)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F6BF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Valence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3043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58) = 5.283, p = .025, ηp² = .083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E1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57) = 5.653, p = .021, ηp² = .090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63F9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Adjusted Δ = 0.132, [0.021, 0.244]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689B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Remained significant</w:t>
            </w:r>
          </w:p>
        </w:tc>
      </w:tr>
      <w:tr w14:paraId="7A9F1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F73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Response criterion (c)</w:t>
            </w:r>
          </w:p>
        </w:tc>
        <w:tc>
          <w:tcPr>
            <w:tcW w:w="2232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7CC7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Group × Valence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6BAA8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58) = 0.533, p = .468, ηp² = .009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7ABB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F(1, 57) = 0.361, p = .550, ηp² = .006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71C37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Adjusted ΔΔ = 0.065, [−0.151, 0.280]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644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5"/>
              </w:rPr>
              <w:t>Remained non-significant</w:t>
            </w:r>
          </w:p>
        </w:tc>
      </w:tr>
    </w:tbl>
    <w:p w14:paraId="446D292A">
      <w:pPr>
        <w:spacing w:before="120"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6"/>
        </w:rPr>
        <w:t>Note.</w:t>
      </w:r>
      <w:r>
        <w:rPr>
          <w:rFonts w:ascii="Times New Roman" w:hAnsi="Times New Roman" w:cs="Times New Roman"/>
          <w:sz w:val="16"/>
        </w:rPr>
        <w:t xml:space="preserve"> Sex was entered as a categorical between-participant predictor (female/male). Relevant sex × within-participant-factor interaction terms were included in the sensitivity models; Group × sex terms were not fitted. Primary analyses were unadjusted. Effect estimates are sex-adjusted contrasts. For Group × Valence, ΔΔ = [low exercise volume (Positive − Negative)] − [high exercise volume (Positive − Negative)]; for the Valence main effect, Δ = Positive − Negative. LMM estimates are on the log RT scale; other estimates are reported in the units shown. CI = confidence interval; RT = reaction time; LMM = linear mixed-effects model; d′ = recognition sensitivity; c = response criterion; ηp² = partial eta squared.</w:t>
      </w:r>
    </w:p>
    <w:sectPr>
      <w:headerReference r:id="rId7" w:type="default"/>
      <w:footerReference r:id="rId8" w:type="default"/>
      <w:pgSz w:w="16838" w:h="11906" w:orient="landscape"/>
      <w:pgMar w:top="720" w:right="720" w:bottom="720" w:left="720" w:header="576" w:footer="57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51467489"/>
      <w:docPartObj>
        <w:docPartGallery w:val="AutoText"/>
      </w:docPartObj>
    </w:sdtPr>
    <w:sdtContent>
      <w:p w14:paraId="5F923229">
        <w:pPr>
          <w:pStyle w:val="2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1D0AB349">
    <w:pPr>
      <w:pStyle w:val="24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5637521"/>
      <w:docPartObj>
        <w:docPartGallery w:val="AutoText"/>
      </w:docPartObj>
    </w:sdtPr>
    <w:sdtContent>
      <w:p w14:paraId="700E7D9D">
        <w:pPr>
          <w:pStyle w:val="2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619F11F4">
    <w:pPr>
      <w:pStyle w:val="2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5A2DC">
    <w:pPr>
      <w:pStyle w:val="25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C9CC9">
    <w:pPr>
      <w:pStyle w:val="2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1A7C"/>
    <w:rsid w:val="0029639D"/>
    <w:rsid w:val="00326F90"/>
    <w:rsid w:val="00451732"/>
    <w:rsid w:val="0055271E"/>
    <w:rsid w:val="006B3329"/>
    <w:rsid w:val="0088228E"/>
    <w:rsid w:val="0088291B"/>
    <w:rsid w:val="008A3488"/>
    <w:rsid w:val="009104C8"/>
    <w:rsid w:val="00AA1D8D"/>
    <w:rsid w:val="00B47730"/>
    <w:rsid w:val="00CB0664"/>
    <w:rsid w:val="00D24D83"/>
    <w:rsid w:val="00EC329E"/>
    <w:rsid w:val="00FC693F"/>
    <w:rsid w:val="3350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Arial" w:hAnsi="Arial" w:eastAsia="Arial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/>
      <w:outlineLvl w:val="0"/>
    </w:pPr>
    <w:rPr>
      <w:rFonts w:asciiTheme="majorHAnsi" w:hAnsiTheme="majorHAnsi" w:eastAsiaTheme="majorEastAsia" w:cstheme="majorBidi"/>
      <w:b/>
      <w:bCs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b/>
      <w:bCs/>
      <w:sz w:val="23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line="480" w:lineRule="auto"/>
    </w:pPr>
  </w:style>
  <w:style w:type="paragraph" w:styleId="29">
    <w:name w:val="List Continue 2"/>
    <w:basedOn w:val="1"/>
    <w:unhideWhenUsed/>
    <w:qFormat/>
    <w:uiPriority w:val="99"/>
    <w:pPr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1210</Words>
  <Characters>6640</Characters>
  <Lines>55</Lines>
  <Paragraphs>15</Paragraphs>
  <TotalTime>8</TotalTime>
  <ScaleCrop>false</ScaleCrop>
  <LinksUpToDate>false</LinksUpToDate>
  <CharactersWithSpaces>7772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2026-08-20T11:20:00Z</dcterms:created>
  <dc:creator>P W</dc:creator>
  <cp:lastModifiedBy>韩颖</cp:lastModifiedBy>
  <dcterms:modified xsi:type="dcterms:W3CDTF">2026-10-20T17:07:39Z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eyJoZGlkIjoiYTYzY2VjYjg4NzlmZTNlOGU5MDJlMDAzN2RkM2RmMWIiLCJ1c2VySWQiOiIxNzg2NzA0MDQ5In0=</vt:lpwstr>
  </property>
  <property fmtid="{D5CDD505-2E9C-101B-9397-08002B2CF9AE}" pid="3" name="KSOProductBuildVer">
    <vt:lpwstr>2052-12.1.0.29158</vt:lpwstr>
  </property>
  <property fmtid="{D5CDD505-2E9C-101B-9397-08002B2CF9AE}" pid="4" name="ICV">
    <vt:lpwstr>821AECB2FF86412F9C856B657252370F_12</vt:lpwstr>
  </property>
</Properties>
</file>