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A4226">
      <w:pPr>
        <w:keepNext/>
        <w:spacing w:after="100" w:line="240" w:lineRule="auto"/>
        <w:jc w:val="center"/>
        <w:rPr>
          <w:rFonts w:ascii="Times New Roman" w:hAnsi="Times New Roman" w:cs="Times New Roman"/>
          <w:b/>
          <w:bCs/>
          <w:sz w:val="36"/>
          <w:szCs w:val="40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Supplementary Material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 xml:space="preserve"> 2:</w:t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 Split-half reliability of the dot-probe attentional indices</w:t>
      </w:r>
    </w:p>
    <w:p w14:paraId="32988A97">
      <w:pPr>
        <w:keepNext/>
        <w:spacing w:before="80" w:after="40" w:line="240" w:lineRule="auto"/>
        <w:jc w:val="both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2"/>
        </w:rPr>
        <w:t>Supplementary Methods</w:t>
      </w:r>
    </w:p>
    <w:p w14:paraId="21099414">
      <w:pPr>
        <w:spacing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Cs w:val="21"/>
        </w:rPr>
        <w:t>Internal reliability of the dot-probe reaction-time measures was examined using a conventional odd–even split-half procedure. Trial parity was defined from each participant’s original formal-trial sequence before exclusions. Within each half, only correct trials with reaction time (RT) between 200 and 1000 ms were re</w:t>
      </w:r>
      <w:bookmarkStart w:id="0" w:name="_GoBack"/>
      <w:bookmarkEnd w:id="0"/>
      <w:r>
        <w:rPr>
          <w:rFonts w:ascii="Times New Roman" w:hAnsi="Times New Roman" w:eastAsia="Times New Roman" w:cs="Times New Roman"/>
          <w:szCs w:val="21"/>
        </w:rPr>
        <w:t>tained, consistent with the preprocessing criteria used in the primary analyses. Condition-specific mean reaction times were calculated separately for positive-congruent, positive-incongruent, negative-congruent, negative-incongruent, and neutral–neutral trials.</w:t>
      </w:r>
    </w:p>
    <w:p w14:paraId="07829936">
      <w:pPr>
        <w:spacing w:after="80"/>
        <w:ind w:firstLine="42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Cs w:val="21"/>
        </w:rPr>
        <w:t xml:space="preserve">The vigilance index was calculated as neutral–neutral RT minus congruent emotional–neutral RT, and the disengagement/avoidance index as incongruent emotional–neutral RT minus neutral–neutral RT. Both indices were calculated separately for positive and negative valence within the odd and even halves. Positive-minus-negative contrasts were also calculated for each derived index. Pearson correlations between corresponding odd- and even-half scores were calculated across participants and corrected for test length using the Spearman–Brown formula, </w:t>
      </w:r>
      <w:r>
        <w:rPr>
          <w:rFonts w:ascii="Times New Roman" w:hAnsi="Times New Roman" w:eastAsia="Times New Roman" w:cs="Times New Roman"/>
          <w:i/>
          <w:szCs w:val="21"/>
        </w:rPr>
        <w:t>r</w:t>
      </w:r>
      <w:r>
        <w:rPr>
          <w:rFonts w:ascii="Times New Roman" w:hAnsi="Times New Roman" w:eastAsia="Times New Roman" w:cs="Times New Roman"/>
          <w:szCs w:val="21"/>
          <w:vertAlign w:val="subscript"/>
        </w:rPr>
        <w:t>SB</w:t>
      </w:r>
      <w:r>
        <w:rPr>
          <w:rFonts w:ascii="Times New Roman" w:hAnsi="Times New Roman" w:eastAsia="Times New Roman" w:cs="Times New Roman"/>
          <w:szCs w:val="21"/>
        </w:rPr>
        <w:t xml:space="preserve"> = 2</w:t>
      </w:r>
      <w:r>
        <w:rPr>
          <w:rFonts w:ascii="Times New Roman" w:hAnsi="Times New Roman" w:eastAsia="Times New Roman" w:cs="Times New Roman"/>
          <w:i/>
          <w:szCs w:val="21"/>
        </w:rPr>
        <w:t>r</w:t>
      </w:r>
      <w:r>
        <w:rPr>
          <w:rFonts w:ascii="Times New Roman" w:hAnsi="Times New Roman" w:eastAsia="Times New Roman" w:cs="Times New Roman"/>
          <w:szCs w:val="21"/>
        </w:rPr>
        <w:t xml:space="preserve">/(1 + </w:t>
      </w:r>
      <w:r>
        <w:rPr>
          <w:rFonts w:ascii="Times New Roman" w:hAnsi="Times New Roman" w:eastAsia="Times New Roman" w:cs="Times New Roman"/>
          <w:i/>
          <w:szCs w:val="21"/>
        </w:rPr>
        <w:t>r</w:t>
      </w:r>
      <w:r>
        <w:rPr>
          <w:rFonts w:ascii="Times New Roman" w:hAnsi="Times New Roman" w:eastAsia="Times New Roman" w:cs="Times New Roman"/>
          <w:szCs w:val="21"/>
        </w:rPr>
        <w:t>).</w:t>
      </w:r>
    </w:p>
    <w:p w14:paraId="383C6D35">
      <w:pPr>
        <w:keepNext/>
        <w:spacing w:before="80" w:after="40" w:line="240" w:lineRule="auto"/>
        <w:jc w:val="both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2"/>
        </w:rPr>
        <w:t>Supplementary Results</w:t>
      </w:r>
    </w:p>
    <w:p w14:paraId="013653C3">
      <w:pPr>
        <w:spacing w:after="80"/>
        <w:jc w:val="both"/>
        <w:rPr>
          <w:rFonts w:ascii="Times New Roman" w:hAnsi="Times New Roman" w:eastAsia="Times New Roman" w:cs="Times New Roman"/>
          <w:szCs w:val="21"/>
        </w:rPr>
      </w:pPr>
      <w:r>
        <w:rPr>
          <w:rFonts w:ascii="Times New Roman" w:hAnsi="Times New Roman" w:eastAsia="Times New Roman" w:cs="Times New Roman"/>
          <w:szCs w:val="21"/>
        </w:rPr>
        <w:t>The condition-specific mean RTs showed high odd–even split-half reliability, with Spearman–Brown-corrected coefficients ranging from .921 to .938. In contrast, the valence-specific derived attentional indices showed low split-half reliability, with corrected coefficients ranging from −.483 to .178. The corrected reliability estimates for the positive-minus-negative contrasts were −.156 for the vigilance index and .211 for the disengagement/avoidance index. Full estimates are reported in Table S2.</w:t>
      </w:r>
    </w:p>
    <w:p w14:paraId="1C381A96">
      <w:pPr>
        <w:spacing w:after="80"/>
        <w:jc w:val="both"/>
        <w:rPr>
          <w:rFonts w:ascii="Times New Roman" w:hAnsi="Times New Roman" w:eastAsia="Times New Roman" w:cs="Times New Roman"/>
          <w:szCs w:val="21"/>
          <w:lang w:eastAsia="zh-CN"/>
        </w:rPr>
      </w:pPr>
    </w:p>
    <w:p w14:paraId="2F60AF8E">
      <w:pPr>
        <w:keepNext/>
        <w:spacing w:before="60" w:after="2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szCs w:val="21"/>
        </w:rPr>
        <w:t>Table S2</w:t>
      </w:r>
      <w:r>
        <w:rPr>
          <w:rFonts w:hint="eastAsia" w:ascii="Times New Roman" w:hAnsi="Times New Roman" w:eastAsia="宋体" w:cs="Times New Roman"/>
          <w:b/>
          <w:bCs/>
          <w:szCs w:val="2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Odd–even split-half reliability of dot-probe reaction-time measures</w:t>
      </w:r>
    </w:p>
    <w:tbl>
      <w:tblPr>
        <w:tblStyle w:val="32"/>
        <w:tblW w:w="9026" w:type="dxa"/>
        <w:tblInd w:w="0" w:type="dxa"/>
        <w:tblLayout w:type="fixed"/>
        <w:tblCellMar>
          <w:top w:w="12" w:type="dxa"/>
          <w:left w:w="70" w:type="dxa"/>
          <w:bottom w:w="12" w:type="dxa"/>
          <w:right w:w="70" w:type="dxa"/>
        </w:tblCellMar>
      </w:tblPr>
      <w:tblGrid>
        <w:gridCol w:w="5550"/>
        <w:gridCol w:w="1738"/>
        <w:gridCol w:w="1738"/>
      </w:tblGrid>
      <w:tr w14:paraId="0684C40C">
        <w:trPr>
          <w:tblHeader/>
        </w:trPr>
        <w:tc>
          <w:tcPr>
            <w:tcW w:w="5550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B3BAF5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173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BC38400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Odd–even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>r</w:t>
            </w:r>
          </w:p>
        </w:tc>
        <w:tc>
          <w:tcPr>
            <w:tcW w:w="173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6ABC3D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Spearman–Brown corrected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>r</w:t>
            </w:r>
          </w:p>
        </w:tc>
      </w:tr>
      <w:tr w14:paraId="744165BA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9026" w:type="dxa"/>
            <w:gridSpan w:val="3"/>
            <w:tcBorders>
              <w:top w:val="single" w:color="7F7F7F" w:sz="6" w:space="0"/>
              <w:left w:val="nil"/>
              <w:bottom w:val="single" w:color="7F7F7F" w:sz="6" w:space="0"/>
              <w:right w:val="nil"/>
            </w:tcBorders>
            <w:vAlign w:val="center"/>
          </w:tcPr>
          <w:p w14:paraId="2E61AD48">
            <w:pPr>
              <w:keepNext/>
              <w:spacing w:before="30" w:after="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Panel A. Condition-specific mean reaction times</w:t>
            </w:r>
          </w:p>
        </w:tc>
      </w:tr>
      <w:tr w14:paraId="1783F0E8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88C78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Neutral–neutral RT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851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.880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B0D8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.936</w:t>
            </w:r>
          </w:p>
        </w:tc>
      </w:tr>
      <w:tr w14:paraId="63C42FA9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B28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Positive-congruent RT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77C8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.874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10E7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.933</w:t>
            </w:r>
          </w:p>
        </w:tc>
      </w:tr>
      <w:tr w14:paraId="79B8CA7C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571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Positive-incongruent RT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AC80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.883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870B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.938</w:t>
            </w:r>
          </w:p>
        </w:tc>
      </w:tr>
      <w:tr w14:paraId="576AA8AC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CE51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Negative-congruent RT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E834B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.856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FB47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.922</w:t>
            </w:r>
          </w:p>
        </w:tc>
      </w:tr>
      <w:tr w14:paraId="6A807E6B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5A2DB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Negative-incongruent RT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5734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.853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3CB0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.921</w:t>
            </w:r>
          </w:p>
        </w:tc>
      </w:tr>
      <w:tr w14:paraId="3E09898C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9026" w:type="dxa"/>
            <w:gridSpan w:val="3"/>
            <w:tcBorders>
              <w:top w:val="single" w:color="7F7F7F" w:sz="6" w:space="0"/>
              <w:left w:val="nil"/>
              <w:bottom w:val="single" w:color="7F7F7F" w:sz="6" w:space="0"/>
              <w:right w:val="nil"/>
            </w:tcBorders>
            <w:vAlign w:val="center"/>
          </w:tcPr>
          <w:p w14:paraId="5E7EB599">
            <w:pPr>
              <w:keepNext/>
              <w:spacing w:before="30" w:after="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Panel B. Derived attentional indices</w:t>
            </w:r>
          </w:p>
        </w:tc>
      </w:tr>
      <w:tr w14:paraId="62ECC17A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E86F8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Vigilance index, positive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C9A0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−.194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DF8C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−.483</w:t>
            </w:r>
          </w:p>
        </w:tc>
      </w:tr>
      <w:tr w14:paraId="72C2FEAE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75C7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Vigilance index, negative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2C70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−.154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92450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−.365</w:t>
            </w:r>
          </w:p>
        </w:tc>
      </w:tr>
      <w:tr w14:paraId="68C3F37B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14F7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Disengagement/avoidance index, positive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1BA8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.098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DBF6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.178</w:t>
            </w:r>
          </w:p>
        </w:tc>
      </w:tr>
      <w:tr w14:paraId="4A18E2A3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0B09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Disengagement/avoidance index, negative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28051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−.075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194D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−.163</w:t>
            </w:r>
          </w:p>
        </w:tc>
      </w:tr>
      <w:tr w14:paraId="7527307C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B66D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Vigilance index, positive − negative contrast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47DCD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−.072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F0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−.156</w:t>
            </w:r>
          </w:p>
        </w:tc>
      </w:tr>
      <w:tr w14:paraId="17FC5882">
        <w:tblPrEx>
          <w:tblCellMar>
            <w:top w:w="12" w:type="dxa"/>
            <w:left w:w="70" w:type="dxa"/>
            <w:bottom w:w="12" w:type="dxa"/>
            <w:right w:w="70" w:type="dxa"/>
          </w:tblCellMar>
        </w:tblPrEx>
        <w:tc>
          <w:tcPr>
            <w:tcW w:w="5550" w:type="dxa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7B7BF48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Disengagement/avoidance index, positive − negative contrast</w:t>
            </w:r>
          </w:p>
        </w:tc>
        <w:tc>
          <w:tcPr>
            <w:tcW w:w="1738" w:type="dxa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5D6136C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.118</w:t>
            </w:r>
          </w:p>
        </w:tc>
        <w:tc>
          <w:tcPr>
            <w:tcW w:w="1738" w:type="dxa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757EAE94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.211</w:t>
            </w:r>
          </w:p>
        </w:tc>
      </w:tr>
    </w:tbl>
    <w:p w14:paraId="46DC26B4">
      <w:pPr>
        <w:spacing w:before="6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sz w:val="19"/>
          <w:szCs w:val="19"/>
        </w:rPr>
        <w:t>Note.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i/>
          <w:sz w:val="19"/>
          <w:szCs w:val="19"/>
        </w:rPr>
        <w:t>N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= 60. Odd and even halves were defined from the original formal-trial sequence before trial exclusions. Only correct trials with RTs of 200–1000 ms were included. The vigilance index was defined as neutral–neutral RT minus congruent emotional–neutral RT, and the disengagement/avoidance index as incongruent emotional–neutral RT minus neutral–neutral RT. Spearman–Brown correction was calculated as </w:t>
      </w:r>
      <w:r>
        <w:rPr>
          <w:rFonts w:ascii="Times New Roman" w:hAnsi="Times New Roman" w:eastAsia="Times New Roman" w:cs="Times New Roman"/>
          <w:i/>
          <w:sz w:val="19"/>
          <w:szCs w:val="19"/>
        </w:rPr>
        <w:t>r</w:t>
      </w:r>
      <w:r>
        <w:rPr>
          <w:rFonts w:ascii="Times New Roman" w:hAnsi="Times New Roman" w:eastAsia="Times New Roman" w:cs="Times New Roman"/>
          <w:sz w:val="19"/>
          <w:szCs w:val="19"/>
          <w:vertAlign w:val="subscript"/>
        </w:rPr>
        <w:t>SB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= 2</w:t>
      </w:r>
      <w:r>
        <w:rPr>
          <w:rFonts w:ascii="Times New Roman" w:hAnsi="Times New Roman" w:eastAsia="Times New Roman" w:cs="Times New Roman"/>
          <w:i/>
          <w:sz w:val="19"/>
          <w:szCs w:val="19"/>
        </w:rPr>
        <w:t>r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/(1 + </w:t>
      </w:r>
      <w:r>
        <w:rPr>
          <w:rFonts w:ascii="Times New Roman" w:hAnsi="Times New Roman" w:eastAsia="Times New Roman" w:cs="Times New Roman"/>
          <w:i/>
          <w:sz w:val="19"/>
          <w:szCs w:val="19"/>
        </w:rPr>
        <w:t>r</w:t>
      </w:r>
      <w:r>
        <w:rPr>
          <w:rFonts w:ascii="Times New Roman" w:hAnsi="Times New Roman" w:eastAsia="Times New Roman" w:cs="Times New Roman"/>
          <w:sz w:val="19"/>
          <w:szCs w:val="19"/>
        </w:rPr>
        <w:t>). RT = reaction time.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576" w:footer="57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88A70">
    <w:pPr>
      <w:pStyle w:val="24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2F0570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2F0570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E7F0A">
    <w:pPr>
      <w:pStyle w:val="2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4888"/>
    <w:rsid w:val="00231EEC"/>
    <w:rsid w:val="0029639D"/>
    <w:rsid w:val="00326F90"/>
    <w:rsid w:val="0055271E"/>
    <w:rsid w:val="005D49A0"/>
    <w:rsid w:val="006B3329"/>
    <w:rsid w:val="0088228E"/>
    <w:rsid w:val="008A3488"/>
    <w:rsid w:val="009104C8"/>
    <w:rsid w:val="0097785B"/>
    <w:rsid w:val="00A90C13"/>
    <w:rsid w:val="00AA1D8D"/>
    <w:rsid w:val="00B47730"/>
    <w:rsid w:val="00C5215E"/>
    <w:rsid w:val="00CB0664"/>
    <w:rsid w:val="00D460F1"/>
    <w:rsid w:val="00EC329E"/>
    <w:rsid w:val="00EF747D"/>
    <w:rsid w:val="00FC693F"/>
    <w:rsid w:val="1953152E"/>
    <w:rsid w:val="40FE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="Arial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/>
      <w:outlineLvl w:val="0"/>
    </w:pPr>
    <w:rPr>
      <w:rFonts w:asciiTheme="majorHAnsi" w:hAnsiTheme="majorHAnsi" w:eastAsiaTheme="majorEastAsia" w:cstheme="majorBidi"/>
      <w:b/>
      <w:bCs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sz w:val="23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line="480" w:lineRule="auto"/>
    </w:pPr>
  </w:style>
  <w:style w:type="paragraph" w:styleId="29">
    <w:name w:val="List Continue 2"/>
    <w:basedOn w:val="1"/>
    <w:unhideWhenUsed/>
    <w:qFormat/>
    <w:uiPriority w:val="99"/>
    <w:pPr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2532</Characters>
  <Lines>20</Lines>
  <Paragraphs>5</Paragraphs>
  <TotalTime>3</TotalTime>
  <ScaleCrop>false</ScaleCrop>
  <LinksUpToDate>false</LinksUpToDate>
  <CharactersWithSpaces>2852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2026-08-20T11:20:00Z</dcterms:created>
  <dc:creator>P W</dc:creator>
  <cp:lastModifiedBy>韩颖</cp:lastModifiedBy>
  <dcterms:modified xsi:type="dcterms:W3CDTF">2026-10-20T17:08:43Z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eyJoZGlkIjoiYTYzY2VjYjg4NzlmZTNlOGU5MDJlMDAzN2RkM2RmMWIiLCJ1c2VySWQiOiIxNzg2NzA0MDQ5In0=</vt:lpwstr>
  </property>
  <property fmtid="{D5CDD505-2E9C-101B-9397-08002B2CF9AE}" pid="3" name="KSOProductBuildVer">
    <vt:lpwstr>2052-12.1.0.29158</vt:lpwstr>
  </property>
  <property fmtid="{D5CDD505-2E9C-101B-9397-08002B2CF9AE}" pid="4" name="ICV">
    <vt:lpwstr>F5D21972CC0A4F26812DAF9A83169F23_12</vt:lpwstr>
  </property>
</Properties>
</file>